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E773C6">
      <w:pPr>
        <w:rPr>
          <w:rFonts w:ascii="仿宋_GB2312" w:hAnsi="仿宋_GB2312" w:eastAsia="仿宋_GB2312" w:cs="仿宋_GB2312"/>
          <w:color w:val="auto"/>
          <w:sz w:val="36"/>
          <w:szCs w:val="36"/>
        </w:rPr>
      </w:pPr>
    </w:p>
    <w:p w14:paraId="71D2DDD3">
      <w:pPr>
        <w:rPr>
          <w:rFonts w:ascii="仿宋_GB2312" w:hAnsi="仿宋_GB2312" w:eastAsia="仿宋_GB2312" w:cs="仿宋_GB2312"/>
          <w:color w:val="auto"/>
          <w:sz w:val="36"/>
          <w:szCs w:val="36"/>
        </w:rPr>
      </w:pPr>
    </w:p>
    <w:p w14:paraId="2D6060F4">
      <w:pPr>
        <w:rPr>
          <w:rFonts w:hint="eastAsia" w:ascii="仿宋_GB2312" w:hAnsi="仿宋_GB2312" w:eastAsia="仿宋_GB2312" w:cs="仿宋_GB2312"/>
          <w:color w:val="auto"/>
          <w:sz w:val="36"/>
          <w:szCs w:val="36"/>
        </w:rPr>
      </w:pPr>
    </w:p>
    <w:p w14:paraId="3BF1D09B">
      <w:pPr>
        <w:adjustRightInd w:val="0"/>
        <w:snapToGrid w:val="0"/>
        <w:jc w:val="center"/>
        <w:outlineLvl w:val="0"/>
        <w:rPr>
          <w:rFonts w:hint="eastAsia" w:ascii="方正小标宋_GBK" w:eastAsia="方正小标宋_GBK"/>
          <w:bCs/>
          <w:color w:val="auto"/>
          <w:sz w:val="72"/>
          <w:szCs w:val="72"/>
        </w:rPr>
      </w:pPr>
      <w:r>
        <w:rPr>
          <w:rFonts w:hint="eastAsia" w:ascii="方正小标宋_GBK" w:eastAsia="方正小标宋_GBK"/>
          <w:bCs/>
          <w:color w:val="auto"/>
          <w:sz w:val="72"/>
          <w:szCs w:val="72"/>
        </w:rPr>
        <w:t>建设项目环境影响报告表</w:t>
      </w:r>
    </w:p>
    <w:p w14:paraId="0EB59DFC">
      <w:pPr>
        <w:adjustRightInd w:val="0"/>
        <w:snapToGrid w:val="0"/>
        <w:spacing w:before="192" w:beforeLines="80"/>
        <w:jc w:val="center"/>
        <w:rPr>
          <w:rFonts w:hint="eastAsia" w:ascii="楷体_GB2312" w:eastAsia="楷体_GB2312"/>
          <w:bCs/>
          <w:color w:val="auto"/>
          <w:sz w:val="48"/>
          <w:szCs w:val="48"/>
        </w:rPr>
      </w:pPr>
      <w:r>
        <w:rPr>
          <w:rFonts w:hint="eastAsia" w:ascii="楷体_GB2312" w:eastAsia="楷体_GB2312"/>
          <w:bCs/>
          <w:color w:val="auto"/>
          <w:sz w:val="48"/>
          <w:szCs w:val="48"/>
        </w:rPr>
        <w:t>（污染影响类）</w:t>
      </w:r>
    </w:p>
    <w:p w14:paraId="2664FB8C">
      <w:pPr>
        <w:adjustRightInd w:val="0"/>
        <w:snapToGrid w:val="0"/>
        <w:spacing w:line="288" w:lineRule="auto"/>
        <w:jc w:val="center"/>
        <w:outlineLvl w:val="0"/>
        <w:rPr>
          <w:rFonts w:ascii="华文仿宋" w:hAnsi="华文仿宋" w:eastAsia="华文仿宋" w:cs="华文仿宋"/>
          <w:color w:val="auto"/>
          <w:kern w:val="44"/>
          <w:sz w:val="44"/>
          <w:szCs w:val="44"/>
        </w:rPr>
      </w:pPr>
    </w:p>
    <w:p w14:paraId="2C816F98">
      <w:pPr>
        <w:jc w:val="center"/>
        <w:rPr>
          <w:rFonts w:eastAsia="仿宋"/>
          <w:color w:val="auto"/>
          <w:sz w:val="52"/>
          <w:szCs w:val="52"/>
        </w:rPr>
      </w:pPr>
    </w:p>
    <w:p w14:paraId="52563F95">
      <w:pPr>
        <w:ind w:firstLine="1040"/>
        <w:rPr>
          <w:rFonts w:eastAsia="仿宋"/>
          <w:color w:val="auto"/>
          <w:sz w:val="44"/>
          <w:szCs w:val="44"/>
        </w:rPr>
      </w:pPr>
    </w:p>
    <w:p w14:paraId="658779CD">
      <w:pPr>
        <w:ind w:firstLine="1040"/>
        <w:rPr>
          <w:rFonts w:eastAsia="仿宋"/>
          <w:color w:val="auto"/>
          <w:sz w:val="44"/>
          <w:szCs w:val="44"/>
        </w:rPr>
      </w:pPr>
    </w:p>
    <w:p w14:paraId="19EA1DA6">
      <w:pPr>
        <w:adjustRightInd w:val="0"/>
        <w:snapToGrid w:val="0"/>
        <w:spacing w:line="288" w:lineRule="auto"/>
        <w:ind w:firstLine="1040"/>
        <w:rPr>
          <w:rFonts w:hint="eastAsia" w:ascii="仿宋_GB2312" w:eastAsia="仿宋_GB2312"/>
          <w:color w:val="auto"/>
          <w:sz w:val="36"/>
          <w:szCs w:val="36"/>
        </w:rPr>
      </w:pPr>
    </w:p>
    <w:p w14:paraId="19B2664C">
      <w:pPr>
        <w:ind w:firstLine="1040"/>
        <w:rPr>
          <w:rFonts w:eastAsia="仿宋"/>
          <w:color w:val="auto"/>
          <w:sz w:val="44"/>
          <w:szCs w:val="44"/>
        </w:rPr>
      </w:pPr>
    </w:p>
    <w:p w14:paraId="348FEC70">
      <w:pPr>
        <w:ind w:firstLine="1040"/>
        <w:rPr>
          <w:rFonts w:eastAsia="仿宋"/>
          <w:color w:val="auto"/>
          <w:sz w:val="44"/>
          <w:szCs w:val="44"/>
        </w:rPr>
      </w:pPr>
    </w:p>
    <w:p w14:paraId="19315120">
      <w:pPr>
        <w:adjustRightInd w:val="0"/>
        <w:snapToGrid w:val="0"/>
        <w:spacing w:line="288" w:lineRule="auto"/>
        <w:rPr>
          <w:rFonts w:hint="default" w:ascii="仿宋_GB2312" w:eastAsia="仿宋_GB2312"/>
          <w:color w:val="auto"/>
          <w:sz w:val="36"/>
          <w:szCs w:val="36"/>
          <w:u w:val="single"/>
          <w:lang w:val="en-US"/>
        </w:rPr>
      </w:pPr>
      <w:r>
        <w:rPr>
          <w:rFonts w:hint="eastAsia" w:ascii="仿宋_GB2312" w:eastAsia="仿宋_GB2312"/>
          <w:color w:val="auto"/>
          <w:sz w:val="36"/>
          <w:szCs w:val="36"/>
        </w:rPr>
        <w:t>项目名称：</w:t>
      </w:r>
      <w:r>
        <w:rPr>
          <w:rFonts w:hint="eastAsia" w:ascii="仿宋_GB2312" w:eastAsia="仿宋_GB2312"/>
          <w:color w:val="auto"/>
          <w:sz w:val="36"/>
          <w:szCs w:val="36"/>
          <w:u w:val="single"/>
        </w:rPr>
        <w:t xml:space="preserve">    </w:t>
      </w:r>
      <w:r>
        <w:rPr>
          <w:rFonts w:hint="eastAsia" w:ascii="仿宋_GB2312" w:eastAsia="仿宋_GB2312"/>
          <w:color w:val="auto"/>
          <w:sz w:val="36"/>
          <w:szCs w:val="36"/>
          <w:u w:val="single"/>
          <w:lang w:val="en-US" w:eastAsia="zh-CN"/>
        </w:rPr>
        <w:t xml:space="preserve">    </w:t>
      </w:r>
      <w:r>
        <w:rPr>
          <w:rFonts w:hint="eastAsia" w:ascii="仿宋_GB2312" w:eastAsia="仿宋_GB2312"/>
          <w:color w:val="auto"/>
          <w:sz w:val="36"/>
          <w:szCs w:val="36"/>
          <w:u w:val="single"/>
          <w:lang w:eastAsia="zh-CN"/>
        </w:rPr>
        <w:t>理想汽车西咸服务中心项目</w:t>
      </w:r>
      <w:r>
        <w:rPr>
          <w:rFonts w:hint="eastAsia" w:ascii="仿宋_GB2312" w:eastAsia="仿宋_GB2312"/>
          <w:color w:val="auto"/>
          <w:sz w:val="36"/>
          <w:szCs w:val="36"/>
          <w:u w:val="single"/>
        </w:rPr>
        <w:t xml:space="preserve">  </w:t>
      </w:r>
      <w:r>
        <w:rPr>
          <w:rFonts w:hint="eastAsia" w:ascii="仿宋_GB2312" w:eastAsia="仿宋_GB2312"/>
          <w:color w:val="auto"/>
          <w:sz w:val="36"/>
          <w:szCs w:val="36"/>
          <w:u w:val="single"/>
          <w:lang w:val="en-US" w:eastAsia="zh-CN"/>
        </w:rPr>
        <w:t xml:space="preserve">     </w:t>
      </w:r>
    </w:p>
    <w:p w14:paraId="675A15F9">
      <w:pPr>
        <w:adjustRightInd w:val="0"/>
        <w:snapToGrid w:val="0"/>
        <w:spacing w:line="288" w:lineRule="auto"/>
        <w:rPr>
          <w:rFonts w:hint="eastAsia" w:ascii="仿宋_GB2312" w:eastAsia="仿宋_GB2312"/>
          <w:color w:val="auto"/>
          <w:sz w:val="36"/>
          <w:szCs w:val="36"/>
          <w:u w:val="single"/>
          <w:lang w:eastAsia="zh-CN"/>
        </w:rPr>
      </w:pPr>
      <w:r>
        <w:rPr>
          <w:rFonts w:hint="eastAsia" w:ascii="仿宋_GB2312" w:eastAsia="仿宋_GB2312"/>
          <w:color w:val="auto"/>
          <w:sz w:val="36"/>
          <w:szCs w:val="36"/>
        </w:rPr>
        <w:t>建设单位（盖章）：</w:t>
      </w:r>
      <w:r>
        <w:rPr>
          <w:rFonts w:hint="eastAsia" w:ascii="仿宋_GB2312" w:eastAsia="仿宋_GB2312"/>
          <w:color w:val="auto"/>
          <w:sz w:val="36"/>
          <w:szCs w:val="36"/>
          <w:u w:val="single"/>
          <w:lang w:eastAsia="zh-CN"/>
        </w:rPr>
        <w:t>理行汽车销售服务（西安）有限公司</w:t>
      </w:r>
    </w:p>
    <w:p w14:paraId="4056EEBA">
      <w:pPr>
        <w:keepNext w:val="0"/>
        <w:keepLines w:val="0"/>
        <w:pageBreakBefore w:val="0"/>
        <w:widowControl w:val="0"/>
        <w:kinsoku/>
        <w:wordWrap/>
        <w:overflowPunct/>
        <w:topLinePunct w:val="0"/>
        <w:autoSpaceDE/>
        <w:autoSpaceDN/>
        <w:bidi w:val="0"/>
        <w:adjustRightInd w:val="0"/>
        <w:snapToGrid w:val="0"/>
        <w:spacing w:line="288" w:lineRule="auto"/>
        <w:ind w:firstLine="3150" w:firstLineChars="875"/>
        <w:textAlignment w:val="auto"/>
        <w:rPr>
          <w:rFonts w:hint="default" w:ascii="仿宋_GB2312" w:eastAsia="仿宋_GB2312"/>
          <w:color w:val="auto"/>
          <w:sz w:val="36"/>
          <w:szCs w:val="36"/>
          <w:u w:val="single"/>
          <w:lang w:val="en-US" w:eastAsia="zh-CN"/>
        </w:rPr>
      </w:pPr>
      <w:r>
        <w:rPr>
          <w:rFonts w:hint="eastAsia" w:ascii="仿宋_GB2312" w:eastAsia="仿宋_GB2312"/>
          <w:color w:val="auto"/>
          <w:sz w:val="36"/>
          <w:szCs w:val="36"/>
          <w:u w:val="single"/>
          <w:lang w:val="en-US" w:eastAsia="zh-CN"/>
        </w:rPr>
        <w:t xml:space="preserve">          </w:t>
      </w:r>
      <w:r>
        <w:rPr>
          <w:rFonts w:hint="eastAsia" w:ascii="仿宋_GB2312" w:eastAsia="仿宋_GB2312"/>
          <w:color w:val="auto"/>
          <w:sz w:val="36"/>
          <w:szCs w:val="36"/>
          <w:u w:val="single"/>
          <w:lang w:eastAsia="zh-CN"/>
        </w:rPr>
        <w:t>第十八分公司</w:t>
      </w:r>
      <w:r>
        <w:rPr>
          <w:rFonts w:hint="eastAsia" w:ascii="仿宋_GB2312" w:eastAsia="仿宋_GB2312"/>
          <w:color w:val="auto"/>
          <w:sz w:val="36"/>
          <w:szCs w:val="36"/>
          <w:u w:val="single"/>
        </w:rPr>
        <w:t xml:space="preserve">    </w:t>
      </w:r>
      <w:r>
        <w:rPr>
          <w:rFonts w:hint="eastAsia" w:ascii="仿宋_GB2312" w:eastAsia="仿宋_GB2312"/>
          <w:color w:val="auto"/>
          <w:sz w:val="36"/>
          <w:szCs w:val="36"/>
          <w:u w:val="single"/>
          <w:lang w:val="en-US" w:eastAsia="zh-CN"/>
        </w:rPr>
        <w:t xml:space="preserve">      </w:t>
      </w:r>
    </w:p>
    <w:p w14:paraId="2F9C59D2">
      <w:pPr>
        <w:adjustRightInd w:val="0"/>
        <w:snapToGrid w:val="0"/>
        <w:spacing w:line="288" w:lineRule="auto"/>
        <w:rPr>
          <w:rFonts w:hint="eastAsia" w:ascii="仿宋_GB2312" w:eastAsia="仿宋_GB2312"/>
          <w:color w:val="auto"/>
          <w:sz w:val="36"/>
          <w:szCs w:val="36"/>
          <w:u w:val="single"/>
        </w:rPr>
      </w:pPr>
      <w:r>
        <w:rPr>
          <w:rFonts w:hint="eastAsia" w:ascii="仿宋_GB2312" w:eastAsia="仿宋_GB2312"/>
          <w:color w:val="auto"/>
          <w:sz w:val="36"/>
          <w:szCs w:val="36"/>
        </w:rPr>
        <w:t>编制日期：</w:t>
      </w:r>
      <w:r>
        <w:rPr>
          <w:rFonts w:hint="eastAsia" w:ascii="仿宋_GB2312" w:eastAsia="仿宋_GB2312"/>
          <w:color w:val="auto"/>
          <w:sz w:val="36"/>
          <w:szCs w:val="36"/>
          <w:u w:val="single"/>
        </w:rPr>
        <w:t xml:space="preserve"> </w:t>
      </w:r>
      <w:r>
        <w:rPr>
          <w:rFonts w:ascii="仿宋_GB2312" w:eastAsia="仿宋_GB2312"/>
          <w:color w:val="auto"/>
          <w:sz w:val="36"/>
          <w:szCs w:val="36"/>
          <w:u w:val="single"/>
        </w:rPr>
        <w:t xml:space="preserve">  </w:t>
      </w:r>
      <w:r>
        <w:rPr>
          <w:rFonts w:hint="eastAsia" w:ascii="仿宋_GB2312" w:eastAsia="仿宋_GB2312"/>
          <w:color w:val="auto"/>
          <w:sz w:val="36"/>
          <w:szCs w:val="36"/>
          <w:u w:val="single"/>
        </w:rPr>
        <w:t xml:space="preserve">          二〇二五年</w:t>
      </w:r>
      <w:r>
        <w:rPr>
          <w:rFonts w:hint="eastAsia" w:ascii="仿宋_GB2312" w:eastAsia="仿宋_GB2312"/>
          <w:color w:val="auto"/>
          <w:sz w:val="36"/>
          <w:szCs w:val="36"/>
          <w:u w:val="single"/>
          <w:lang w:val="en-US" w:eastAsia="zh-CN"/>
        </w:rPr>
        <w:t>七</w:t>
      </w:r>
      <w:r>
        <w:rPr>
          <w:rFonts w:hint="eastAsia" w:ascii="仿宋_GB2312" w:eastAsia="仿宋_GB2312"/>
          <w:color w:val="auto"/>
          <w:sz w:val="36"/>
          <w:szCs w:val="36"/>
          <w:u w:val="single"/>
        </w:rPr>
        <w:t>月</w:t>
      </w:r>
      <w:r>
        <w:rPr>
          <w:rFonts w:ascii="仿宋_GB2312" w:eastAsia="仿宋_GB2312"/>
          <w:color w:val="auto"/>
          <w:sz w:val="36"/>
          <w:szCs w:val="36"/>
          <w:u w:val="single"/>
        </w:rPr>
        <w:t xml:space="preserve">      </w:t>
      </w:r>
      <w:r>
        <w:rPr>
          <w:rFonts w:hint="eastAsia" w:ascii="仿宋_GB2312" w:eastAsia="仿宋_GB2312"/>
          <w:color w:val="auto"/>
          <w:sz w:val="36"/>
          <w:szCs w:val="36"/>
          <w:u w:val="single"/>
        </w:rPr>
        <w:t xml:space="preserve">      </w:t>
      </w:r>
    </w:p>
    <w:p w14:paraId="045D9B1F">
      <w:pPr>
        <w:adjustRightInd w:val="0"/>
        <w:snapToGrid w:val="0"/>
        <w:spacing w:line="288" w:lineRule="auto"/>
        <w:ind w:firstLine="1040"/>
        <w:rPr>
          <w:rFonts w:ascii="仿宋_GB2312" w:eastAsia="仿宋_GB2312"/>
          <w:color w:val="auto"/>
          <w:sz w:val="36"/>
          <w:szCs w:val="36"/>
          <w:u w:val="single"/>
        </w:rPr>
      </w:pPr>
      <w:bookmarkStart w:id="0" w:name="_Hlk57884087"/>
    </w:p>
    <w:p w14:paraId="6AF1DE76">
      <w:pPr>
        <w:adjustRightInd w:val="0"/>
        <w:snapToGrid w:val="0"/>
        <w:spacing w:line="288" w:lineRule="auto"/>
        <w:ind w:firstLine="1040"/>
        <w:rPr>
          <w:rFonts w:ascii="仿宋_GB2312" w:eastAsia="仿宋_GB2312"/>
          <w:color w:val="auto"/>
          <w:sz w:val="36"/>
          <w:szCs w:val="36"/>
        </w:rPr>
      </w:pPr>
    </w:p>
    <w:p w14:paraId="0087378F">
      <w:pPr>
        <w:adjustRightInd w:val="0"/>
        <w:snapToGrid w:val="0"/>
        <w:spacing w:line="288" w:lineRule="auto"/>
        <w:ind w:firstLine="1040"/>
        <w:rPr>
          <w:rFonts w:hint="eastAsia" w:ascii="仿宋_GB2312" w:eastAsia="仿宋_GB2312"/>
          <w:color w:val="auto"/>
          <w:sz w:val="36"/>
          <w:szCs w:val="36"/>
        </w:rPr>
      </w:pPr>
    </w:p>
    <w:p w14:paraId="38D29DF5">
      <w:pPr>
        <w:adjustRightInd w:val="0"/>
        <w:snapToGrid w:val="0"/>
        <w:spacing w:line="288" w:lineRule="auto"/>
        <w:ind w:firstLine="1040"/>
        <w:rPr>
          <w:rFonts w:hint="eastAsia" w:ascii="仿宋_GB2312" w:eastAsia="仿宋_GB2312"/>
          <w:color w:val="auto"/>
          <w:sz w:val="36"/>
          <w:szCs w:val="36"/>
        </w:rPr>
      </w:pPr>
    </w:p>
    <w:p w14:paraId="16BBD60F">
      <w:pPr>
        <w:adjustRightInd w:val="0"/>
        <w:snapToGrid w:val="0"/>
        <w:spacing w:line="288" w:lineRule="auto"/>
        <w:ind w:firstLine="1040"/>
        <w:rPr>
          <w:rFonts w:hint="eastAsia" w:ascii="仿宋_GB2312" w:eastAsia="仿宋_GB2312"/>
          <w:color w:val="auto"/>
          <w:sz w:val="36"/>
          <w:szCs w:val="36"/>
        </w:rPr>
      </w:pPr>
    </w:p>
    <w:bookmarkEnd w:id="0"/>
    <w:p w14:paraId="2C1ECECB">
      <w:pPr>
        <w:adjustRightInd w:val="0"/>
        <w:snapToGrid w:val="0"/>
        <w:spacing w:line="288" w:lineRule="auto"/>
        <w:jc w:val="center"/>
        <w:rPr>
          <w:rFonts w:hint="eastAsia" w:ascii="楷体_GB2312" w:eastAsia="楷体_GB2312"/>
          <w:color w:val="auto"/>
          <w:sz w:val="36"/>
          <w:szCs w:val="36"/>
        </w:rPr>
      </w:pPr>
      <w:r>
        <w:rPr>
          <w:rFonts w:hint="eastAsia" w:ascii="楷体_GB2312" w:eastAsia="楷体_GB2312"/>
          <w:color w:val="auto"/>
          <w:sz w:val="36"/>
          <w:szCs w:val="36"/>
        </w:rPr>
        <w:t>中华人民共和国生态环境部制</w:t>
      </w:r>
    </w:p>
    <w:p w14:paraId="1481120D">
      <w:pPr>
        <w:adjustRightInd w:val="0"/>
        <w:snapToGrid w:val="0"/>
        <w:spacing w:line="288" w:lineRule="auto"/>
        <w:rPr>
          <w:rFonts w:hint="eastAsia" w:ascii="仿宋_GB2312" w:eastAsia="仿宋_GB2312"/>
          <w:color w:val="auto"/>
          <w:sz w:val="36"/>
          <w:szCs w:val="36"/>
        </w:rPr>
        <w:sectPr>
          <w:headerReference r:id="rId3" w:type="default"/>
          <w:footerReference r:id="rId4" w:type="default"/>
          <w:footerReference r:id="rId5" w:type="even"/>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14:paraId="1D5C53DC">
      <w:pPr>
        <w:adjustRightInd w:val="0"/>
        <w:snapToGrid w:val="0"/>
        <w:spacing w:line="288" w:lineRule="auto"/>
        <w:rPr>
          <w:rFonts w:ascii="仿宋_GB2312" w:eastAsia="仿宋_GB2312"/>
          <w:color w:val="auto"/>
          <w:sz w:val="36"/>
          <w:szCs w:val="36"/>
        </w:rPr>
      </w:pPr>
    </w:p>
    <w:p w14:paraId="469106DC">
      <w:pPr>
        <w:tabs>
          <w:tab w:val="left" w:pos="3690"/>
        </w:tabs>
        <w:rPr>
          <w:rFonts w:ascii="仿宋_GB2312" w:eastAsia="仿宋_GB2312"/>
          <w:color w:val="auto"/>
          <w:sz w:val="36"/>
          <w:szCs w:val="36"/>
        </w:rPr>
        <w:sectPr>
          <w:footerReference r:id="rId6" w:type="default"/>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r>
        <w:rPr>
          <w:rFonts w:ascii="仿宋_GB2312" w:eastAsia="仿宋_GB2312"/>
          <w:color w:val="auto"/>
          <w:sz w:val="36"/>
          <w:szCs w:val="36"/>
        </w:rPr>
        <w:tab/>
      </w:r>
    </w:p>
    <w:p w14:paraId="7754D94B">
      <w:pPr>
        <w:pStyle w:val="22"/>
        <w:jc w:val="center"/>
        <w:outlineLvl w:val="0"/>
        <w:rPr>
          <w:rFonts w:hint="eastAsia" w:ascii="黑体" w:hAnsi="黑体" w:eastAsia="黑体"/>
          <w:snapToGrid w:val="0"/>
          <w:color w:val="auto"/>
          <w:sz w:val="30"/>
          <w:szCs w:val="30"/>
        </w:rPr>
      </w:pPr>
      <w:r>
        <w:rPr>
          <w:rFonts w:hint="eastAsia" w:ascii="黑体" w:hAnsi="黑体" w:eastAsia="黑体"/>
          <w:snapToGrid w:val="0"/>
          <w:color w:val="auto"/>
          <w:sz w:val="30"/>
          <w:szCs w:val="30"/>
        </w:rPr>
        <w:t>一、建设项目基本情况</w:t>
      </w:r>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475"/>
        <w:gridCol w:w="2537"/>
        <w:gridCol w:w="1860"/>
        <w:gridCol w:w="2998"/>
      </w:tblGrid>
      <w:tr w14:paraId="4C393A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475" w:type="dxa"/>
            <w:noWrap w:val="0"/>
            <w:tcMar>
              <w:top w:w="16" w:type="dxa"/>
              <w:left w:w="16" w:type="dxa"/>
              <w:right w:w="16" w:type="dxa"/>
            </w:tcMar>
            <w:vAlign w:val="center"/>
          </w:tcPr>
          <w:p w14:paraId="1F40C8E7">
            <w:pPr>
              <w:adjustRightInd w:val="0"/>
              <w:snapToGrid w:val="0"/>
              <w:jc w:val="center"/>
              <w:rPr>
                <w:color w:val="auto"/>
                <w:sz w:val="24"/>
              </w:rPr>
            </w:pPr>
            <w:r>
              <w:rPr>
                <w:color w:val="auto"/>
                <w:sz w:val="24"/>
              </w:rPr>
              <w:t>建设项目名称</w:t>
            </w:r>
          </w:p>
        </w:tc>
        <w:tc>
          <w:tcPr>
            <w:tcW w:w="7395" w:type="dxa"/>
            <w:gridSpan w:val="3"/>
            <w:noWrap w:val="0"/>
            <w:vAlign w:val="center"/>
          </w:tcPr>
          <w:p w14:paraId="0DCAE2B9">
            <w:pPr>
              <w:adjustRightInd w:val="0"/>
              <w:snapToGrid w:val="0"/>
              <w:jc w:val="center"/>
              <w:rPr>
                <w:rFonts w:hint="default" w:eastAsia="宋体"/>
                <w:color w:val="auto"/>
                <w:sz w:val="24"/>
                <w:lang w:val="en-US" w:eastAsia="zh-CN"/>
              </w:rPr>
            </w:pPr>
            <w:r>
              <w:rPr>
                <w:rFonts w:hint="eastAsia"/>
                <w:color w:val="auto"/>
                <w:sz w:val="24"/>
                <w:lang w:val="en-US" w:eastAsia="zh-CN"/>
              </w:rPr>
              <w:t>理想汽车西咸服务中心项目</w:t>
            </w:r>
          </w:p>
        </w:tc>
      </w:tr>
      <w:tr w14:paraId="17E765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475" w:type="dxa"/>
            <w:noWrap w:val="0"/>
            <w:tcMar>
              <w:top w:w="16" w:type="dxa"/>
              <w:left w:w="16" w:type="dxa"/>
              <w:right w:w="16" w:type="dxa"/>
            </w:tcMar>
            <w:vAlign w:val="center"/>
          </w:tcPr>
          <w:p w14:paraId="71F78872">
            <w:pPr>
              <w:adjustRightInd w:val="0"/>
              <w:snapToGrid w:val="0"/>
              <w:jc w:val="center"/>
              <w:rPr>
                <w:color w:val="auto"/>
                <w:sz w:val="24"/>
              </w:rPr>
            </w:pPr>
            <w:r>
              <w:rPr>
                <w:color w:val="auto"/>
                <w:sz w:val="24"/>
              </w:rPr>
              <w:t>项目代码</w:t>
            </w:r>
          </w:p>
        </w:tc>
        <w:tc>
          <w:tcPr>
            <w:tcW w:w="7395" w:type="dxa"/>
            <w:gridSpan w:val="3"/>
            <w:noWrap w:val="0"/>
            <w:vAlign w:val="center"/>
          </w:tcPr>
          <w:p w14:paraId="03CE05DE">
            <w:pPr>
              <w:adjustRightInd w:val="0"/>
              <w:snapToGrid w:val="0"/>
              <w:jc w:val="center"/>
              <w:rPr>
                <w:rFonts w:hint="eastAsia"/>
                <w:color w:val="auto"/>
                <w:sz w:val="24"/>
              </w:rPr>
            </w:pPr>
            <w:r>
              <w:rPr>
                <w:rFonts w:hint="eastAsia"/>
                <w:color w:val="auto"/>
                <w:sz w:val="24"/>
              </w:rPr>
              <w:t>/</w:t>
            </w:r>
          </w:p>
        </w:tc>
      </w:tr>
      <w:tr w14:paraId="344394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475" w:type="dxa"/>
            <w:noWrap w:val="0"/>
            <w:tcMar>
              <w:top w:w="16" w:type="dxa"/>
              <w:left w:w="16" w:type="dxa"/>
              <w:right w:w="16" w:type="dxa"/>
            </w:tcMar>
            <w:vAlign w:val="center"/>
          </w:tcPr>
          <w:p w14:paraId="3B99CC13">
            <w:pPr>
              <w:adjustRightInd w:val="0"/>
              <w:snapToGrid w:val="0"/>
              <w:jc w:val="center"/>
              <w:rPr>
                <w:color w:val="auto"/>
                <w:sz w:val="24"/>
              </w:rPr>
            </w:pPr>
            <w:r>
              <w:rPr>
                <w:color w:val="auto"/>
                <w:sz w:val="24"/>
              </w:rPr>
              <w:t>建设单位</w:t>
            </w:r>
          </w:p>
          <w:p w14:paraId="0574791B">
            <w:pPr>
              <w:adjustRightInd w:val="0"/>
              <w:snapToGrid w:val="0"/>
              <w:jc w:val="center"/>
              <w:rPr>
                <w:color w:val="auto"/>
                <w:sz w:val="24"/>
              </w:rPr>
            </w:pPr>
            <w:r>
              <w:rPr>
                <w:color w:val="auto"/>
                <w:sz w:val="24"/>
              </w:rPr>
              <w:t>联系人</w:t>
            </w:r>
          </w:p>
        </w:tc>
        <w:tc>
          <w:tcPr>
            <w:tcW w:w="2537" w:type="dxa"/>
            <w:noWrap w:val="0"/>
            <w:vAlign w:val="center"/>
          </w:tcPr>
          <w:p w14:paraId="286A5B97">
            <w:pPr>
              <w:adjustRightInd w:val="0"/>
              <w:snapToGrid w:val="0"/>
              <w:jc w:val="center"/>
              <w:rPr>
                <w:rFonts w:hint="eastAsia" w:eastAsia="宋体"/>
                <w:color w:val="auto"/>
                <w:sz w:val="24"/>
                <w:lang w:eastAsia="zh-CN"/>
              </w:rPr>
            </w:pPr>
            <w:r>
              <w:rPr>
                <w:rFonts w:hint="eastAsia"/>
                <w:color w:val="auto"/>
                <w:sz w:val="24"/>
                <w:lang w:val="en-US" w:eastAsia="zh-CN"/>
              </w:rPr>
              <w:t>李晓旭</w:t>
            </w:r>
          </w:p>
        </w:tc>
        <w:tc>
          <w:tcPr>
            <w:tcW w:w="1860" w:type="dxa"/>
            <w:noWrap w:val="0"/>
            <w:vAlign w:val="center"/>
          </w:tcPr>
          <w:p w14:paraId="370C520D">
            <w:pPr>
              <w:adjustRightInd w:val="0"/>
              <w:snapToGrid w:val="0"/>
              <w:jc w:val="center"/>
              <w:rPr>
                <w:color w:val="auto"/>
                <w:sz w:val="24"/>
              </w:rPr>
            </w:pPr>
            <w:r>
              <w:rPr>
                <w:color w:val="auto"/>
                <w:sz w:val="24"/>
              </w:rPr>
              <w:t>联系方式</w:t>
            </w:r>
          </w:p>
        </w:tc>
        <w:tc>
          <w:tcPr>
            <w:tcW w:w="2998" w:type="dxa"/>
            <w:noWrap w:val="0"/>
            <w:vAlign w:val="center"/>
          </w:tcPr>
          <w:p w14:paraId="20199B3F">
            <w:pPr>
              <w:adjustRightInd w:val="0"/>
              <w:snapToGrid w:val="0"/>
              <w:jc w:val="center"/>
              <w:rPr>
                <w:color w:val="auto"/>
                <w:sz w:val="24"/>
              </w:rPr>
            </w:pPr>
            <w:r>
              <w:rPr>
                <w:rFonts w:hint="eastAsia"/>
                <w:color w:val="auto"/>
                <w:sz w:val="24"/>
              </w:rPr>
              <w:t>18109221211</w:t>
            </w:r>
          </w:p>
        </w:tc>
      </w:tr>
      <w:tr w14:paraId="57BEAD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475" w:type="dxa"/>
            <w:noWrap w:val="0"/>
            <w:tcMar>
              <w:top w:w="16" w:type="dxa"/>
              <w:left w:w="16" w:type="dxa"/>
              <w:right w:w="16" w:type="dxa"/>
            </w:tcMar>
            <w:vAlign w:val="center"/>
          </w:tcPr>
          <w:p w14:paraId="2BEFAE84">
            <w:pPr>
              <w:adjustRightInd w:val="0"/>
              <w:snapToGrid w:val="0"/>
              <w:jc w:val="center"/>
              <w:rPr>
                <w:color w:val="auto"/>
                <w:sz w:val="24"/>
              </w:rPr>
            </w:pPr>
            <w:r>
              <w:rPr>
                <w:color w:val="auto"/>
                <w:sz w:val="24"/>
              </w:rPr>
              <w:t>建设地点</w:t>
            </w:r>
          </w:p>
        </w:tc>
        <w:tc>
          <w:tcPr>
            <w:tcW w:w="7395" w:type="dxa"/>
            <w:gridSpan w:val="3"/>
            <w:noWrap w:val="0"/>
            <w:vAlign w:val="center"/>
          </w:tcPr>
          <w:p w14:paraId="4347F203">
            <w:pPr>
              <w:adjustRightInd w:val="0"/>
              <w:snapToGrid w:val="0"/>
              <w:jc w:val="center"/>
              <w:rPr>
                <w:color w:val="auto"/>
                <w:sz w:val="24"/>
              </w:rPr>
            </w:pPr>
            <w:r>
              <w:rPr>
                <w:rFonts w:hint="eastAsia"/>
                <w:color w:val="auto"/>
                <w:sz w:val="24"/>
              </w:rPr>
              <w:t>西咸新区沣东新城天章大道与丰安路十字西北角丰树沣东（西安）产业园1号库1-1号</w:t>
            </w:r>
          </w:p>
        </w:tc>
      </w:tr>
      <w:tr w14:paraId="37858C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475" w:type="dxa"/>
            <w:noWrap w:val="0"/>
            <w:tcMar>
              <w:top w:w="16" w:type="dxa"/>
              <w:left w:w="16" w:type="dxa"/>
              <w:right w:w="16" w:type="dxa"/>
            </w:tcMar>
            <w:vAlign w:val="center"/>
          </w:tcPr>
          <w:p w14:paraId="253F32B6">
            <w:pPr>
              <w:adjustRightInd w:val="0"/>
              <w:snapToGrid w:val="0"/>
              <w:jc w:val="center"/>
              <w:rPr>
                <w:color w:val="auto"/>
                <w:sz w:val="24"/>
              </w:rPr>
            </w:pPr>
            <w:r>
              <w:rPr>
                <w:color w:val="auto"/>
                <w:sz w:val="24"/>
              </w:rPr>
              <w:t>地理坐标</w:t>
            </w:r>
          </w:p>
        </w:tc>
        <w:tc>
          <w:tcPr>
            <w:tcW w:w="7395" w:type="dxa"/>
            <w:gridSpan w:val="3"/>
            <w:noWrap w:val="0"/>
            <w:vAlign w:val="center"/>
          </w:tcPr>
          <w:p w14:paraId="3C7AB393">
            <w:pPr>
              <w:jc w:val="center"/>
              <w:rPr>
                <w:color w:val="auto"/>
                <w:sz w:val="24"/>
              </w:rPr>
            </w:pPr>
            <w:r>
              <w:rPr>
                <w:color w:val="auto"/>
                <w:sz w:val="24"/>
              </w:rPr>
              <w:t>（</w:t>
            </w:r>
            <w:r>
              <w:rPr>
                <w:rFonts w:hint="eastAsia"/>
                <w:color w:val="auto"/>
                <w:sz w:val="24"/>
              </w:rPr>
              <w:t>东经</w:t>
            </w:r>
            <w:r>
              <w:rPr>
                <w:color w:val="auto"/>
                <w:sz w:val="24"/>
              </w:rPr>
              <w:t>108度</w:t>
            </w:r>
            <w:r>
              <w:rPr>
                <w:rFonts w:hint="eastAsia"/>
                <w:color w:val="auto"/>
                <w:sz w:val="24"/>
                <w:lang w:val="en-US" w:eastAsia="zh-CN"/>
              </w:rPr>
              <w:t>48</w:t>
            </w:r>
            <w:r>
              <w:rPr>
                <w:color w:val="auto"/>
                <w:sz w:val="24"/>
              </w:rPr>
              <w:t>分</w:t>
            </w:r>
            <w:r>
              <w:rPr>
                <w:rFonts w:hint="eastAsia"/>
                <w:color w:val="auto"/>
                <w:sz w:val="24"/>
                <w:lang w:val="en-US" w:eastAsia="zh-CN"/>
              </w:rPr>
              <w:t>5</w:t>
            </w:r>
            <w:r>
              <w:rPr>
                <w:rFonts w:hint="eastAsia"/>
                <w:color w:val="auto"/>
                <w:sz w:val="24"/>
              </w:rPr>
              <w:t>5.</w:t>
            </w:r>
            <w:r>
              <w:rPr>
                <w:rFonts w:hint="eastAsia"/>
                <w:color w:val="auto"/>
                <w:sz w:val="24"/>
                <w:lang w:val="en-US" w:eastAsia="zh-CN"/>
              </w:rPr>
              <w:t>38</w:t>
            </w:r>
            <w:r>
              <w:rPr>
                <w:rFonts w:hint="eastAsia"/>
                <w:color w:val="auto"/>
                <w:sz w:val="24"/>
              </w:rPr>
              <w:t>6</w:t>
            </w:r>
            <w:r>
              <w:rPr>
                <w:color w:val="auto"/>
                <w:sz w:val="24"/>
              </w:rPr>
              <w:t>秒，</w:t>
            </w:r>
            <w:r>
              <w:rPr>
                <w:rFonts w:hint="eastAsia"/>
                <w:color w:val="auto"/>
                <w:sz w:val="24"/>
              </w:rPr>
              <w:t>北纬34</w:t>
            </w:r>
            <w:r>
              <w:rPr>
                <w:color w:val="auto"/>
                <w:sz w:val="24"/>
              </w:rPr>
              <w:t>度</w:t>
            </w:r>
            <w:r>
              <w:rPr>
                <w:rFonts w:hint="eastAsia"/>
                <w:color w:val="auto"/>
                <w:sz w:val="24"/>
              </w:rPr>
              <w:t>1</w:t>
            </w:r>
            <w:r>
              <w:rPr>
                <w:rFonts w:hint="eastAsia"/>
                <w:color w:val="auto"/>
                <w:sz w:val="24"/>
                <w:lang w:val="en-US" w:eastAsia="zh-CN"/>
              </w:rPr>
              <w:t>9</w:t>
            </w:r>
            <w:r>
              <w:rPr>
                <w:color w:val="auto"/>
                <w:sz w:val="24"/>
              </w:rPr>
              <w:t>分</w:t>
            </w:r>
            <w:r>
              <w:rPr>
                <w:rFonts w:hint="eastAsia"/>
                <w:color w:val="auto"/>
                <w:sz w:val="24"/>
                <w:lang w:val="en-US" w:eastAsia="zh-CN"/>
              </w:rPr>
              <w:t>46.616</w:t>
            </w:r>
            <w:r>
              <w:rPr>
                <w:color w:val="auto"/>
                <w:sz w:val="24"/>
              </w:rPr>
              <w:t>秒）</w:t>
            </w:r>
          </w:p>
        </w:tc>
      </w:tr>
      <w:tr w14:paraId="388762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475" w:type="dxa"/>
            <w:noWrap w:val="0"/>
            <w:tcMar>
              <w:top w:w="16" w:type="dxa"/>
              <w:left w:w="16" w:type="dxa"/>
              <w:right w:w="16" w:type="dxa"/>
            </w:tcMar>
            <w:vAlign w:val="center"/>
          </w:tcPr>
          <w:p w14:paraId="56B21F98">
            <w:pPr>
              <w:adjustRightInd w:val="0"/>
              <w:snapToGrid w:val="0"/>
              <w:jc w:val="center"/>
              <w:rPr>
                <w:color w:val="auto"/>
                <w:sz w:val="24"/>
              </w:rPr>
            </w:pPr>
            <w:r>
              <w:rPr>
                <w:color w:val="auto"/>
                <w:sz w:val="24"/>
              </w:rPr>
              <w:t>国民经济</w:t>
            </w:r>
          </w:p>
          <w:p w14:paraId="7F8DEE15">
            <w:pPr>
              <w:adjustRightInd w:val="0"/>
              <w:snapToGrid w:val="0"/>
              <w:jc w:val="center"/>
              <w:rPr>
                <w:color w:val="auto"/>
                <w:sz w:val="24"/>
              </w:rPr>
            </w:pPr>
            <w:r>
              <w:rPr>
                <w:color w:val="auto"/>
                <w:sz w:val="24"/>
              </w:rPr>
              <w:t>行业类别</w:t>
            </w:r>
          </w:p>
        </w:tc>
        <w:tc>
          <w:tcPr>
            <w:tcW w:w="2537" w:type="dxa"/>
            <w:noWrap w:val="0"/>
            <w:vAlign w:val="center"/>
          </w:tcPr>
          <w:p w14:paraId="7CC69F23">
            <w:pPr>
              <w:adjustRightInd w:val="0"/>
              <w:snapToGrid w:val="0"/>
              <w:jc w:val="center"/>
              <w:rPr>
                <w:rFonts w:hint="eastAsia" w:eastAsia="宋体"/>
                <w:color w:val="auto"/>
                <w:sz w:val="24"/>
                <w:lang w:eastAsia="zh-CN"/>
              </w:rPr>
            </w:pPr>
            <w:r>
              <w:rPr>
                <w:rFonts w:hint="eastAsia"/>
                <w:color w:val="auto"/>
                <w:sz w:val="24"/>
                <w:lang w:eastAsia="zh-CN"/>
              </w:rPr>
              <w:t>O-8111 汽车修理与维护</w:t>
            </w:r>
          </w:p>
        </w:tc>
        <w:tc>
          <w:tcPr>
            <w:tcW w:w="1860" w:type="dxa"/>
            <w:noWrap w:val="0"/>
            <w:vAlign w:val="center"/>
          </w:tcPr>
          <w:p w14:paraId="4EEC7CFC">
            <w:pPr>
              <w:adjustRightInd w:val="0"/>
              <w:snapToGrid w:val="0"/>
              <w:jc w:val="center"/>
              <w:rPr>
                <w:color w:val="auto"/>
                <w:sz w:val="24"/>
              </w:rPr>
            </w:pPr>
            <w:r>
              <w:rPr>
                <w:color w:val="auto"/>
                <w:sz w:val="24"/>
              </w:rPr>
              <w:t>建设项目</w:t>
            </w:r>
          </w:p>
          <w:p w14:paraId="59ADE082">
            <w:pPr>
              <w:adjustRightInd w:val="0"/>
              <w:snapToGrid w:val="0"/>
              <w:jc w:val="center"/>
              <w:rPr>
                <w:color w:val="auto"/>
                <w:sz w:val="24"/>
              </w:rPr>
            </w:pPr>
            <w:r>
              <w:rPr>
                <w:color w:val="auto"/>
                <w:sz w:val="24"/>
              </w:rPr>
              <w:t>行业类别</w:t>
            </w:r>
          </w:p>
        </w:tc>
        <w:tc>
          <w:tcPr>
            <w:tcW w:w="2998" w:type="dxa"/>
            <w:noWrap w:val="0"/>
            <w:vAlign w:val="center"/>
          </w:tcPr>
          <w:p w14:paraId="5915193F">
            <w:pPr>
              <w:adjustRightInd w:val="0"/>
              <w:snapToGrid w:val="0"/>
              <w:rPr>
                <w:color w:val="auto"/>
                <w:sz w:val="24"/>
              </w:rPr>
            </w:pPr>
            <w:r>
              <w:rPr>
                <w:rFonts w:hint="eastAsia"/>
                <w:color w:val="auto"/>
                <w:sz w:val="24"/>
                <w:lang w:val="en-US" w:eastAsia="zh-CN"/>
              </w:rPr>
              <w:t>五十、社会事业与服务业</w:t>
            </w:r>
            <w:r>
              <w:rPr>
                <w:rFonts w:hint="eastAsia"/>
                <w:color w:val="auto"/>
                <w:sz w:val="24"/>
              </w:rPr>
              <w:t>-121、汽车、摩托车维修场所-营业面积5000平方米及以上且使用溶剂型涂料的</w:t>
            </w:r>
          </w:p>
        </w:tc>
      </w:tr>
      <w:tr w14:paraId="492CBA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475" w:type="dxa"/>
            <w:noWrap w:val="0"/>
            <w:tcMar>
              <w:top w:w="16" w:type="dxa"/>
              <w:left w:w="16" w:type="dxa"/>
              <w:right w:w="16" w:type="dxa"/>
            </w:tcMar>
            <w:vAlign w:val="center"/>
          </w:tcPr>
          <w:p w14:paraId="31F8459F">
            <w:pPr>
              <w:adjustRightInd w:val="0"/>
              <w:snapToGrid w:val="0"/>
              <w:jc w:val="center"/>
              <w:rPr>
                <w:color w:val="auto"/>
                <w:sz w:val="24"/>
              </w:rPr>
            </w:pPr>
            <w:r>
              <w:rPr>
                <w:color w:val="auto"/>
                <w:sz w:val="24"/>
              </w:rPr>
              <w:t>建设性质</w:t>
            </w:r>
          </w:p>
        </w:tc>
        <w:tc>
          <w:tcPr>
            <w:tcW w:w="2537" w:type="dxa"/>
            <w:noWrap w:val="0"/>
            <w:vAlign w:val="center"/>
          </w:tcPr>
          <w:p w14:paraId="47F80B99">
            <w:pPr>
              <w:jc w:val="left"/>
              <w:rPr>
                <w:color w:val="auto"/>
                <w:sz w:val="24"/>
              </w:rPr>
            </w:pPr>
            <w:r>
              <w:rPr>
                <w:color w:val="auto"/>
                <w:sz w:val="24"/>
              </w:rPr>
              <w:sym w:font="Wingdings 2" w:char="0052"/>
            </w:r>
            <w:r>
              <w:rPr>
                <w:color w:val="auto"/>
                <w:sz w:val="24"/>
              </w:rPr>
              <w:t>新建</w:t>
            </w:r>
          </w:p>
          <w:p w14:paraId="6899E8B4">
            <w:pPr>
              <w:jc w:val="left"/>
              <w:rPr>
                <w:color w:val="auto"/>
                <w:sz w:val="24"/>
              </w:rPr>
            </w:pPr>
            <w:r>
              <w:rPr>
                <w:color w:val="auto"/>
                <w:sz w:val="24"/>
              </w:rPr>
              <w:sym w:font="Wingdings 2" w:char="00A3"/>
            </w:r>
            <w:r>
              <w:rPr>
                <w:color w:val="auto"/>
                <w:sz w:val="24"/>
              </w:rPr>
              <w:t>改建</w:t>
            </w:r>
          </w:p>
          <w:p w14:paraId="1EA34962">
            <w:pPr>
              <w:jc w:val="left"/>
              <w:rPr>
                <w:color w:val="auto"/>
                <w:sz w:val="24"/>
              </w:rPr>
            </w:pPr>
            <w:r>
              <w:rPr>
                <w:color w:val="auto"/>
                <w:sz w:val="24"/>
              </w:rPr>
              <w:sym w:font="Wingdings 2" w:char="00A3"/>
            </w:r>
            <w:r>
              <w:rPr>
                <w:color w:val="auto"/>
                <w:sz w:val="24"/>
              </w:rPr>
              <w:t>扩建</w:t>
            </w:r>
          </w:p>
          <w:p w14:paraId="0B84008A">
            <w:pPr>
              <w:jc w:val="left"/>
              <w:rPr>
                <w:color w:val="auto"/>
                <w:sz w:val="24"/>
              </w:rPr>
            </w:pPr>
            <w:r>
              <w:rPr>
                <w:color w:val="auto"/>
                <w:sz w:val="24"/>
              </w:rPr>
              <w:sym w:font="Wingdings 2" w:char="00A3"/>
            </w:r>
            <w:r>
              <w:rPr>
                <w:color w:val="auto"/>
                <w:sz w:val="24"/>
              </w:rPr>
              <w:t>技术改造</w:t>
            </w:r>
          </w:p>
        </w:tc>
        <w:tc>
          <w:tcPr>
            <w:tcW w:w="1860" w:type="dxa"/>
            <w:noWrap w:val="0"/>
            <w:vAlign w:val="center"/>
          </w:tcPr>
          <w:p w14:paraId="08F2F3FF">
            <w:pPr>
              <w:adjustRightInd w:val="0"/>
              <w:snapToGrid w:val="0"/>
              <w:jc w:val="center"/>
              <w:rPr>
                <w:color w:val="auto"/>
                <w:sz w:val="24"/>
              </w:rPr>
            </w:pPr>
            <w:r>
              <w:rPr>
                <w:color w:val="auto"/>
                <w:sz w:val="24"/>
              </w:rPr>
              <w:t>建设项目</w:t>
            </w:r>
          </w:p>
          <w:p w14:paraId="2D0AFBA9">
            <w:pPr>
              <w:adjustRightInd w:val="0"/>
              <w:snapToGrid w:val="0"/>
              <w:jc w:val="center"/>
              <w:rPr>
                <w:color w:val="auto"/>
                <w:sz w:val="24"/>
              </w:rPr>
            </w:pPr>
            <w:r>
              <w:rPr>
                <w:color w:val="auto"/>
                <w:sz w:val="24"/>
              </w:rPr>
              <w:t>申报情形</w:t>
            </w:r>
          </w:p>
        </w:tc>
        <w:tc>
          <w:tcPr>
            <w:tcW w:w="2998" w:type="dxa"/>
            <w:noWrap w:val="0"/>
            <w:vAlign w:val="center"/>
          </w:tcPr>
          <w:p w14:paraId="445D5F37">
            <w:pPr>
              <w:jc w:val="left"/>
              <w:rPr>
                <w:color w:val="auto"/>
                <w:sz w:val="24"/>
              </w:rPr>
            </w:pPr>
            <w:r>
              <w:rPr>
                <w:color w:val="auto"/>
                <w:sz w:val="24"/>
              </w:rPr>
              <w:sym w:font="Wingdings 2" w:char="0052"/>
            </w:r>
            <w:r>
              <w:rPr>
                <w:color w:val="auto"/>
                <w:sz w:val="24"/>
              </w:rPr>
              <w:t>首次申报项目</w:t>
            </w:r>
          </w:p>
          <w:p w14:paraId="635BD64A">
            <w:pPr>
              <w:jc w:val="left"/>
              <w:rPr>
                <w:color w:val="auto"/>
                <w:sz w:val="24"/>
              </w:rPr>
            </w:pPr>
            <w:r>
              <w:rPr>
                <w:color w:val="auto"/>
                <w:sz w:val="24"/>
              </w:rPr>
              <w:sym w:font="Wingdings 2" w:char="00A3"/>
            </w:r>
            <w:r>
              <w:rPr>
                <w:color w:val="auto"/>
                <w:sz w:val="24"/>
              </w:rPr>
              <w:t>不予批准后再次申报项目</w:t>
            </w:r>
          </w:p>
          <w:p w14:paraId="0EC82A40">
            <w:pPr>
              <w:jc w:val="left"/>
              <w:rPr>
                <w:color w:val="auto"/>
                <w:sz w:val="24"/>
              </w:rPr>
            </w:pPr>
            <w:r>
              <w:rPr>
                <w:color w:val="auto"/>
                <w:sz w:val="24"/>
              </w:rPr>
              <w:sym w:font="Wingdings 2" w:char="00A3"/>
            </w:r>
            <w:r>
              <w:rPr>
                <w:color w:val="auto"/>
                <w:sz w:val="24"/>
              </w:rPr>
              <w:t>超五年重新审核项目</w:t>
            </w:r>
          </w:p>
          <w:p w14:paraId="5A8908A6">
            <w:pPr>
              <w:jc w:val="left"/>
              <w:rPr>
                <w:color w:val="auto"/>
                <w:sz w:val="24"/>
              </w:rPr>
            </w:pPr>
            <w:r>
              <w:rPr>
                <w:color w:val="auto"/>
                <w:sz w:val="24"/>
              </w:rPr>
              <w:sym w:font="Wingdings 2" w:char="00A3"/>
            </w:r>
            <w:r>
              <w:rPr>
                <w:color w:val="auto"/>
                <w:sz w:val="24"/>
              </w:rPr>
              <w:t>重大变动重新报批项目</w:t>
            </w:r>
          </w:p>
        </w:tc>
      </w:tr>
      <w:tr w14:paraId="6A8AF8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475" w:type="dxa"/>
            <w:noWrap w:val="0"/>
            <w:tcMar>
              <w:top w:w="16" w:type="dxa"/>
              <w:left w:w="16" w:type="dxa"/>
              <w:right w:w="16" w:type="dxa"/>
            </w:tcMar>
            <w:vAlign w:val="center"/>
          </w:tcPr>
          <w:p w14:paraId="603CDF8A">
            <w:pPr>
              <w:adjustRightInd w:val="0"/>
              <w:snapToGrid w:val="0"/>
              <w:jc w:val="center"/>
              <w:rPr>
                <w:color w:val="auto"/>
                <w:sz w:val="24"/>
              </w:rPr>
            </w:pPr>
            <w:r>
              <w:rPr>
                <w:color w:val="auto"/>
                <w:sz w:val="24"/>
              </w:rPr>
              <w:t>项目审批（核准/备案）部门（选填）</w:t>
            </w:r>
          </w:p>
        </w:tc>
        <w:tc>
          <w:tcPr>
            <w:tcW w:w="2537" w:type="dxa"/>
            <w:noWrap w:val="0"/>
            <w:vAlign w:val="center"/>
          </w:tcPr>
          <w:p w14:paraId="29F5550D">
            <w:pPr>
              <w:adjustRightInd w:val="0"/>
              <w:snapToGrid w:val="0"/>
              <w:jc w:val="center"/>
              <w:rPr>
                <w:color w:val="auto"/>
                <w:sz w:val="24"/>
              </w:rPr>
            </w:pPr>
            <w:r>
              <w:rPr>
                <w:rFonts w:hint="eastAsia"/>
                <w:color w:val="auto"/>
                <w:sz w:val="24"/>
              </w:rPr>
              <w:t>/</w:t>
            </w:r>
          </w:p>
        </w:tc>
        <w:tc>
          <w:tcPr>
            <w:tcW w:w="1860" w:type="dxa"/>
            <w:noWrap w:val="0"/>
            <w:vAlign w:val="center"/>
          </w:tcPr>
          <w:p w14:paraId="6697CB7D">
            <w:pPr>
              <w:adjustRightInd w:val="0"/>
              <w:snapToGrid w:val="0"/>
              <w:jc w:val="center"/>
              <w:rPr>
                <w:color w:val="auto"/>
                <w:sz w:val="24"/>
              </w:rPr>
            </w:pPr>
            <w:r>
              <w:rPr>
                <w:color w:val="auto"/>
                <w:sz w:val="24"/>
              </w:rPr>
              <w:t>项目审批（核准/</w:t>
            </w:r>
          </w:p>
          <w:p w14:paraId="214DE3E7">
            <w:pPr>
              <w:adjustRightInd w:val="0"/>
              <w:snapToGrid w:val="0"/>
              <w:jc w:val="center"/>
              <w:rPr>
                <w:color w:val="auto"/>
                <w:sz w:val="24"/>
              </w:rPr>
            </w:pPr>
            <w:r>
              <w:rPr>
                <w:color w:val="auto"/>
                <w:sz w:val="24"/>
              </w:rPr>
              <w:t>备案）文号（选填）</w:t>
            </w:r>
          </w:p>
        </w:tc>
        <w:tc>
          <w:tcPr>
            <w:tcW w:w="2998" w:type="dxa"/>
            <w:noWrap w:val="0"/>
            <w:vAlign w:val="center"/>
          </w:tcPr>
          <w:p w14:paraId="5E833B2C">
            <w:pPr>
              <w:adjustRightInd w:val="0"/>
              <w:snapToGrid w:val="0"/>
              <w:jc w:val="center"/>
              <w:rPr>
                <w:color w:val="auto"/>
                <w:sz w:val="24"/>
              </w:rPr>
            </w:pPr>
            <w:r>
              <w:rPr>
                <w:rFonts w:hint="eastAsia"/>
                <w:color w:val="auto"/>
                <w:sz w:val="24"/>
              </w:rPr>
              <w:t>/</w:t>
            </w:r>
          </w:p>
        </w:tc>
      </w:tr>
      <w:tr w14:paraId="1E2139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475" w:type="dxa"/>
            <w:noWrap w:val="0"/>
            <w:tcMar>
              <w:top w:w="16" w:type="dxa"/>
              <w:left w:w="16" w:type="dxa"/>
              <w:right w:w="16" w:type="dxa"/>
            </w:tcMar>
            <w:vAlign w:val="center"/>
          </w:tcPr>
          <w:p w14:paraId="3BC5C919">
            <w:pPr>
              <w:adjustRightInd w:val="0"/>
              <w:snapToGrid w:val="0"/>
              <w:jc w:val="center"/>
              <w:rPr>
                <w:color w:val="auto"/>
                <w:sz w:val="24"/>
              </w:rPr>
            </w:pPr>
            <w:r>
              <w:rPr>
                <w:color w:val="auto"/>
                <w:sz w:val="24"/>
              </w:rPr>
              <w:t>总投资（万元）</w:t>
            </w:r>
          </w:p>
        </w:tc>
        <w:tc>
          <w:tcPr>
            <w:tcW w:w="2537" w:type="dxa"/>
            <w:noWrap w:val="0"/>
            <w:vAlign w:val="center"/>
          </w:tcPr>
          <w:p w14:paraId="24681D4C">
            <w:pPr>
              <w:adjustRightInd w:val="0"/>
              <w:snapToGrid w:val="0"/>
              <w:jc w:val="center"/>
              <w:rPr>
                <w:rFonts w:hint="default" w:eastAsia="宋体"/>
                <w:color w:val="auto"/>
                <w:sz w:val="24"/>
                <w:lang w:val="en-US" w:eastAsia="zh-CN"/>
              </w:rPr>
            </w:pPr>
            <w:r>
              <w:rPr>
                <w:rFonts w:hint="eastAsia"/>
                <w:color w:val="auto"/>
                <w:sz w:val="24"/>
                <w:lang w:val="en-US" w:eastAsia="zh-CN"/>
              </w:rPr>
              <w:t>1164.338</w:t>
            </w:r>
          </w:p>
        </w:tc>
        <w:tc>
          <w:tcPr>
            <w:tcW w:w="1860" w:type="dxa"/>
            <w:noWrap w:val="0"/>
            <w:tcMar>
              <w:top w:w="16" w:type="dxa"/>
              <w:left w:w="16" w:type="dxa"/>
              <w:right w:w="16" w:type="dxa"/>
            </w:tcMar>
            <w:vAlign w:val="center"/>
          </w:tcPr>
          <w:p w14:paraId="0BC0FAE9">
            <w:pPr>
              <w:adjustRightInd w:val="0"/>
              <w:snapToGrid w:val="0"/>
              <w:jc w:val="center"/>
              <w:rPr>
                <w:color w:val="auto"/>
                <w:sz w:val="24"/>
              </w:rPr>
            </w:pPr>
            <w:r>
              <w:rPr>
                <w:color w:val="auto"/>
                <w:sz w:val="24"/>
              </w:rPr>
              <w:t>环保投资（万元）</w:t>
            </w:r>
          </w:p>
        </w:tc>
        <w:tc>
          <w:tcPr>
            <w:tcW w:w="2998" w:type="dxa"/>
            <w:noWrap w:val="0"/>
            <w:vAlign w:val="center"/>
          </w:tcPr>
          <w:p w14:paraId="347980B8">
            <w:pPr>
              <w:adjustRightInd w:val="0"/>
              <w:snapToGrid w:val="0"/>
              <w:jc w:val="center"/>
              <w:rPr>
                <w:rFonts w:hint="default" w:eastAsia="宋体"/>
                <w:color w:val="auto"/>
                <w:sz w:val="24"/>
                <w:lang w:val="en-US" w:eastAsia="zh-CN"/>
              </w:rPr>
            </w:pPr>
            <w:r>
              <w:rPr>
                <w:rFonts w:hint="eastAsia"/>
                <w:color w:val="auto"/>
                <w:sz w:val="24"/>
                <w:lang w:val="en-US" w:eastAsia="zh-CN"/>
              </w:rPr>
              <w:t>63.1</w:t>
            </w:r>
          </w:p>
        </w:tc>
      </w:tr>
      <w:tr w14:paraId="1F6728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475" w:type="dxa"/>
            <w:noWrap w:val="0"/>
            <w:tcMar>
              <w:top w:w="16" w:type="dxa"/>
              <w:left w:w="16" w:type="dxa"/>
              <w:right w:w="16" w:type="dxa"/>
            </w:tcMar>
            <w:vAlign w:val="center"/>
          </w:tcPr>
          <w:p w14:paraId="32519E7D">
            <w:pPr>
              <w:adjustRightInd w:val="0"/>
              <w:snapToGrid w:val="0"/>
              <w:jc w:val="center"/>
              <w:rPr>
                <w:color w:val="auto"/>
                <w:sz w:val="24"/>
              </w:rPr>
            </w:pPr>
            <w:r>
              <w:rPr>
                <w:color w:val="auto"/>
                <w:sz w:val="24"/>
              </w:rPr>
              <w:t>环保投资占比（%）</w:t>
            </w:r>
          </w:p>
        </w:tc>
        <w:tc>
          <w:tcPr>
            <w:tcW w:w="2537" w:type="dxa"/>
            <w:noWrap w:val="0"/>
            <w:vAlign w:val="center"/>
          </w:tcPr>
          <w:p w14:paraId="1FDB6B01">
            <w:pPr>
              <w:adjustRightInd w:val="0"/>
              <w:snapToGrid w:val="0"/>
              <w:jc w:val="center"/>
              <w:rPr>
                <w:rFonts w:hint="default" w:eastAsia="宋体"/>
                <w:color w:val="auto"/>
                <w:sz w:val="24"/>
                <w:lang w:val="en-US" w:eastAsia="zh-CN"/>
              </w:rPr>
            </w:pPr>
            <w:r>
              <w:rPr>
                <w:rFonts w:hint="eastAsia"/>
                <w:color w:val="auto"/>
                <w:sz w:val="24"/>
                <w:lang w:val="en-US" w:eastAsia="zh-CN"/>
              </w:rPr>
              <w:t>5.42</w:t>
            </w:r>
          </w:p>
        </w:tc>
        <w:tc>
          <w:tcPr>
            <w:tcW w:w="1860" w:type="dxa"/>
            <w:noWrap w:val="0"/>
            <w:tcMar>
              <w:top w:w="16" w:type="dxa"/>
              <w:left w:w="16" w:type="dxa"/>
              <w:right w:w="16" w:type="dxa"/>
            </w:tcMar>
            <w:vAlign w:val="center"/>
          </w:tcPr>
          <w:p w14:paraId="607D6D26">
            <w:pPr>
              <w:adjustRightInd w:val="0"/>
              <w:snapToGrid w:val="0"/>
              <w:jc w:val="center"/>
              <w:rPr>
                <w:color w:val="auto"/>
                <w:sz w:val="24"/>
              </w:rPr>
            </w:pPr>
            <w:r>
              <w:rPr>
                <w:color w:val="auto"/>
                <w:sz w:val="24"/>
              </w:rPr>
              <w:t>施工工期</w:t>
            </w:r>
          </w:p>
        </w:tc>
        <w:tc>
          <w:tcPr>
            <w:tcW w:w="2998" w:type="dxa"/>
            <w:noWrap w:val="0"/>
            <w:vAlign w:val="center"/>
          </w:tcPr>
          <w:p w14:paraId="5C41773E">
            <w:pPr>
              <w:adjustRightInd w:val="0"/>
              <w:snapToGrid w:val="0"/>
              <w:jc w:val="center"/>
              <w:rPr>
                <w:rFonts w:hint="default" w:eastAsia="宋体"/>
                <w:color w:val="auto"/>
                <w:sz w:val="24"/>
                <w:lang w:val="en-US" w:eastAsia="zh-CN"/>
              </w:rPr>
            </w:pPr>
            <w:r>
              <w:rPr>
                <w:rFonts w:hint="eastAsia"/>
                <w:color w:val="auto"/>
                <w:sz w:val="24"/>
                <w:lang w:val="en-US" w:eastAsia="zh-CN"/>
              </w:rPr>
              <w:t>1</w:t>
            </w:r>
            <w:bookmarkStart w:id="38" w:name="_GoBack"/>
            <w:bookmarkEnd w:id="38"/>
            <w:r>
              <w:rPr>
                <w:rFonts w:hint="eastAsia"/>
                <w:color w:val="auto"/>
                <w:sz w:val="24"/>
                <w:lang w:val="en-US" w:eastAsia="zh-CN"/>
              </w:rPr>
              <w:t>个月</w:t>
            </w:r>
          </w:p>
        </w:tc>
      </w:tr>
      <w:tr w14:paraId="68CE9E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475" w:type="dxa"/>
            <w:noWrap w:val="0"/>
            <w:tcMar>
              <w:top w:w="16" w:type="dxa"/>
              <w:left w:w="16" w:type="dxa"/>
              <w:right w:w="16" w:type="dxa"/>
            </w:tcMar>
            <w:vAlign w:val="center"/>
          </w:tcPr>
          <w:p w14:paraId="70ECB11A">
            <w:pPr>
              <w:adjustRightInd w:val="0"/>
              <w:snapToGrid w:val="0"/>
              <w:jc w:val="center"/>
              <w:rPr>
                <w:color w:val="auto"/>
                <w:sz w:val="24"/>
              </w:rPr>
            </w:pPr>
            <w:r>
              <w:rPr>
                <w:color w:val="auto"/>
                <w:sz w:val="24"/>
              </w:rPr>
              <w:t>是否开工建设</w:t>
            </w:r>
          </w:p>
        </w:tc>
        <w:tc>
          <w:tcPr>
            <w:tcW w:w="2537" w:type="dxa"/>
            <w:noWrap w:val="0"/>
            <w:vAlign w:val="center"/>
          </w:tcPr>
          <w:p w14:paraId="6A7ADBC0">
            <w:pPr>
              <w:adjustRightInd w:val="0"/>
              <w:snapToGrid w:val="0"/>
              <w:rPr>
                <w:color w:val="auto"/>
                <w:sz w:val="24"/>
              </w:rPr>
            </w:pPr>
            <w:r>
              <w:rPr>
                <w:color w:val="auto"/>
                <w:sz w:val="24"/>
              </w:rPr>
              <w:sym w:font="Wingdings 2" w:char="0052"/>
            </w:r>
            <w:r>
              <w:rPr>
                <w:color w:val="auto"/>
                <w:sz w:val="24"/>
              </w:rPr>
              <w:t>否</w:t>
            </w:r>
          </w:p>
          <w:p w14:paraId="65FE9776">
            <w:pPr>
              <w:adjustRightInd w:val="0"/>
              <w:snapToGrid w:val="0"/>
              <w:rPr>
                <w:rFonts w:hint="eastAsia" w:eastAsia="宋体"/>
                <w:color w:val="auto"/>
                <w:sz w:val="24"/>
                <w:lang w:val="en-US" w:eastAsia="zh-CN"/>
              </w:rPr>
            </w:pPr>
            <w:r>
              <w:rPr>
                <w:color w:val="auto"/>
                <w:sz w:val="24"/>
              </w:rPr>
              <w:sym w:font="Wingdings 2" w:char="00A3"/>
            </w:r>
            <w:r>
              <w:rPr>
                <w:color w:val="auto"/>
                <w:sz w:val="24"/>
              </w:rPr>
              <w:t>是：</w:t>
            </w:r>
          </w:p>
        </w:tc>
        <w:tc>
          <w:tcPr>
            <w:tcW w:w="1860" w:type="dxa"/>
            <w:noWrap w:val="0"/>
            <w:tcMar>
              <w:top w:w="16" w:type="dxa"/>
              <w:left w:w="16" w:type="dxa"/>
              <w:right w:w="16" w:type="dxa"/>
            </w:tcMar>
            <w:vAlign w:val="center"/>
          </w:tcPr>
          <w:p w14:paraId="391BE3A9">
            <w:pPr>
              <w:adjustRightInd w:val="0"/>
              <w:snapToGrid w:val="0"/>
              <w:jc w:val="center"/>
              <w:rPr>
                <w:color w:val="auto"/>
                <w:sz w:val="24"/>
              </w:rPr>
            </w:pPr>
            <w:r>
              <w:rPr>
                <w:color w:val="auto"/>
                <w:spacing w:val="-6"/>
                <w:sz w:val="24"/>
              </w:rPr>
              <w:t>用地面积（m</w:t>
            </w:r>
            <w:r>
              <w:rPr>
                <w:color w:val="auto"/>
                <w:spacing w:val="-6"/>
                <w:sz w:val="24"/>
                <w:vertAlign w:val="superscript"/>
              </w:rPr>
              <w:t>2</w:t>
            </w:r>
            <w:r>
              <w:rPr>
                <w:color w:val="auto"/>
                <w:spacing w:val="-6"/>
                <w:sz w:val="24"/>
              </w:rPr>
              <w:t>）</w:t>
            </w:r>
          </w:p>
        </w:tc>
        <w:tc>
          <w:tcPr>
            <w:tcW w:w="2998" w:type="dxa"/>
            <w:noWrap w:val="0"/>
            <w:vAlign w:val="center"/>
          </w:tcPr>
          <w:p w14:paraId="06A41FFD">
            <w:pPr>
              <w:adjustRightInd w:val="0"/>
              <w:snapToGrid w:val="0"/>
              <w:jc w:val="center"/>
              <w:rPr>
                <w:rFonts w:hint="default" w:eastAsia="宋体"/>
                <w:color w:val="auto"/>
                <w:sz w:val="24"/>
                <w:lang w:val="en-US" w:eastAsia="zh-CN"/>
              </w:rPr>
            </w:pPr>
            <w:r>
              <w:rPr>
                <w:rFonts w:hint="eastAsia"/>
                <w:color w:val="auto"/>
                <w:sz w:val="24"/>
                <w:lang w:val="en-US" w:eastAsia="zh-CN"/>
              </w:rPr>
              <w:t>5204.831</w:t>
            </w:r>
          </w:p>
        </w:tc>
      </w:tr>
      <w:tr w14:paraId="7C77DD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475" w:type="dxa"/>
            <w:noWrap w:val="0"/>
            <w:vAlign w:val="center"/>
          </w:tcPr>
          <w:p w14:paraId="6A4D3A0A">
            <w:pPr>
              <w:autoSpaceDE w:val="0"/>
              <w:autoSpaceDN w:val="0"/>
              <w:adjustRightInd w:val="0"/>
              <w:snapToGrid w:val="0"/>
              <w:jc w:val="center"/>
              <w:rPr>
                <w:color w:val="auto"/>
                <w:kern w:val="0"/>
                <w:sz w:val="24"/>
              </w:rPr>
            </w:pPr>
            <w:r>
              <w:rPr>
                <w:color w:val="auto"/>
                <w:kern w:val="0"/>
                <w:sz w:val="24"/>
              </w:rPr>
              <w:t>专项评价设置情况</w:t>
            </w:r>
          </w:p>
        </w:tc>
        <w:tc>
          <w:tcPr>
            <w:tcW w:w="7395" w:type="dxa"/>
            <w:gridSpan w:val="3"/>
            <w:noWrap w:val="0"/>
            <w:vAlign w:val="center"/>
          </w:tcPr>
          <w:p w14:paraId="6B876B64">
            <w:pPr>
              <w:autoSpaceDE w:val="0"/>
              <w:autoSpaceDN w:val="0"/>
              <w:rPr>
                <w:color w:val="auto"/>
                <w:kern w:val="0"/>
                <w:sz w:val="24"/>
              </w:rPr>
            </w:pPr>
            <w:r>
              <w:rPr>
                <w:rFonts w:hint="eastAsia"/>
                <w:color w:val="auto"/>
                <w:kern w:val="0"/>
                <w:sz w:val="24"/>
              </w:rPr>
              <w:t>无</w:t>
            </w:r>
          </w:p>
        </w:tc>
      </w:tr>
      <w:tr w14:paraId="2F5DF4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5" w:type="dxa"/>
            <w:noWrap w:val="0"/>
            <w:vAlign w:val="center"/>
          </w:tcPr>
          <w:p w14:paraId="6D0C2C73">
            <w:pPr>
              <w:autoSpaceDE w:val="0"/>
              <w:autoSpaceDN w:val="0"/>
              <w:adjustRightInd w:val="0"/>
              <w:snapToGrid w:val="0"/>
              <w:jc w:val="center"/>
              <w:rPr>
                <w:color w:val="auto"/>
                <w:sz w:val="24"/>
              </w:rPr>
            </w:pPr>
            <w:r>
              <w:rPr>
                <w:color w:val="auto"/>
                <w:sz w:val="24"/>
              </w:rPr>
              <w:t>规划情况</w:t>
            </w:r>
          </w:p>
        </w:tc>
        <w:tc>
          <w:tcPr>
            <w:tcW w:w="7395" w:type="dxa"/>
            <w:gridSpan w:val="3"/>
            <w:noWrap w:val="0"/>
            <w:vAlign w:val="center"/>
          </w:tcPr>
          <w:p w14:paraId="6CA28F78">
            <w:pPr>
              <w:spacing w:before="120" w:beforeLines="50" w:line="360" w:lineRule="auto"/>
              <w:rPr>
                <w:color w:val="auto"/>
                <w:kern w:val="0"/>
                <w:sz w:val="24"/>
              </w:rPr>
            </w:pPr>
            <w:r>
              <w:rPr>
                <w:color w:val="auto"/>
                <w:kern w:val="0"/>
                <w:sz w:val="24"/>
              </w:rPr>
              <w:t>规划名称：《西咸新区—沣东新城分区规划</w:t>
            </w:r>
            <w:r>
              <w:rPr>
                <w:rFonts w:hint="eastAsia"/>
                <w:color w:val="auto"/>
                <w:kern w:val="0"/>
                <w:sz w:val="24"/>
              </w:rPr>
              <w:t>》</w:t>
            </w:r>
            <w:r>
              <w:rPr>
                <w:color w:val="auto"/>
                <w:kern w:val="0"/>
                <w:sz w:val="24"/>
              </w:rPr>
              <w:t>（2010-2020）</w:t>
            </w:r>
          </w:p>
          <w:p w14:paraId="3B2295D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kern w:val="0"/>
                <w:sz w:val="24"/>
                <w:lang w:val="en-US" w:eastAsia="zh-CN"/>
              </w:rPr>
            </w:pPr>
            <w:r>
              <w:rPr>
                <w:rFonts w:hint="eastAsia"/>
                <w:color w:val="auto"/>
                <w:kern w:val="0"/>
                <w:sz w:val="24"/>
                <w:lang w:val="en-US" w:eastAsia="zh-CN"/>
              </w:rPr>
              <w:t>审查机关：陕西省人民政府</w:t>
            </w:r>
          </w:p>
          <w:p w14:paraId="7B9BFA3A">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宋体"/>
                <w:color w:val="auto"/>
                <w:sz w:val="24"/>
                <w:lang w:val="en-US" w:eastAsia="zh-CN"/>
              </w:rPr>
            </w:pPr>
            <w:r>
              <w:rPr>
                <w:rFonts w:hint="eastAsia"/>
                <w:color w:val="auto"/>
                <w:sz w:val="24"/>
              </w:rPr>
              <w:t>审查文件名称及文号：</w:t>
            </w:r>
            <w:r>
              <w:rPr>
                <w:rFonts w:hint="eastAsia"/>
                <w:color w:val="auto"/>
                <w:kern w:val="0"/>
                <w:sz w:val="24"/>
                <w:lang w:val="en-US" w:eastAsia="zh-CN"/>
              </w:rPr>
              <w:t>陕西省人民政府关于《西咸新区总体规划》的批复（</w:t>
            </w:r>
            <w:r>
              <w:rPr>
                <w:rFonts w:hint="eastAsia"/>
                <w:color w:val="auto"/>
                <w:sz w:val="24"/>
                <w:lang w:val="en-US" w:eastAsia="zh-CN"/>
              </w:rPr>
              <w:t>陕政</w:t>
            </w:r>
            <w:r>
              <w:rPr>
                <w:rFonts w:hint="eastAsia"/>
                <w:color w:val="auto"/>
                <w:sz w:val="24"/>
              </w:rPr>
              <w:t>函〔20</w:t>
            </w:r>
            <w:r>
              <w:rPr>
                <w:rFonts w:hint="eastAsia"/>
                <w:color w:val="auto"/>
                <w:sz w:val="24"/>
                <w:lang w:val="en-US" w:eastAsia="zh-CN"/>
              </w:rPr>
              <w:t>11</w:t>
            </w:r>
            <w:r>
              <w:rPr>
                <w:rFonts w:hint="eastAsia"/>
                <w:color w:val="auto"/>
                <w:sz w:val="24"/>
              </w:rPr>
              <w:t>〕</w:t>
            </w:r>
            <w:r>
              <w:rPr>
                <w:rFonts w:hint="eastAsia"/>
                <w:color w:val="auto"/>
                <w:sz w:val="24"/>
                <w:lang w:val="en-US" w:eastAsia="zh-CN"/>
              </w:rPr>
              <w:t>11</w:t>
            </w:r>
            <w:r>
              <w:rPr>
                <w:rFonts w:hint="eastAsia"/>
                <w:color w:val="auto"/>
                <w:sz w:val="24"/>
              </w:rPr>
              <w:t>0号</w:t>
            </w:r>
            <w:r>
              <w:rPr>
                <w:rFonts w:hint="eastAsia"/>
                <w:color w:val="auto"/>
                <w:kern w:val="0"/>
                <w:sz w:val="24"/>
                <w:lang w:val="en-US" w:eastAsia="zh-CN"/>
              </w:rPr>
              <w:t>）</w:t>
            </w:r>
          </w:p>
        </w:tc>
      </w:tr>
      <w:tr w14:paraId="29591A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475" w:type="dxa"/>
            <w:noWrap w:val="0"/>
            <w:vAlign w:val="center"/>
          </w:tcPr>
          <w:p w14:paraId="618198A3">
            <w:pPr>
              <w:adjustRightInd w:val="0"/>
              <w:snapToGrid w:val="0"/>
              <w:jc w:val="center"/>
              <w:rPr>
                <w:color w:val="auto"/>
                <w:kern w:val="0"/>
                <w:sz w:val="24"/>
              </w:rPr>
            </w:pPr>
            <w:r>
              <w:rPr>
                <w:color w:val="auto"/>
                <w:sz w:val="24"/>
              </w:rPr>
              <w:t>规划环境影响评价情况</w:t>
            </w:r>
          </w:p>
        </w:tc>
        <w:tc>
          <w:tcPr>
            <w:tcW w:w="7395" w:type="dxa"/>
            <w:gridSpan w:val="3"/>
            <w:noWrap w:val="0"/>
            <w:vAlign w:val="center"/>
          </w:tcPr>
          <w:p w14:paraId="79EFD536">
            <w:pPr>
              <w:spacing w:before="120" w:beforeLines="50" w:line="360" w:lineRule="auto"/>
              <w:rPr>
                <w:rFonts w:hint="eastAsia"/>
                <w:color w:val="auto"/>
                <w:sz w:val="24"/>
              </w:rPr>
            </w:pPr>
            <w:r>
              <w:rPr>
                <w:rFonts w:hint="eastAsia"/>
                <w:color w:val="auto"/>
                <w:sz w:val="24"/>
              </w:rPr>
              <w:t>文件名称：《西咸新区—沣东新城分区规划（2010-2020）环境影响报告书》</w:t>
            </w:r>
          </w:p>
          <w:p w14:paraId="6CFF8CB7">
            <w:pPr>
              <w:spacing w:line="360" w:lineRule="auto"/>
              <w:rPr>
                <w:rFonts w:hint="eastAsia"/>
                <w:color w:val="auto"/>
                <w:sz w:val="24"/>
              </w:rPr>
            </w:pPr>
            <w:r>
              <w:rPr>
                <w:rFonts w:hint="eastAsia"/>
                <w:color w:val="auto"/>
                <w:sz w:val="24"/>
              </w:rPr>
              <w:t>审查机关：西安市环境保护局（2014年3月31日）</w:t>
            </w:r>
          </w:p>
          <w:p w14:paraId="168AC609">
            <w:pPr>
              <w:spacing w:line="360" w:lineRule="auto"/>
              <w:rPr>
                <w:rFonts w:hint="eastAsia"/>
                <w:color w:val="auto"/>
                <w:sz w:val="24"/>
              </w:rPr>
            </w:pPr>
            <w:r>
              <w:rPr>
                <w:rFonts w:hint="eastAsia"/>
                <w:color w:val="auto"/>
                <w:sz w:val="24"/>
              </w:rPr>
              <w:t>审查文件名称及文号：西安市环境保护局关于《西咸新区—沣东新城分区规划（2010-2020）环境影响报告书》的审查意见（市环函〔2014〕20号）</w:t>
            </w:r>
          </w:p>
        </w:tc>
      </w:tr>
      <w:tr w14:paraId="548075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475" w:type="dxa"/>
            <w:noWrap w:val="0"/>
            <w:vAlign w:val="center"/>
          </w:tcPr>
          <w:p w14:paraId="1241F5B9">
            <w:pPr>
              <w:autoSpaceDE w:val="0"/>
              <w:autoSpaceDN w:val="0"/>
              <w:adjustRightInd w:val="0"/>
              <w:snapToGrid w:val="0"/>
              <w:jc w:val="center"/>
              <w:rPr>
                <w:color w:val="auto"/>
                <w:kern w:val="0"/>
                <w:sz w:val="24"/>
              </w:rPr>
            </w:pPr>
            <w:r>
              <w:rPr>
                <w:color w:val="auto"/>
                <w:kern w:val="0"/>
                <w:sz w:val="24"/>
              </w:rPr>
              <w:t>规划及规划环境影响评价符合性分析</w:t>
            </w:r>
          </w:p>
        </w:tc>
        <w:tc>
          <w:tcPr>
            <w:tcW w:w="7395" w:type="dxa"/>
            <w:gridSpan w:val="3"/>
            <w:noWrap w:val="0"/>
            <w:vAlign w:val="center"/>
          </w:tcPr>
          <w:p w14:paraId="003B8DCE">
            <w:pPr>
              <w:pStyle w:val="64"/>
              <w:rPr>
                <w:rFonts w:ascii="Times New Roman" w:hAnsi="Times New Roman" w:eastAsia="宋体" w:cs="Times New Roman"/>
                <w:b/>
                <w:bCs/>
                <w:color w:val="auto"/>
                <w:szCs w:val="24"/>
              </w:rPr>
            </w:pPr>
            <w:r>
              <w:rPr>
                <w:rFonts w:hint="eastAsia" w:ascii="Times New Roman" w:hAnsi="Times New Roman" w:eastAsia="宋体" w:cs="Times New Roman"/>
                <w:b/>
                <w:bCs/>
                <w:color w:val="auto"/>
                <w:szCs w:val="24"/>
              </w:rPr>
              <w:t>表1-1  项目与规划及规划环评相符情况</w:t>
            </w:r>
          </w:p>
          <w:tbl>
            <w:tblPr>
              <w:tblStyle w:val="25"/>
              <w:tblW w:w="725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346"/>
              <w:gridCol w:w="2965"/>
              <w:gridCol w:w="2393"/>
              <w:gridCol w:w="547"/>
            </w:tblGrid>
            <w:tr w14:paraId="2A444A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928" w:type="pct"/>
                  <w:noWrap w:val="0"/>
                  <w:vAlign w:val="center"/>
                </w:tcPr>
                <w:p w14:paraId="05DC735E">
                  <w:pPr>
                    <w:adjustRightInd w:val="0"/>
                    <w:snapToGrid w:val="0"/>
                    <w:jc w:val="center"/>
                    <w:rPr>
                      <w:b/>
                      <w:bCs/>
                      <w:color w:val="auto"/>
                      <w:kern w:val="0"/>
                      <w:szCs w:val="21"/>
                    </w:rPr>
                  </w:pPr>
                  <w:r>
                    <w:rPr>
                      <w:rFonts w:hint="eastAsia"/>
                      <w:b/>
                      <w:bCs/>
                      <w:color w:val="auto"/>
                      <w:kern w:val="0"/>
                      <w:szCs w:val="21"/>
                    </w:rPr>
                    <w:t>类别</w:t>
                  </w:r>
                </w:p>
              </w:tc>
              <w:tc>
                <w:tcPr>
                  <w:tcW w:w="2044" w:type="pct"/>
                  <w:noWrap w:val="0"/>
                  <w:vAlign w:val="center"/>
                </w:tcPr>
                <w:p w14:paraId="2DF78AE6">
                  <w:pPr>
                    <w:adjustRightInd w:val="0"/>
                    <w:snapToGrid w:val="0"/>
                    <w:jc w:val="center"/>
                    <w:rPr>
                      <w:b/>
                      <w:bCs/>
                      <w:color w:val="auto"/>
                      <w:kern w:val="0"/>
                      <w:szCs w:val="21"/>
                    </w:rPr>
                  </w:pPr>
                  <w:r>
                    <w:rPr>
                      <w:b/>
                      <w:bCs/>
                      <w:color w:val="auto"/>
                      <w:kern w:val="0"/>
                      <w:szCs w:val="21"/>
                    </w:rPr>
                    <w:t>主要要求</w:t>
                  </w:r>
                </w:p>
              </w:tc>
              <w:tc>
                <w:tcPr>
                  <w:tcW w:w="1650" w:type="pct"/>
                  <w:noWrap w:val="0"/>
                  <w:vAlign w:val="center"/>
                </w:tcPr>
                <w:p w14:paraId="47119229">
                  <w:pPr>
                    <w:adjustRightInd w:val="0"/>
                    <w:snapToGrid w:val="0"/>
                    <w:jc w:val="center"/>
                    <w:rPr>
                      <w:b/>
                      <w:bCs/>
                      <w:color w:val="auto"/>
                      <w:kern w:val="0"/>
                      <w:szCs w:val="21"/>
                    </w:rPr>
                  </w:pPr>
                  <w:r>
                    <w:rPr>
                      <w:b/>
                      <w:bCs/>
                      <w:color w:val="auto"/>
                      <w:kern w:val="0"/>
                      <w:szCs w:val="21"/>
                    </w:rPr>
                    <w:t>本项目情况</w:t>
                  </w:r>
                </w:p>
              </w:tc>
              <w:tc>
                <w:tcPr>
                  <w:tcW w:w="377" w:type="pct"/>
                  <w:noWrap w:val="0"/>
                  <w:vAlign w:val="center"/>
                </w:tcPr>
                <w:p w14:paraId="01066549">
                  <w:pPr>
                    <w:adjustRightInd w:val="0"/>
                    <w:snapToGrid w:val="0"/>
                    <w:jc w:val="center"/>
                    <w:rPr>
                      <w:b/>
                      <w:bCs/>
                      <w:color w:val="auto"/>
                      <w:kern w:val="0"/>
                      <w:szCs w:val="21"/>
                    </w:rPr>
                  </w:pPr>
                  <w:r>
                    <w:rPr>
                      <w:b/>
                      <w:bCs/>
                      <w:color w:val="auto"/>
                      <w:kern w:val="0"/>
                      <w:szCs w:val="21"/>
                    </w:rPr>
                    <w:t>符合性</w:t>
                  </w:r>
                </w:p>
              </w:tc>
            </w:tr>
            <w:tr w14:paraId="6580C1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928" w:type="pct"/>
                  <w:noWrap w:val="0"/>
                  <w:vAlign w:val="center"/>
                </w:tcPr>
                <w:p w14:paraId="45A29912">
                  <w:pPr>
                    <w:wordWrap w:val="0"/>
                    <w:autoSpaceDE w:val="0"/>
                    <w:autoSpaceDN w:val="0"/>
                    <w:adjustRightInd w:val="0"/>
                    <w:snapToGrid w:val="0"/>
                    <w:spacing w:line="300" w:lineRule="atLeast"/>
                    <w:jc w:val="center"/>
                    <w:rPr>
                      <w:rFonts w:hint="eastAsia"/>
                      <w:color w:val="auto"/>
                      <w:szCs w:val="21"/>
                    </w:rPr>
                  </w:pPr>
                  <w:r>
                    <w:rPr>
                      <w:rFonts w:hint="eastAsia"/>
                      <w:color w:val="auto"/>
                      <w:szCs w:val="21"/>
                    </w:rPr>
                    <w:t>《西咸新区—沣东新城分区规划（2010-2020）》</w:t>
                  </w:r>
                </w:p>
              </w:tc>
              <w:tc>
                <w:tcPr>
                  <w:tcW w:w="2044" w:type="pct"/>
                  <w:noWrap w:val="0"/>
                  <w:vAlign w:val="center"/>
                </w:tcPr>
                <w:p w14:paraId="7ABA2D4A">
                  <w:pPr>
                    <w:adjustRightInd w:val="0"/>
                    <w:snapToGrid w:val="0"/>
                    <w:ind w:firstLine="420" w:firstLineChars="200"/>
                    <w:rPr>
                      <w:rFonts w:hint="eastAsia"/>
                      <w:color w:val="auto"/>
                      <w:szCs w:val="21"/>
                    </w:rPr>
                  </w:pPr>
                  <w:r>
                    <w:rPr>
                      <w:rFonts w:hint="eastAsia"/>
                      <w:color w:val="auto"/>
                      <w:szCs w:val="21"/>
                    </w:rPr>
                    <w:t>沣东新城的定位为西部地区统筹科技资源示范基地，高新技术研发和会展中心，大西安未来将建设成为具有东方人文特色的生态化国际新城。</w:t>
                  </w:r>
                </w:p>
                <w:p w14:paraId="6338D93B">
                  <w:pPr>
                    <w:adjustRightInd w:val="0"/>
                    <w:snapToGrid w:val="0"/>
                    <w:ind w:firstLine="420" w:firstLineChars="200"/>
                    <w:rPr>
                      <w:color w:val="auto"/>
                      <w:kern w:val="0"/>
                      <w:szCs w:val="21"/>
                    </w:rPr>
                  </w:pPr>
                  <w:r>
                    <w:rPr>
                      <w:rFonts w:hint="default" w:ascii="Times New Roman" w:hAnsi="Times New Roman" w:eastAsia="宋体" w:cs="Times New Roman"/>
                      <w:color w:val="auto"/>
                      <w:kern w:val="21"/>
                      <w:sz w:val="21"/>
                      <w:szCs w:val="21"/>
                    </w:rPr>
                    <w:t>规划形成</w:t>
                  </w:r>
                  <w:r>
                    <w:rPr>
                      <w:rFonts w:hint="eastAsia" w:cs="Times New Roman"/>
                      <w:color w:val="auto"/>
                      <w:kern w:val="21"/>
                      <w:sz w:val="21"/>
                      <w:szCs w:val="21"/>
                      <w:lang w:eastAsia="zh-CN"/>
                    </w:rPr>
                    <w:t>“</w:t>
                  </w:r>
                  <w:r>
                    <w:rPr>
                      <w:rFonts w:hint="default" w:ascii="Times New Roman" w:hAnsi="Times New Roman" w:eastAsia="宋体" w:cs="Times New Roman"/>
                      <w:color w:val="auto"/>
                      <w:kern w:val="21"/>
                      <w:sz w:val="21"/>
                      <w:szCs w:val="21"/>
                    </w:rPr>
                    <w:t>两带、七板块</w:t>
                  </w:r>
                  <w:r>
                    <w:rPr>
                      <w:rFonts w:hint="eastAsia" w:cs="Times New Roman"/>
                      <w:color w:val="auto"/>
                      <w:kern w:val="21"/>
                      <w:sz w:val="21"/>
                      <w:szCs w:val="21"/>
                      <w:lang w:eastAsia="zh-CN"/>
                    </w:rPr>
                    <w:t>”</w:t>
                  </w:r>
                  <w:r>
                    <w:rPr>
                      <w:rFonts w:hint="default" w:ascii="Times New Roman" w:hAnsi="Times New Roman" w:eastAsia="宋体" w:cs="Times New Roman"/>
                      <w:color w:val="auto"/>
                      <w:kern w:val="21"/>
                      <w:sz w:val="21"/>
                      <w:szCs w:val="21"/>
                    </w:rPr>
                    <w:t>的空间格局，两带</w:t>
                  </w:r>
                  <w:r>
                    <w:rPr>
                      <w:rFonts w:hint="default" w:ascii="Times New Roman" w:hAnsi="Times New Roman" w:eastAsia="宋体" w:cs="Times New Roman"/>
                      <w:color w:val="auto"/>
                      <w:kern w:val="21"/>
                      <w:sz w:val="21"/>
                      <w:szCs w:val="21"/>
                      <w:lang w:eastAsia="zh-CN"/>
                    </w:rPr>
                    <w:t>：</w:t>
                  </w:r>
                  <w:r>
                    <w:rPr>
                      <w:rFonts w:hint="default" w:ascii="Times New Roman" w:hAnsi="Times New Roman" w:eastAsia="宋体" w:cs="Times New Roman"/>
                      <w:color w:val="auto"/>
                      <w:kern w:val="21"/>
                      <w:sz w:val="21"/>
                      <w:szCs w:val="21"/>
                    </w:rPr>
                    <w:t>周秦汉历史文化景观带、</w:t>
                  </w:r>
                  <w:r>
                    <w:rPr>
                      <w:rFonts w:hint="eastAsia" w:ascii="Times New Roman" w:hAnsi="Times New Roman" w:eastAsia="宋体" w:cs="Times New Roman"/>
                      <w:color w:val="auto"/>
                      <w:kern w:val="21"/>
                      <w:sz w:val="21"/>
                      <w:szCs w:val="21"/>
                      <w:lang w:val="en-US" w:eastAsia="zh-CN"/>
                    </w:rPr>
                    <w:t>沣河</w:t>
                  </w:r>
                  <w:r>
                    <w:rPr>
                      <w:rFonts w:hint="default" w:ascii="Times New Roman" w:hAnsi="Times New Roman" w:eastAsia="宋体" w:cs="Times New Roman"/>
                      <w:color w:val="auto"/>
                      <w:kern w:val="21"/>
                      <w:sz w:val="21"/>
                      <w:szCs w:val="21"/>
                    </w:rPr>
                    <w:t>景观风貌带，七板块</w:t>
                  </w:r>
                  <w:r>
                    <w:rPr>
                      <w:rFonts w:hint="default" w:ascii="Times New Roman" w:hAnsi="Times New Roman" w:eastAsia="宋体" w:cs="Times New Roman"/>
                      <w:color w:val="auto"/>
                      <w:kern w:val="21"/>
                      <w:sz w:val="21"/>
                      <w:szCs w:val="21"/>
                      <w:lang w:eastAsia="zh-CN"/>
                    </w:rPr>
                    <w:t>：</w:t>
                  </w:r>
                  <w:r>
                    <w:rPr>
                      <w:rFonts w:hint="eastAsia" w:ascii="Times New Roman" w:hAnsi="Times New Roman" w:eastAsia="宋体" w:cs="Times New Roman"/>
                      <w:color w:val="auto"/>
                      <w:kern w:val="21"/>
                      <w:sz w:val="21"/>
                      <w:szCs w:val="21"/>
                      <w:lang w:val="en-US" w:eastAsia="zh-CN"/>
                    </w:rPr>
                    <w:t>沣河</w:t>
                  </w:r>
                  <w:r>
                    <w:rPr>
                      <w:rFonts w:hint="default" w:ascii="Times New Roman" w:hAnsi="Times New Roman" w:eastAsia="宋体" w:cs="Times New Roman"/>
                      <w:color w:val="auto"/>
                      <w:kern w:val="21"/>
                      <w:sz w:val="21"/>
                      <w:szCs w:val="21"/>
                    </w:rPr>
                    <w:t>田园</w:t>
                  </w:r>
                  <w:r>
                    <w:rPr>
                      <w:rFonts w:hint="eastAsia" w:cs="Times New Roman"/>
                      <w:color w:val="auto"/>
                      <w:kern w:val="21"/>
                      <w:sz w:val="21"/>
                      <w:szCs w:val="21"/>
                      <w:lang w:val="en-US" w:eastAsia="zh-CN"/>
                    </w:rPr>
                    <w:t>城市</w:t>
                  </w:r>
                  <w:r>
                    <w:rPr>
                      <w:rFonts w:hint="default" w:ascii="Times New Roman" w:hAnsi="Times New Roman" w:eastAsia="宋体" w:cs="Times New Roman"/>
                      <w:color w:val="auto"/>
                      <w:kern w:val="21"/>
                      <w:sz w:val="21"/>
                      <w:szCs w:val="21"/>
                    </w:rPr>
                    <w:t>板块、六村堡现代产业板块、三桥</w:t>
                  </w:r>
                  <w:r>
                    <w:rPr>
                      <w:rFonts w:hint="eastAsia" w:ascii="Times New Roman" w:hAnsi="Times New Roman" w:eastAsia="宋体" w:cs="Times New Roman"/>
                      <w:color w:val="auto"/>
                      <w:kern w:val="21"/>
                      <w:sz w:val="21"/>
                      <w:szCs w:val="21"/>
                      <w:lang w:val="en-US" w:eastAsia="zh-CN"/>
                    </w:rPr>
                    <w:t>现代</w:t>
                  </w:r>
                  <w:r>
                    <w:rPr>
                      <w:rFonts w:hint="default" w:ascii="Times New Roman" w:hAnsi="Times New Roman" w:eastAsia="宋体" w:cs="Times New Roman"/>
                      <w:color w:val="auto"/>
                      <w:kern w:val="21"/>
                      <w:sz w:val="21"/>
                      <w:szCs w:val="21"/>
                    </w:rPr>
                    <w:t>商贸板块、</w:t>
                  </w:r>
                  <w:r>
                    <w:rPr>
                      <w:rFonts w:hint="eastAsia" w:cs="Times New Roman"/>
                      <w:color w:val="auto"/>
                      <w:kern w:val="21"/>
                      <w:sz w:val="21"/>
                      <w:szCs w:val="21"/>
                      <w:lang w:val="en-US" w:eastAsia="zh-CN"/>
                    </w:rPr>
                    <w:t>科学城</w:t>
                  </w:r>
                  <w:r>
                    <w:rPr>
                      <w:rFonts w:hint="default" w:ascii="Times New Roman" w:hAnsi="Times New Roman" w:eastAsia="宋体" w:cs="Times New Roman"/>
                      <w:color w:val="auto"/>
                      <w:kern w:val="21"/>
                      <w:sz w:val="21"/>
                      <w:szCs w:val="21"/>
                    </w:rPr>
                    <w:t>科技统筹板块、阿房宫人文旅游板块、镐京</w:t>
                  </w:r>
                  <w:r>
                    <w:rPr>
                      <w:rFonts w:hint="eastAsia" w:cs="Times New Roman"/>
                      <w:color w:val="auto"/>
                      <w:kern w:val="21"/>
                      <w:sz w:val="21"/>
                      <w:szCs w:val="21"/>
                      <w:lang w:val="en-US" w:eastAsia="zh-CN"/>
                    </w:rPr>
                    <w:t>立体城市</w:t>
                  </w:r>
                  <w:r>
                    <w:rPr>
                      <w:rFonts w:hint="default" w:ascii="Times New Roman" w:hAnsi="Times New Roman" w:eastAsia="宋体" w:cs="Times New Roman"/>
                      <w:color w:val="auto"/>
                      <w:kern w:val="21"/>
                      <w:sz w:val="21"/>
                      <w:szCs w:val="21"/>
                    </w:rPr>
                    <w:t>板块、昆明池生态</w:t>
                  </w:r>
                  <w:r>
                    <w:rPr>
                      <w:rFonts w:hint="eastAsia" w:cs="Times New Roman"/>
                      <w:color w:val="auto"/>
                      <w:kern w:val="21"/>
                      <w:sz w:val="21"/>
                      <w:szCs w:val="21"/>
                      <w:lang w:val="en-US" w:eastAsia="zh-CN"/>
                    </w:rPr>
                    <w:t>文化</w:t>
                  </w:r>
                  <w:r>
                    <w:rPr>
                      <w:rFonts w:hint="default" w:ascii="Times New Roman" w:hAnsi="Times New Roman" w:eastAsia="宋体" w:cs="Times New Roman"/>
                      <w:color w:val="auto"/>
                      <w:kern w:val="21"/>
                      <w:sz w:val="21"/>
                      <w:szCs w:val="21"/>
                    </w:rPr>
                    <w:t>板块。</w:t>
                  </w:r>
                </w:p>
              </w:tc>
              <w:tc>
                <w:tcPr>
                  <w:tcW w:w="1650" w:type="pct"/>
                  <w:noWrap w:val="0"/>
                  <w:vAlign w:val="center"/>
                </w:tcPr>
                <w:p w14:paraId="2013EB66">
                  <w:pPr>
                    <w:adjustRightInd w:val="0"/>
                    <w:snapToGrid w:val="0"/>
                    <w:rPr>
                      <w:rFonts w:hint="eastAsia"/>
                      <w:color w:val="auto"/>
                      <w:kern w:val="21"/>
                      <w:sz w:val="21"/>
                      <w:szCs w:val="21"/>
                      <w:lang w:val="en-US" w:eastAsia="zh-CN"/>
                    </w:rPr>
                  </w:pPr>
                  <w:r>
                    <w:rPr>
                      <w:rFonts w:hint="eastAsia"/>
                      <w:color w:val="auto"/>
                      <w:kern w:val="21"/>
                      <w:szCs w:val="21"/>
                    </w:rPr>
                    <w:t>本项目位于沣东新城</w:t>
                  </w:r>
                  <w:r>
                    <w:rPr>
                      <w:rFonts w:hint="eastAsia"/>
                      <w:color w:val="auto"/>
                      <w:kern w:val="21"/>
                      <w:szCs w:val="21"/>
                      <w:lang w:val="en-US" w:eastAsia="zh-CN"/>
                    </w:rPr>
                    <w:t>天章大道与丰安路十字西北角</w:t>
                  </w:r>
                  <w:r>
                    <w:rPr>
                      <w:rFonts w:hint="eastAsia"/>
                      <w:color w:val="auto"/>
                      <w:kern w:val="21"/>
                      <w:szCs w:val="21"/>
                    </w:rPr>
                    <w:t>，</w:t>
                  </w:r>
                  <w:r>
                    <w:rPr>
                      <w:rFonts w:hint="eastAsia"/>
                      <w:color w:val="auto"/>
                      <w:kern w:val="21"/>
                      <w:sz w:val="21"/>
                      <w:szCs w:val="21"/>
                      <w:lang w:val="en-US" w:eastAsia="zh-CN"/>
                    </w:rPr>
                    <w:t>位于</w:t>
                  </w:r>
                  <w:r>
                    <w:rPr>
                      <w:rFonts w:hint="default" w:ascii="Times New Roman" w:hAnsi="Times New Roman" w:eastAsia="宋体" w:cs="Times New Roman"/>
                      <w:color w:val="auto"/>
                      <w:kern w:val="21"/>
                      <w:sz w:val="21"/>
                      <w:szCs w:val="21"/>
                    </w:rPr>
                    <w:t>规划范围内</w:t>
                  </w:r>
                  <w:r>
                    <w:rPr>
                      <w:rFonts w:hint="eastAsia"/>
                      <w:color w:val="auto"/>
                      <w:kern w:val="21"/>
                      <w:sz w:val="21"/>
                      <w:szCs w:val="21"/>
                      <w:lang w:val="en-US" w:eastAsia="zh-CN"/>
                    </w:rPr>
                    <w:t>。</w:t>
                  </w:r>
                </w:p>
                <w:p w14:paraId="6555ADB2">
                  <w:pPr>
                    <w:adjustRightInd w:val="0"/>
                    <w:snapToGrid w:val="0"/>
                    <w:rPr>
                      <w:rFonts w:hint="eastAsia"/>
                      <w:color w:val="auto"/>
                      <w:kern w:val="21"/>
                      <w:szCs w:val="21"/>
                    </w:rPr>
                  </w:pPr>
                  <w:r>
                    <w:rPr>
                      <w:rFonts w:hint="eastAsia"/>
                      <w:color w:val="auto"/>
                      <w:kern w:val="21"/>
                      <w:szCs w:val="21"/>
                      <w:lang w:val="en-US" w:eastAsia="zh-CN"/>
                    </w:rPr>
                    <w:t>项目租用陕西格邦森实业有限公司</w:t>
                  </w:r>
                  <w:r>
                    <w:rPr>
                      <w:rFonts w:hint="eastAsia"/>
                      <w:color w:val="auto"/>
                      <w:kern w:val="21"/>
                      <w:szCs w:val="21"/>
                    </w:rPr>
                    <w:t>丰树沣东（西安）产业园</w:t>
                  </w:r>
                  <w:r>
                    <w:rPr>
                      <w:rFonts w:hint="eastAsia"/>
                      <w:color w:val="auto"/>
                      <w:kern w:val="21"/>
                      <w:szCs w:val="21"/>
                      <w:lang w:val="en-US" w:eastAsia="zh-CN"/>
                    </w:rPr>
                    <w:t>1</w:t>
                  </w:r>
                  <w:r>
                    <w:rPr>
                      <w:rFonts w:hint="eastAsia"/>
                      <w:color w:val="auto"/>
                      <w:kern w:val="21"/>
                      <w:szCs w:val="21"/>
                    </w:rPr>
                    <w:t>号库</w:t>
                  </w:r>
                  <w:r>
                    <w:rPr>
                      <w:rFonts w:hint="eastAsia"/>
                      <w:color w:val="auto"/>
                      <w:kern w:val="21"/>
                      <w:szCs w:val="21"/>
                      <w:lang w:val="en-US" w:eastAsia="zh-CN"/>
                    </w:rPr>
                    <w:t>1-1号</w:t>
                  </w:r>
                  <w:r>
                    <w:rPr>
                      <w:rFonts w:hint="eastAsia"/>
                      <w:color w:val="auto"/>
                      <w:kern w:val="21"/>
                      <w:szCs w:val="21"/>
                    </w:rPr>
                    <w:t>，用地性质属于</w:t>
                  </w:r>
                  <w:r>
                    <w:rPr>
                      <w:rFonts w:hint="eastAsia"/>
                      <w:color w:val="auto"/>
                      <w:kern w:val="21"/>
                      <w:szCs w:val="21"/>
                      <w:lang w:val="en-US" w:eastAsia="zh-CN"/>
                    </w:rPr>
                    <w:t>工业</w:t>
                  </w:r>
                  <w:r>
                    <w:rPr>
                      <w:rFonts w:hint="eastAsia"/>
                      <w:color w:val="auto"/>
                      <w:kern w:val="21"/>
                      <w:szCs w:val="21"/>
                    </w:rPr>
                    <w:t>用地。</w:t>
                  </w:r>
                </w:p>
                <w:p w14:paraId="51427B9C">
                  <w:pPr>
                    <w:adjustRightInd w:val="0"/>
                    <w:snapToGrid w:val="0"/>
                    <w:rPr>
                      <w:color w:val="auto"/>
                      <w:kern w:val="0"/>
                      <w:szCs w:val="21"/>
                    </w:rPr>
                  </w:pPr>
                  <w:r>
                    <w:rPr>
                      <w:rFonts w:hint="eastAsia"/>
                      <w:color w:val="auto"/>
                      <w:kern w:val="21"/>
                      <w:szCs w:val="21"/>
                    </w:rPr>
                    <w:t>项目所在位置属于六村堡现代产业板块，本</w:t>
                  </w:r>
                  <w:r>
                    <w:rPr>
                      <w:rFonts w:hint="eastAsia"/>
                      <w:color w:val="auto"/>
                      <w:kern w:val="21"/>
                      <w:szCs w:val="21"/>
                      <w:lang w:val="en-US" w:eastAsia="zh-CN"/>
                    </w:rPr>
                    <w:t>项目</w:t>
                  </w:r>
                  <w:r>
                    <w:rPr>
                      <w:rFonts w:hint="eastAsia"/>
                      <w:color w:val="auto"/>
                      <w:kern w:val="21"/>
                      <w:szCs w:val="21"/>
                    </w:rPr>
                    <w:t>行业类别为O-8111汽车修理与维护，符合规划产业定位。</w:t>
                  </w:r>
                </w:p>
              </w:tc>
              <w:tc>
                <w:tcPr>
                  <w:tcW w:w="377" w:type="pct"/>
                  <w:noWrap w:val="0"/>
                  <w:vAlign w:val="center"/>
                </w:tcPr>
                <w:p w14:paraId="6D5B2D4D">
                  <w:pPr>
                    <w:adjustRightInd w:val="0"/>
                    <w:snapToGrid w:val="0"/>
                    <w:jc w:val="center"/>
                    <w:rPr>
                      <w:color w:val="auto"/>
                      <w:kern w:val="0"/>
                      <w:szCs w:val="21"/>
                    </w:rPr>
                  </w:pPr>
                  <w:r>
                    <w:rPr>
                      <w:rFonts w:hint="eastAsia"/>
                      <w:color w:val="auto"/>
                      <w:kern w:val="0"/>
                      <w:szCs w:val="21"/>
                    </w:rPr>
                    <w:t>符合</w:t>
                  </w:r>
                </w:p>
              </w:tc>
            </w:tr>
            <w:tr w14:paraId="56F170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84" w:hRule="atLeast"/>
                <w:jc w:val="center"/>
              </w:trPr>
              <w:tc>
                <w:tcPr>
                  <w:tcW w:w="928" w:type="pct"/>
                  <w:vMerge w:val="restart"/>
                  <w:noWrap w:val="0"/>
                  <w:vAlign w:val="center"/>
                </w:tcPr>
                <w:p w14:paraId="48A64CC4">
                  <w:pPr>
                    <w:autoSpaceDE w:val="0"/>
                    <w:autoSpaceDN w:val="0"/>
                    <w:adjustRightInd w:val="0"/>
                    <w:snapToGrid w:val="0"/>
                    <w:jc w:val="center"/>
                    <w:rPr>
                      <w:color w:val="auto"/>
                      <w:szCs w:val="21"/>
                    </w:rPr>
                  </w:pPr>
                  <w:r>
                    <w:rPr>
                      <w:rFonts w:hint="eastAsia"/>
                      <w:color w:val="auto"/>
                      <w:szCs w:val="21"/>
                    </w:rPr>
                    <w:t>《西咸新区－沣东新城分区规划（2010-2020）环境影响报告书及审查意见》</w:t>
                  </w:r>
                </w:p>
              </w:tc>
              <w:tc>
                <w:tcPr>
                  <w:tcW w:w="2044" w:type="pct"/>
                  <w:noWrap w:val="0"/>
                  <w:vAlign w:val="center"/>
                </w:tcPr>
                <w:p w14:paraId="62548959">
                  <w:pPr>
                    <w:ind w:firstLine="420" w:firstLineChars="200"/>
                    <w:rPr>
                      <w:rFonts w:hint="eastAsia"/>
                      <w:color w:val="auto"/>
                      <w:sz w:val="21"/>
                      <w:szCs w:val="21"/>
                    </w:rPr>
                  </w:pPr>
                  <w:r>
                    <w:rPr>
                      <w:rFonts w:hint="eastAsia"/>
                      <w:color w:val="auto"/>
                      <w:sz w:val="21"/>
                      <w:szCs w:val="21"/>
                    </w:rPr>
                    <w:t>1.推广清洁能源使用，建立可持续能源体系结构。鼓励使用天然气、风能、太阳能、地热能、生物质能等能源。大力发展城市集中供热，全面普及居民生活燃气，实现</w:t>
                  </w:r>
                  <w:r>
                    <w:rPr>
                      <w:rFonts w:hint="eastAsia"/>
                      <w:color w:val="auto"/>
                      <w:sz w:val="21"/>
                      <w:szCs w:val="21"/>
                      <w:lang w:eastAsia="zh-CN"/>
                    </w:rPr>
                    <w:t>“</w:t>
                  </w:r>
                  <w:r>
                    <w:rPr>
                      <w:rFonts w:hint="eastAsia"/>
                      <w:color w:val="auto"/>
                      <w:sz w:val="21"/>
                      <w:szCs w:val="21"/>
                    </w:rPr>
                    <w:t>以气代煤</w:t>
                  </w:r>
                  <w:r>
                    <w:rPr>
                      <w:rFonts w:hint="eastAsia"/>
                      <w:color w:val="auto"/>
                      <w:sz w:val="21"/>
                      <w:szCs w:val="21"/>
                      <w:lang w:eastAsia="zh-CN"/>
                    </w:rPr>
                    <w:t>”</w:t>
                  </w:r>
                  <w:r>
                    <w:rPr>
                      <w:rFonts w:hint="eastAsia"/>
                      <w:color w:val="auto"/>
                      <w:sz w:val="21"/>
                      <w:szCs w:val="21"/>
                    </w:rPr>
                    <w:t>、</w:t>
                  </w:r>
                  <w:r>
                    <w:rPr>
                      <w:rFonts w:hint="eastAsia"/>
                      <w:color w:val="auto"/>
                      <w:sz w:val="21"/>
                      <w:szCs w:val="21"/>
                      <w:lang w:eastAsia="zh-CN"/>
                    </w:rPr>
                    <w:t>“</w:t>
                  </w:r>
                  <w:r>
                    <w:rPr>
                      <w:rFonts w:hint="eastAsia"/>
                      <w:color w:val="auto"/>
                      <w:sz w:val="21"/>
                      <w:szCs w:val="21"/>
                    </w:rPr>
                    <w:t>以电代煤</w:t>
                  </w:r>
                  <w:r>
                    <w:rPr>
                      <w:rFonts w:hint="eastAsia"/>
                      <w:color w:val="auto"/>
                      <w:sz w:val="21"/>
                      <w:szCs w:val="21"/>
                      <w:lang w:eastAsia="zh-CN"/>
                    </w:rPr>
                    <w:t>”</w:t>
                  </w:r>
                  <w:r>
                    <w:rPr>
                      <w:rFonts w:hint="eastAsia"/>
                      <w:color w:val="auto"/>
                      <w:sz w:val="21"/>
                      <w:szCs w:val="21"/>
                    </w:rPr>
                    <w:t>。</w:t>
                  </w:r>
                </w:p>
                <w:p w14:paraId="4F194D7E">
                  <w:pPr>
                    <w:ind w:firstLine="420" w:firstLineChars="200"/>
                    <w:rPr>
                      <w:color w:val="auto"/>
                      <w:kern w:val="2"/>
                      <w:sz w:val="21"/>
                      <w:szCs w:val="21"/>
                      <w:lang w:val="en-US" w:eastAsia="zh-CN" w:bidi="ar-SA"/>
                    </w:rPr>
                  </w:pPr>
                  <w:r>
                    <w:rPr>
                      <w:rFonts w:hint="eastAsia"/>
                      <w:color w:val="auto"/>
                      <w:sz w:val="21"/>
                      <w:szCs w:val="21"/>
                    </w:rPr>
                    <w:t>2.大气环境保护对策和措施：严格产业准入制度，控制企业污染排放。设置新城产业准入大气环境标准，对排污量大的行业进行限制，防止对新城产生影响。</w:t>
                  </w:r>
                </w:p>
              </w:tc>
              <w:tc>
                <w:tcPr>
                  <w:tcW w:w="1650" w:type="pct"/>
                  <w:noWrap w:val="0"/>
                  <w:vAlign w:val="center"/>
                </w:tcPr>
                <w:p w14:paraId="643774B7">
                  <w:pPr>
                    <w:adjustRightInd w:val="0"/>
                    <w:snapToGrid w:val="0"/>
                    <w:rPr>
                      <w:rFonts w:hint="eastAsia"/>
                      <w:color w:val="auto"/>
                      <w:kern w:val="0"/>
                      <w:sz w:val="21"/>
                      <w:szCs w:val="21"/>
                      <w:lang w:val="en-US" w:eastAsia="zh-CN"/>
                    </w:rPr>
                  </w:pPr>
                  <w:r>
                    <w:rPr>
                      <w:rFonts w:hint="eastAsia"/>
                      <w:color w:val="auto"/>
                      <w:kern w:val="0"/>
                      <w:sz w:val="21"/>
                      <w:szCs w:val="21"/>
                      <w:lang w:val="en-US" w:eastAsia="zh-CN"/>
                    </w:rPr>
                    <w:t>1.本项目运营期所用能源主要为电能，属于清洁能源。</w:t>
                  </w:r>
                </w:p>
                <w:p w14:paraId="193C4200">
                  <w:pPr>
                    <w:adjustRightInd w:val="0"/>
                    <w:snapToGrid w:val="0"/>
                    <w:rPr>
                      <w:rFonts w:hint="default" w:eastAsia="宋体"/>
                      <w:color w:val="auto"/>
                      <w:kern w:val="0"/>
                      <w:sz w:val="21"/>
                      <w:szCs w:val="21"/>
                      <w:lang w:val="en-US" w:eastAsia="zh-CN" w:bidi="ar-SA"/>
                    </w:rPr>
                  </w:pPr>
                  <w:r>
                    <w:rPr>
                      <w:rFonts w:hint="eastAsia"/>
                      <w:color w:val="auto"/>
                      <w:kern w:val="0"/>
                      <w:sz w:val="21"/>
                      <w:szCs w:val="21"/>
                      <w:lang w:val="en-US" w:eastAsia="zh-CN"/>
                    </w:rPr>
                    <w:t>2.本项目运营期颗粒物排放执行《大气污染物综合排放标准》（GB16297-1996）二级标准要求；非甲烷总烃、甲苯和二甲苯排放执行《挥发性有机物排放控制标准》（DB 61/T 1061-2017）限值要求；污染物排放均能达到控制标准。</w:t>
                  </w:r>
                </w:p>
              </w:tc>
              <w:tc>
                <w:tcPr>
                  <w:tcW w:w="377" w:type="pct"/>
                  <w:noWrap w:val="0"/>
                  <w:vAlign w:val="center"/>
                </w:tcPr>
                <w:p w14:paraId="6503C269">
                  <w:pPr>
                    <w:adjustRightInd w:val="0"/>
                    <w:snapToGrid w:val="0"/>
                    <w:jc w:val="center"/>
                    <w:rPr>
                      <w:color w:val="auto"/>
                      <w:kern w:val="21"/>
                      <w:szCs w:val="21"/>
                    </w:rPr>
                  </w:pPr>
                  <w:r>
                    <w:rPr>
                      <w:rFonts w:hint="eastAsia"/>
                      <w:color w:val="auto"/>
                      <w:kern w:val="21"/>
                      <w:szCs w:val="21"/>
                    </w:rPr>
                    <w:t>符合</w:t>
                  </w:r>
                </w:p>
              </w:tc>
            </w:tr>
            <w:tr w14:paraId="011540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84" w:hRule="atLeast"/>
                <w:jc w:val="center"/>
              </w:trPr>
              <w:tc>
                <w:tcPr>
                  <w:tcW w:w="928" w:type="pct"/>
                  <w:vMerge w:val="continue"/>
                  <w:noWrap w:val="0"/>
                  <w:vAlign w:val="center"/>
                </w:tcPr>
                <w:p w14:paraId="248E238A">
                  <w:pPr>
                    <w:autoSpaceDE w:val="0"/>
                    <w:autoSpaceDN w:val="0"/>
                    <w:adjustRightInd w:val="0"/>
                    <w:snapToGrid w:val="0"/>
                    <w:jc w:val="center"/>
                    <w:rPr>
                      <w:rFonts w:hint="eastAsia"/>
                      <w:color w:val="auto"/>
                      <w:szCs w:val="21"/>
                    </w:rPr>
                  </w:pPr>
                </w:p>
              </w:tc>
              <w:tc>
                <w:tcPr>
                  <w:tcW w:w="2044" w:type="pct"/>
                  <w:noWrap w:val="0"/>
                  <w:vAlign w:val="center"/>
                </w:tcPr>
                <w:p w14:paraId="103B5347">
                  <w:pPr>
                    <w:ind w:firstLine="420" w:firstLineChars="200"/>
                    <w:rPr>
                      <w:rFonts w:hint="eastAsia"/>
                      <w:color w:val="auto"/>
                      <w:sz w:val="21"/>
                      <w:szCs w:val="21"/>
                    </w:rPr>
                  </w:pPr>
                  <w:r>
                    <w:rPr>
                      <w:rFonts w:hint="eastAsia"/>
                      <w:color w:val="auto"/>
                      <w:sz w:val="21"/>
                      <w:szCs w:val="21"/>
                    </w:rPr>
                    <w:t>1.实行污水集中处理，生产废水和生活污水必须经处理达到污水处理厂接纳标准后汇入污水管道，排入污水处理厂集中处理。</w:t>
                  </w:r>
                </w:p>
                <w:p w14:paraId="299E1984">
                  <w:pPr>
                    <w:ind w:firstLine="420" w:firstLineChars="200"/>
                    <w:rPr>
                      <w:rFonts w:hint="eastAsia"/>
                      <w:color w:val="auto"/>
                      <w:kern w:val="2"/>
                      <w:sz w:val="21"/>
                      <w:szCs w:val="21"/>
                      <w:lang w:val="en-US" w:eastAsia="zh-CN" w:bidi="ar-SA"/>
                    </w:rPr>
                  </w:pPr>
                  <w:r>
                    <w:rPr>
                      <w:rFonts w:hint="eastAsia"/>
                      <w:color w:val="auto"/>
                      <w:sz w:val="21"/>
                      <w:szCs w:val="21"/>
                    </w:rPr>
                    <w:t>2.水环境保护对策和措施：严格环境准入制度，防治企业污染排放。在规划建设中，要设置相应的环保准入门槛，限制造纸、化工、食品饮料加工、皮革、电镀等高耗水、重污染行业进入。</w:t>
                  </w:r>
                </w:p>
              </w:tc>
              <w:tc>
                <w:tcPr>
                  <w:tcW w:w="1650" w:type="pct"/>
                  <w:noWrap w:val="0"/>
                  <w:vAlign w:val="center"/>
                </w:tcPr>
                <w:p w14:paraId="0DB70AAE">
                  <w:pPr>
                    <w:adjustRightInd w:val="0"/>
                    <w:snapToGrid w:val="0"/>
                    <w:rPr>
                      <w:rFonts w:hint="eastAsia"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w:t>
                  </w:r>
                  <w:r>
                    <w:rPr>
                      <w:rFonts w:hint="default" w:ascii="Times New Roman" w:hAnsi="Times New Roman" w:eastAsia="宋体" w:cs="Times New Roman"/>
                      <w:color w:val="auto"/>
                      <w:kern w:val="2"/>
                      <w:sz w:val="21"/>
                      <w:szCs w:val="21"/>
                      <w:lang w:val="en-US" w:eastAsia="zh-CN" w:bidi="ar-SA"/>
                    </w:rPr>
                    <w:t>项目运</w:t>
                  </w:r>
                  <w:r>
                    <w:rPr>
                      <w:rFonts w:hint="eastAsia" w:ascii="Times New Roman" w:hAnsi="Times New Roman" w:eastAsia="宋体" w:cs="Times New Roman"/>
                      <w:color w:val="auto"/>
                      <w:kern w:val="2"/>
                      <w:sz w:val="21"/>
                      <w:szCs w:val="21"/>
                      <w:lang w:val="en-US" w:eastAsia="zh-CN" w:bidi="ar-SA"/>
                    </w:rPr>
                    <w:t>行</w:t>
                  </w:r>
                  <w:r>
                    <w:rPr>
                      <w:rFonts w:hint="default" w:ascii="Times New Roman" w:hAnsi="Times New Roman" w:eastAsia="宋体" w:cs="Times New Roman"/>
                      <w:color w:val="auto"/>
                      <w:kern w:val="2"/>
                      <w:sz w:val="21"/>
                      <w:szCs w:val="21"/>
                      <w:lang w:val="en-US" w:eastAsia="zh-CN" w:bidi="ar-SA"/>
                    </w:rPr>
                    <w:t>期，</w:t>
                  </w:r>
                  <w:r>
                    <w:rPr>
                      <w:rFonts w:hint="eastAsia" w:ascii="Times New Roman" w:hAnsi="Times New Roman" w:eastAsia="宋体" w:cs="Times New Roman"/>
                      <w:color w:val="auto"/>
                      <w:kern w:val="2"/>
                      <w:sz w:val="21"/>
                      <w:szCs w:val="21"/>
                      <w:lang w:val="en-US" w:eastAsia="zh-CN" w:bidi="ar-SA"/>
                    </w:rPr>
                    <w:t>钣喷中心地面拖地废水和洗车废水，主要污染物为COD、石油类、LAS、SS等，经隔油池+沉淀池处理，</w:t>
                  </w:r>
                  <w:r>
                    <w:rPr>
                      <w:rFonts w:hint="eastAsia" w:cs="Times New Roman"/>
                      <w:color w:val="auto"/>
                      <w:kern w:val="2"/>
                      <w:sz w:val="21"/>
                      <w:szCs w:val="21"/>
                      <w:lang w:val="en-US" w:eastAsia="zh-CN" w:bidi="ar-SA"/>
                    </w:rPr>
                    <w:t>经</w:t>
                  </w:r>
                  <w:r>
                    <w:rPr>
                      <w:rFonts w:hint="eastAsia" w:ascii="Times New Roman" w:hAnsi="Times New Roman" w:eastAsia="宋体" w:cs="Times New Roman"/>
                      <w:color w:val="auto"/>
                      <w:kern w:val="2"/>
                      <w:sz w:val="21"/>
                      <w:szCs w:val="21"/>
                      <w:lang w:val="en-US" w:eastAsia="zh-CN" w:bidi="ar-SA"/>
                    </w:rPr>
                    <w:t>化粪池进入市政污水管网，最终进入西安净水处理有限责任公司第六再生水厂</w:t>
                  </w:r>
                  <w:r>
                    <w:rPr>
                      <w:rFonts w:hint="default" w:ascii="Times New Roman" w:hAnsi="Times New Roman" w:eastAsia="宋体" w:cs="Times New Roman"/>
                      <w:color w:val="auto"/>
                      <w:kern w:val="2"/>
                      <w:sz w:val="21"/>
                      <w:szCs w:val="21"/>
                      <w:lang w:val="en-US" w:eastAsia="zh-CN" w:bidi="ar-SA"/>
                    </w:rPr>
                    <w:t>；</w:t>
                  </w:r>
                  <w:r>
                    <w:rPr>
                      <w:rFonts w:hint="eastAsia" w:ascii="Times New Roman" w:hAnsi="Times New Roman" w:eastAsia="宋体" w:cs="Times New Roman"/>
                      <w:color w:val="auto"/>
                      <w:kern w:val="2"/>
                      <w:sz w:val="21"/>
                      <w:szCs w:val="21"/>
                      <w:lang w:val="en-US" w:eastAsia="zh-CN" w:bidi="ar-SA"/>
                    </w:rPr>
                    <w:t>生活污水</w:t>
                  </w:r>
                  <w:r>
                    <w:rPr>
                      <w:rFonts w:hint="eastAsia" w:cs="Times New Roman"/>
                      <w:color w:val="auto"/>
                      <w:kern w:val="2"/>
                      <w:sz w:val="21"/>
                      <w:szCs w:val="21"/>
                      <w:lang w:val="en-US" w:eastAsia="zh-CN" w:bidi="ar-SA"/>
                    </w:rPr>
                    <w:t>经租赁丰树沣东（西安）产业园二期（以下简称“产业园”）化粪池处理后，排入市政污水管网，最终进入西安净水处理有限责任公司第六再生水厂进行处理；</w:t>
                  </w:r>
                </w:p>
                <w:p w14:paraId="089B6F79">
                  <w:pPr>
                    <w:adjustRightInd w:val="0"/>
                    <w:snapToGrid w:val="0"/>
                    <w:rPr>
                      <w:rFonts w:hint="eastAsia"/>
                      <w:color w:val="auto"/>
                      <w:kern w:val="0"/>
                      <w:sz w:val="21"/>
                      <w:szCs w:val="21"/>
                      <w:lang w:val="en-US" w:eastAsia="zh-CN" w:bidi="ar-SA"/>
                    </w:rPr>
                  </w:pPr>
                  <w:r>
                    <w:rPr>
                      <w:rFonts w:hint="eastAsia" w:cs="Times New Roman"/>
                      <w:color w:val="auto"/>
                      <w:kern w:val="2"/>
                      <w:sz w:val="21"/>
                      <w:szCs w:val="21"/>
                      <w:lang w:val="en-US" w:eastAsia="zh-CN" w:bidi="ar-SA"/>
                    </w:rPr>
                    <w:t>2.本项目属于汽车修理与维护，不属于造纸、化工、食品饮料加工、皮革、电镀等高耗水、重污染行业。</w:t>
                  </w:r>
                </w:p>
              </w:tc>
              <w:tc>
                <w:tcPr>
                  <w:tcW w:w="377" w:type="pct"/>
                  <w:noWrap w:val="0"/>
                  <w:vAlign w:val="center"/>
                </w:tcPr>
                <w:p w14:paraId="10E2FCDB">
                  <w:pPr>
                    <w:adjustRightInd w:val="0"/>
                    <w:snapToGrid w:val="0"/>
                    <w:jc w:val="center"/>
                    <w:rPr>
                      <w:rFonts w:hint="eastAsia"/>
                      <w:color w:val="auto"/>
                      <w:kern w:val="21"/>
                      <w:szCs w:val="21"/>
                    </w:rPr>
                  </w:pPr>
                  <w:r>
                    <w:rPr>
                      <w:rFonts w:hint="eastAsia"/>
                      <w:color w:val="auto"/>
                      <w:kern w:val="21"/>
                      <w:szCs w:val="21"/>
                    </w:rPr>
                    <w:t>符合</w:t>
                  </w:r>
                </w:p>
              </w:tc>
            </w:tr>
            <w:tr w14:paraId="52AB40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8" w:hRule="atLeast"/>
                <w:jc w:val="center"/>
              </w:trPr>
              <w:tc>
                <w:tcPr>
                  <w:tcW w:w="928" w:type="pct"/>
                  <w:vMerge w:val="continue"/>
                  <w:noWrap w:val="0"/>
                  <w:vAlign w:val="center"/>
                </w:tcPr>
                <w:p w14:paraId="4D83386E">
                  <w:pPr>
                    <w:autoSpaceDE w:val="0"/>
                    <w:autoSpaceDN w:val="0"/>
                    <w:adjustRightInd w:val="0"/>
                    <w:snapToGrid w:val="0"/>
                    <w:jc w:val="left"/>
                    <w:rPr>
                      <w:rFonts w:hint="eastAsia"/>
                      <w:color w:val="auto"/>
                      <w:szCs w:val="21"/>
                    </w:rPr>
                  </w:pPr>
                </w:p>
              </w:tc>
              <w:tc>
                <w:tcPr>
                  <w:tcW w:w="2044" w:type="pct"/>
                  <w:noWrap w:val="0"/>
                  <w:vAlign w:val="center"/>
                </w:tcPr>
                <w:p w14:paraId="65829A60">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color w:val="auto"/>
                      <w:kern w:val="2"/>
                      <w:sz w:val="21"/>
                      <w:szCs w:val="21"/>
                      <w:lang w:val="en-US" w:eastAsia="zh-CN" w:bidi="ar-SA"/>
                    </w:rPr>
                  </w:pPr>
                  <w:r>
                    <w:rPr>
                      <w:rFonts w:hint="eastAsia"/>
                      <w:color w:val="auto"/>
                      <w:sz w:val="21"/>
                      <w:szCs w:val="21"/>
                    </w:rPr>
                    <w:t>声环境保护对策和措施：加强环境噪声管理，建立完善的环境噪声管理办法。完善环境噪声达标区管理办法，加强对公共和个人娱乐区、商业区等的环境噪声管理，加强对建筑噪声以及固定噪声源的管理。</w:t>
                  </w:r>
                </w:p>
              </w:tc>
              <w:tc>
                <w:tcPr>
                  <w:tcW w:w="1650" w:type="pct"/>
                  <w:noWrap w:val="0"/>
                  <w:vAlign w:val="center"/>
                </w:tcPr>
                <w:p w14:paraId="4FA2F9CF">
                  <w:pPr>
                    <w:adjustRightInd w:val="0"/>
                    <w:snapToGrid w:val="0"/>
                    <w:rPr>
                      <w:rFonts w:hint="default"/>
                      <w:color w:val="auto"/>
                      <w:kern w:val="0"/>
                      <w:sz w:val="21"/>
                      <w:szCs w:val="21"/>
                      <w:lang w:val="en-US" w:eastAsia="zh-CN" w:bidi="ar-SA"/>
                    </w:rPr>
                  </w:pPr>
                  <w:r>
                    <w:rPr>
                      <w:rFonts w:hint="default"/>
                      <w:color w:val="auto"/>
                      <w:kern w:val="0"/>
                      <w:sz w:val="21"/>
                      <w:szCs w:val="21"/>
                      <w:lang w:val="en-US"/>
                    </w:rPr>
                    <w:t>项目选用低噪声设备，运营期定期对生产设备进行检查维护，保证设备正常运转，厂房隔声</w:t>
                  </w:r>
                  <w:r>
                    <w:rPr>
                      <w:rFonts w:hint="eastAsia"/>
                      <w:color w:val="auto"/>
                      <w:kern w:val="0"/>
                      <w:sz w:val="21"/>
                      <w:szCs w:val="21"/>
                      <w:lang w:val="en-US" w:eastAsia="zh-CN"/>
                    </w:rPr>
                    <w:t>等</w:t>
                  </w:r>
                  <w:r>
                    <w:rPr>
                      <w:rFonts w:hint="default"/>
                      <w:color w:val="auto"/>
                      <w:kern w:val="0"/>
                      <w:sz w:val="21"/>
                      <w:szCs w:val="21"/>
                      <w:lang w:val="en-US"/>
                    </w:rPr>
                    <w:t>降低项目生产过程噪声对周边环境的影响。</w:t>
                  </w:r>
                </w:p>
              </w:tc>
              <w:tc>
                <w:tcPr>
                  <w:tcW w:w="377" w:type="pct"/>
                  <w:noWrap w:val="0"/>
                  <w:vAlign w:val="center"/>
                </w:tcPr>
                <w:p w14:paraId="4FAEE6DB">
                  <w:pPr>
                    <w:adjustRightInd w:val="0"/>
                    <w:snapToGrid w:val="0"/>
                    <w:jc w:val="center"/>
                    <w:rPr>
                      <w:rFonts w:hint="eastAsia"/>
                      <w:color w:val="auto"/>
                      <w:kern w:val="21"/>
                      <w:szCs w:val="21"/>
                    </w:rPr>
                  </w:pPr>
                  <w:r>
                    <w:rPr>
                      <w:rFonts w:hint="eastAsia"/>
                      <w:color w:val="auto"/>
                      <w:kern w:val="21"/>
                      <w:szCs w:val="21"/>
                    </w:rPr>
                    <w:t>符合</w:t>
                  </w:r>
                </w:p>
              </w:tc>
            </w:tr>
            <w:tr w14:paraId="183614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8" w:hRule="atLeast"/>
                <w:jc w:val="center"/>
              </w:trPr>
              <w:tc>
                <w:tcPr>
                  <w:tcW w:w="928" w:type="pct"/>
                  <w:vMerge w:val="continue"/>
                  <w:noWrap w:val="0"/>
                  <w:vAlign w:val="center"/>
                </w:tcPr>
                <w:p w14:paraId="5B054C9E">
                  <w:pPr>
                    <w:autoSpaceDE w:val="0"/>
                    <w:autoSpaceDN w:val="0"/>
                    <w:adjustRightInd w:val="0"/>
                    <w:snapToGrid w:val="0"/>
                    <w:jc w:val="left"/>
                    <w:rPr>
                      <w:rFonts w:hint="eastAsia"/>
                      <w:color w:val="auto"/>
                      <w:szCs w:val="21"/>
                    </w:rPr>
                  </w:pPr>
                </w:p>
              </w:tc>
              <w:tc>
                <w:tcPr>
                  <w:tcW w:w="2044" w:type="pct"/>
                  <w:noWrap w:val="0"/>
                  <w:vAlign w:val="center"/>
                </w:tcPr>
                <w:p w14:paraId="7138F739">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color w:val="auto"/>
                      <w:kern w:val="2"/>
                      <w:sz w:val="21"/>
                      <w:szCs w:val="21"/>
                      <w:lang w:val="en-US" w:eastAsia="zh-CN" w:bidi="ar-SA"/>
                    </w:rPr>
                  </w:pPr>
                  <w:r>
                    <w:rPr>
                      <w:rFonts w:hint="eastAsia"/>
                      <w:color w:val="auto"/>
                      <w:sz w:val="21"/>
                      <w:szCs w:val="21"/>
                    </w:rPr>
                    <w:t>固体废物综合整治对策：提高全民的环境意识，提倡节约，减少城市生活垃圾产生量，推行生活垃圾分类收集，提高生活垃圾无害化处理率和固体废物的综合利用率。提高危险固废和医疗垃圾的安全处理、处置能力。</w:t>
                  </w:r>
                </w:p>
              </w:tc>
              <w:tc>
                <w:tcPr>
                  <w:tcW w:w="1650" w:type="pct"/>
                  <w:noWrap w:val="0"/>
                  <w:vAlign w:val="center"/>
                </w:tcPr>
                <w:p w14:paraId="4318D45F">
                  <w:pPr>
                    <w:adjustRightInd w:val="0"/>
                    <w:snapToGrid w:val="0"/>
                    <w:rPr>
                      <w:rFonts w:hint="eastAsia"/>
                      <w:color w:val="auto"/>
                      <w:kern w:val="0"/>
                      <w:sz w:val="21"/>
                      <w:szCs w:val="21"/>
                      <w:lang w:val="en-US" w:eastAsia="zh-CN" w:bidi="ar-SA"/>
                    </w:rPr>
                  </w:pPr>
                  <w:r>
                    <w:rPr>
                      <w:rFonts w:hint="eastAsia"/>
                      <w:color w:val="auto"/>
                      <w:kern w:val="0"/>
                      <w:sz w:val="21"/>
                      <w:szCs w:val="21"/>
                    </w:rPr>
                    <w:t>本项目</w:t>
                  </w:r>
                  <w:r>
                    <w:rPr>
                      <w:rFonts w:hint="eastAsia"/>
                      <w:color w:val="auto"/>
                      <w:kern w:val="0"/>
                      <w:sz w:val="21"/>
                      <w:szCs w:val="21"/>
                      <w:lang w:val="en-US" w:eastAsia="zh-CN"/>
                    </w:rPr>
                    <w:t>产生油泥、废机滤、废矿物油（废机油、废刹车油、废变速箱油等）、废铅酸电池、废防冻液、废抹布、废油桶和废油漆桶在危废贮存库1#暂存后，定期交由有资质单位处置；废原子灰渣、废遮蔽纸、废过滤棉、废活性炭、废刹车片和废荧光灯管在危废贮存库2#暂存后，定期交由有资质单位处置。</w:t>
                  </w:r>
                </w:p>
              </w:tc>
              <w:tc>
                <w:tcPr>
                  <w:tcW w:w="377" w:type="pct"/>
                  <w:noWrap w:val="0"/>
                  <w:vAlign w:val="center"/>
                </w:tcPr>
                <w:p w14:paraId="30236430">
                  <w:pPr>
                    <w:adjustRightInd w:val="0"/>
                    <w:snapToGrid w:val="0"/>
                    <w:jc w:val="center"/>
                    <w:rPr>
                      <w:rFonts w:hint="eastAsia"/>
                      <w:color w:val="auto"/>
                      <w:kern w:val="21"/>
                      <w:szCs w:val="21"/>
                    </w:rPr>
                  </w:pPr>
                  <w:r>
                    <w:rPr>
                      <w:rFonts w:hint="eastAsia"/>
                      <w:color w:val="auto"/>
                      <w:kern w:val="21"/>
                      <w:szCs w:val="21"/>
                    </w:rPr>
                    <w:t>符合</w:t>
                  </w:r>
                </w:p>
              </w:tc>
            </w:tr>
            <w:tr w14:paraId="1B1A9B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8" w:hRule="atLeast"/>
                <w:jc w:val="center"/>
              </w:trPr>
              <w:tc>
                <w:tcPr>
                  <w:tcW w:w="928" w:type="pct"/>
                  <w:vMerge w:val="continue"/>
                  <w:noWrap w:val="0"/>
                  <w:vAlign w:val="center"/>
                </w:tcPr>
                <w:p w14:paraId="3E0B74B7">
                  <w:pPr>
                    <w:autoSpaceDE w:val="0"/>
                    <w:autoSpaceDN w:val="0"/>
                    <w:adjustRightInd w:val="0"/>
                    <w:snapToGrid w:val="0"/>
                    <w:jc w:val="left"/>
                    <w:rPr>
                      <w:rFonts w:hint="eastAsia"/>
                      <w:color w:val="auto"/>
                      <w:szCs w:val="21"/>
                    </w:rPr>
                  </w:pPr>
                </w:p>
              </w:tc>
              <w:tc>
                <w:tcPr>
                  <w:tcW w:w="2044" w:type="pct"/>
                  <w:noWrap w:val="0"/>
                  <w:vAlign w:val="center"/>
                </w:tcPr>
                <w:p w14:paraId="18CD18BE">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eastAsia"/>
                      <w:color w:val="auto"/>
                      <w:kern w:val="2"/>
                      <w:sz w:val="21"/>
                      <w:szCs w:val="21"/>
                      <w:lang w:val="en-US" w:eastAsia="zh-CN" w:bidi="ar-SA"/>
                    </w:rPr>
                  </w:pPr>
                  <w:r>
                    <w:rPr>
                      <w:rFonts w:hint="eastAsia"/>
                      <w:color w:val="auto"/>
                      <w:sz w:val="21"/>
                      <w:szCs w:val="21"/>
                    </w:rPr>
                    <w:t>沣东新城管理部门应结合本区域总体发展方向、定位；产业发展类型和行业限制；规划区域环境功能和环境保护目标提出：入区企业清洁生产必须达到国内先进水平、严禁</w:t>
                  </w:r>
                  <w:r>
                    <w:rPr>
                      <w:rFonts w:hint="eastAsia"/>
                      <w:color w:val="auto"/>
                      <w:sz w:val="21"/>
                      <w:szCs w:val="21"/>
                      <w:lang w:eastAsia="zh-CN"/>
                    </w:rPr>
                    <w:t>“</w:t>
                  </w:r>
                  <w:r>
                    <w:rPr>
                      <w:rFonts w:hint="eastAsia"/>
                      <w:color w:val="auto"/>
                      <w:sz w:val="21"/>
                      <w:szCs w:val="21"/>
                    </w:rPr>
                    <w:t>三高一低</w:t>
                  </w:r>
                  <w:r>
                    <w:rPr>
                      <w:rFonts w:hint="eastAsia"/>
                      <w:color w:val="auto"/>
                      <w:sz w:val="21"/>
                      <w:szCs w:val="21"/>
                      <w:lang w:eastAsia="zh-CN"/>
                    </w:rPr>
                    <w:t>”</w:t>
                  </w:r>
                  <w:r>
                    <w:rPr>
                      <w:rFonts w:hint="eastAsia"/>
                      <w:color w:val="auto"/>
                      <w:sz w:val="21"/>
                      <w:szCs w:val="21"/>
                    </w:rPr>
                    <w:t>企业入区、由总量指标限制企业类型和规模、污染物排放指标等工业企业的准入条件。</w:t>
                  </w:r>
                </w:p>
              </w:tc>
              <w:tc>
                <w:tcPr>
                  <w:tcW w:w="1650" w:type="pct"/>
                  <w:noWrap w:val="0"/>
                  <w:vAlign w:val="center"/>
                </w:tcPr>
                <w:p w14:paraId="644AC81A">
                  <w:pPr>
                    <w:adjustRightInd w:val="0"/>
                    <w:snapToGrid w:val="0"/>
                    <w:rPr>
                      <w:rFonts w:hint="eastAsia"/>
                      <w:color w:val="auto"/>
                      <w:kern w:val="0"/>
                      <w:sz w:val="21"/>
                      <w:szCs w:val="21"/>
                      <w:lang w:val="en-US" w:eastAsia="zh-CN" w:bidi="ar-SA"/>
                    </w:rPr>
                  </w:pPr>
                  <w:r>
                    <w:rPr>
                      <w:rFonts w:hint="eastAsia"/>
                      <w:color w:val="auto"/>
                      <w:kern w:val="0"/>
                      <w:sz w:val="21"/>
                      <w:szCs w:val="21"/>
                    </w:rPr>
                    <w:t>本项目</w:t>
                  </w:r>
                  <w:r>
                    <w:rPr>
                      <w:rFonts w:hint="eastAsia"/>
                      <w:color w:val="auto"/>
                      <w:kern w:val="0"/>
                      <w:sz w:val="21"/>
                      <w:szCs w:val="21"/>
                      <w:lang w:val="en-US" w:eastAsia="zh-CN"/>
                    </w:rPr>
                    <w:t>属于汽车修理与维护，不属于</w:t>
                  </w:r>
                  <w:r>
                    <w:rPr>
                      <w:rFonts w:hint="eastAsia"/>
                      <w:color w:val="auto"/>
                      <w:kern w:val="0"/>
                      <w:sz w:val="21"/>
                      <w:szCs w:val="21"/>
                      <w:lang w:eastAsia="zh-CN"/>
                    </w:rPr>
                    <w:t>“</w:t>
                  </w:r>
                  <w:r>
                    <w:rPr>
                      <w:rFonts w:hint="eastAsia"/>
                      <w:color w:val="auto"/>
                      <w:kern w:val="0"/>
                      <w:sz w:val="21"/>
                      <w:szCs w:val="21"/>
                    </w:rPr>
                    <w:t>三高一低</w:t>
                  </w:r>
                  <w:r>
                    <w:rPr>
                      <w:rFonts w:hint="eastAsia"/>
                      <w:color w:val="auto"/>
                      <w:kern w:val="0"/>
                      <w:sz w:val="21"/>
                      <w:szCs w:val="21"/>
                      <w:lang w:eastAsia="zh-CN"/>
                    </w:rPr>
                    <w:t>”</w:t>
                  </w:r>
                  <w:r>
                    <w:rPr>
                      <w:rFonts w:hint="eastAsia"/>
                      <w:color w:val="auto"/>
                      <w:kern w:val="0"/>
                      <w:sz w:val="21"/>
                      <w:szCs w:val="21"/>
                    </w:rPr>
                    <w:t>企业。</w:t>
                  </w:r>
                </w:p>
              </w:tc>
              <w:tc>
                <w:tcPr>
                  <w:tcW w:w="377" w:type="pct"/>
                  <w:noWrap w:val="0"/>
                  <w:vAlign w:val="center"/>
                </w:tcPr>
                <w:p w14:paraId="674F6139">
                  <w:pPr>
                    <w:adjustRightInd w:val="0"/>
                    <w:snapToGrid w:val="0"/>
                    <w:jc w:val="center"/>
                    <w:rPr>
                      <w:rFonts w:hint="eastAsia"/>
                      <w:color w:val="auto"/>
                      <w:kern w:val="21"/>
                      <w:szCs w:val="21"/>
                    </w:rPr>
                  </w:pPr>
                  <w:r>
                    <w:rPr>
                      <w:rFonts w:hint="eastAsia"/>
                      <w:color w:val="auto"/>
                      <w:kern w:val="21"/>
                      <w:szCs w:val="21"/>
                    </w:rPr>
                    <w:t>符合</w:t>
                  </w:r>
                </w:p>
              </w:tc>
            </w:tr>
          </w:tbl>
          <w:p w14:paraId="5CD5233A">
            <w:pPr>
              <w:autoSpaceDE w:val="0"/>
              <w:autoSpaceDN w:val="0"/>
              <w:adjustRightInd w:val="0"/>
              <w:snapToGrid w:val="0"/>
              <w:jc w:val="center"/>
              <w:rPr>
                <w:color w:val="auto"/>
                <w:sz w:val="24"/>
              </w:rPr>
            </w:pPr>
          </w:p>
        </w:tc>
      </w:tr>
      <w:tr w14:paraId="4FB9CB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5" w:type="dxa"/>
            <w:noWrap w:val="0"/>
            <w:vAlign w:val="center"/>
          </w:tcPr>
          <w:p w14:paraId="02072C32">
            <w:pPr>
              <w:autoSpaceDE w:val="0"/>
              <w:autoSpaceDN w:val="0"/>
              <w:adjustRightInd w:val="0"/>
              <w:snapToGrid w:val="0"/>
              <w:jc w:val="center"/>
              <w:rPr>
                <w:color w:val="auto"/>
                <w:kern w:val="0"/>
                <w:sz w:val="24"/>
              </w:rPr>
            </w:pPr>
            <w:r>
              <w:rPr>
                <w:color w:val="auto"/>
                <w:kern w:val="0"/>
                <w:sz w:val="24"/>
              </w:rPr>
              <w:t>其他符合性分析</w:t>
            </w:r>
          </w:p>
        </w:tc>
        <w:tc>
          <w:tcPr>
            <w:tcW w:w="7395" w:type="dxa"/>
            <w:gridSpan w:val="3"/>
            <w:noWrap w:val="0"/>
            <w:vAlign w:val="center"/>
          </w:tcPr>
          <w:p w14:paraId="26787878">
            <w:pPr>
              <w:spacing w:before="120" w:beforeLines="50" w:line="360" w:lineRule="auto"/>
              <w:ind w:firstLine="482" w:firstLineChars="200"/>
              <w:rPr>
                <w:b/>
                <w:bCs/>
                <w:color w:val="auto"/>
                <w:sz w:val="24"/>
              </w:rPr>
            </w:pPr>
            <w:r>
              <w:rPr>
                <w:b/>
                <w:bCs/>
                <w:color w:val="auto"/>
                <w:sz w:val="24"/>
              </w:rPr>
              <w:t>1、产业政策符合性分析</w:t>
            </w:r>
          </w:p>
          <w:p w14:paraId="71767901">
            <w:pPr>
              <w:spacing w:line="360" w:lineRule="auto"/>
              <w:ind w:firstLine="480" w:firstLineChars="200"/>
              <w:rPr>
                <w:rFonts w:hint="eastAsia"/>
                <w:color w:val="auto"/>
                <w:sz w:val="24"/>
              </w:rPr>
            </w:pPr>
            <w:r>
              <w:rPr>
                <w:rFonts w:hint="eastAsia"/>
                <w:color w:val="auto"/>
                <w:sz w:val="24"/>
              </w:rPr>
              <w:t>本项目属于“</w:t>
            </w:r>
            <w:r>
              <w:rPr>
                <w:rFonts w:hint="eastAsia"/>
                <w:color w:val="auto"/>
                <w:sz w:val="24"/>
                <w:lang w:val="en-US" w:eastAsia="zh-CN"/>
              </w:rPr>
              <w:t>O</w:t>
            </w:r>
            <w:r>
              <w:rPr>
                <w:rFonts w:hint="eastAsia"/>
                <w:color w:val="auto"/>
                <w:sz w:val="24"/>
                <w:lang w:eastAsia="zh-CN"/>
              </w:rPr>
              <w:t>-8111 汽车修理与维护</w:t>
            </w:r>
            <w:r>
              <w:rPr>
                <w:color w:val="auto"/>
                <w:sz w:val="24"/>
              </w:rPr>
              <w:t>业</w:t>
            </w:r>
            <w:r>
              <w:rPr>
                <w:rFonts w:hint="eastAsia"/>
                <w:color w:val="auto"/>
                <w:sz w:val="24"/>
              </w:rPr>
              <w:t>”，根据《产业结构调整目录（2024年本）》，本项目不属于其中的鼓励类、限制类、淘汰类项目，视为允许类项目。</w:t>
            </w:r>
            <w:r>
              <w:rPr>
                <w:color w:val="auto"/>
                <w:sz w:val="24"/>
              </w:rPr>
              <w:t>根据《市场准入负面清单（202</w:t>
            </w:r>
            <w:r>
              <w:rPr>
                <w:rFonts w:hint="eastAsia"/>
                <w:color w:val="auto"/>
                <w:sz w:val="24"/>
                <w:lang w:val="en-US" w:eastAsia="zh-CN"/>
              </w:rPr>
              <w:t>5</w:t>
            </w:r>
            <w:r>
              <w:rPr>
                <w:color w:val="auto"/>
                <w:sz w:val="24"/>
              </w:rPr>
              <w:t>年版）》，本项目</w:t>
            </w:r>
            <w:r>
              <w:rPr>
                <w:rFonts w:hint="eastAsia"/>
                <w:color w:val="auto"/>
                <w:sz w:val="24"/>
                <w:lang w:val="en-US" w:eastAsia="zh-CN"/>
              </w:rPr>
              <w:t>不</w:t>
            </w:r>
            <w:r>
              <w:rPr>
                <w:color w:val="auto"/>
                <w:sz w:val="24"/>
              </w:rPr>
              <w:t>属于</w:t>
            </w:r>
            <w:r>
              <w:rPr>
                <w:rFonts w:hint="eastAsia"/>
                <w:color w:val="auto"/>
                <w:sz w:val="24"/>
                <w:lang w:val="en-US" w:eastAsia="zh-CN"/>
              </w:rPr>
              <w:t>其中的禁止准入和许可准入类项目，为允许类项目</w:t>
            </w:r>
            <w:r>
              <w:rPr>
                <w:rFonts w:hint="eastAsia"/>
                <w:color w:val="auto"/>
                <w:sz w:val="24"/>
              </w:rPr>
              <w:t>。</w:t>
            </w:r>
          </w:p>
          <w:p w14:paraId="0DE735C9">
            <w:pPr>
              <w:spacing w:line="360" w:lineRule="auto"/>
              <w:ind w:firstLine="480" w:firstLineChars="200"/>
              <w:rPr>
                <w:color w:val="auto"/>
                <w:sz w:val="24"/>
              </w:rPr>
            </w:pPr>
            <w:r>
              <w:rPr>
                <w:color w:val="auto"/>
                <w:sz w:val="24"/>
              </w:rPr>
              <w:t>因此，</w:t>
            </w:r>
            <w:r>
              <w:rPr>
                <w:rFonts w:hint="eastAsia"/>
                <w:color w:val="auto"/>
                <w:sz w:val="24"/>
              </w:rPr>
              <w:t>本</w:t>
            </w:r>
            <w:r>
              <w:rPr>
                <w:color w:val="auto"/>
                <w:sz w:val="24"/>
              </w:rPr>
              <w:t>项目符合产业政策要求。</w:t>
            </w:r>
          </w:p>
          <w:p w14:paraId="1D1EF6D5">
            <w:pPr>
              <w:pStyle w:val="58"/>
              <w:spacing w:line="360" w:lineRule="auto"/>
              <w:ind w:firstLine="482"/>
              <w:rPr>
                <w:rFonts w:hAnsi="Times New Roman"/>
                <w:b/>
                <w:bCs/>
                <w:color w:val="auto"/>
                <w:kern w:val="0"/>
              </w:rPr>
            </w:pPr>
            <w:r>
              <w:rPr>
                <w:rFonts w:hint="eastAsia" w:hAnsi="Times New Roman"/>
                <w:b/>
                <w:bCs/>
                <w:color w:val="auto"/>
                <w:kern w:val="0"/>
                <w:lang w:val="en-US" w:eastAsia="zh-CN"/>
              </w:rPr>
              <w:t>2</w:t>
            </w:r>
            <w:r>
              <w:rPr>
                <w:rFonts w:hAnsi="Times New Roman"/>
                <w:b/>
                <w:bCs/>
                <w:color w:val="auto"/>
                <w:kern w:val="0"/>
              </w:rPr>
              <w:t>、</w:t>
            </w:r>
            <w:r>
              <w:rPr>
                <w:rFonts w:hint="eastAsia" w:hAnsi="Times New Roman"/>
                <w:b/>
                <w:bCs/>
                <w:color w:val="auto"/>
                <w:kern w:val="0"/>
              </w:rPr>
              <w:t>生态环境分区管控符合性分析</w:t>
            </w:r>
          </w:p>
          <w:p w14:paraId="36E9416A">
            <w:pPr>
              <w:spacing w:line="360" w:lineRule="auto"/>
              <w:ind w:firstLine="480" w:firstLineChars="200"/>
              <w:jc w:val="left"/>
              <w:rPr>
                <w:color w:val="auto"/>
                <w:sz w:val="24"/>
              </w:rPr>
            </w:pPr>
            <w:r>
              <w:rPr>
                <w:rFonts w:hint="eastAsia"/>
                <w:color w:val="auto"/>
                <w:sz w:val="24"/>
              </w:rPr>
              <w:t>根据《2023年陕西省生态环境分区管控成果动态更新实施方案》</w:t>
            </w:r>
            <w:r>
              <w:rPr>
                <w:rFonts w:hint="default" w:ascii="Times New Roman" w:hAnsi="Times New Roman" w:eastAsia="宋体" w:cs="Times New Roman"/>
                <w:color w:val="auto"/>
                <w:sz w:val="24"/>
                <w:lang w:val="en-US" w:eastAsia="zh-CN"/>
              </w:rPr>
              <w:t>（市生态委办发〔2024〕16号）</w:t>
            </w:r>
            <w:r>
              <w:rPr>
                <w:rFonts w:hint="eastAsia"/>
                <w:color w:val="auto"/>
                <w:sz w:val="24"/>
              </w:rPr>
              <w:t>及《陕西省“</w:t>
            </w:r>
            <w:r>
              <w:rPr>
                <w:color w:val="auto"/>
                <w:sz w:val="24"/>
              </w:rPr>
              <w:t>三线一单</w:t>
            </w:r>
            <w:r>
              <w:rPr>
                <w:rFonts w:hint="eastAsia"/>
                <w:color w:val="auto"/>
                <w:sz w:val="24"/>
              </w:rPr>
              <w:t>”</w:t>
            </w:r>
            <w:r>
              <w:rPr>
                <w:color w:val="auto"/>
                <w:sz w:val="24"/>
              </w:rPr>
              <w:t>生态环境分区管控</w:t>
            </w:r>
            <w:r>
              <w:rPr>
                <w:rFonts w:hint="eastAsia"/>
                <w:color w:val="auto"/>
                <w:sz w:val="24"/>
              </w:rPr>
              <w:t>应用技术指南：环境影响评价（试行）》，环评文件涉及“三线一单”生态环境分区管控符合性分析应采取“一图一表一说明”的表达方式，本项目生态环境分区管控符合性分析如下：</w:t>
            </w:r>
          </w:p>
          <w:p w14:paraId="231005B1">
            <w:pPr>
              <w:spacing w:line="360" w:lineRule="auto"/>
              <w:ind w:firstLine="480" w:firstLineChars="200"/>
              <w:rPr>
                <w:rFonts w:hint="eastAsia"/>
                <w:color w:val="auto"/>
                <w:sz w:val="24"/>
              </w:rPr>
            </w:pPr>
            <w:r>
              <w:rPr>
                <w:rFonts w:hint="eastAsia"/>
                <w:color w:val="auto"/>
                <w:sz w:val="24"/>
              </w:rPr>
              <w:t>（1）</w:t>
            </w:r>
            <w:r>
              <w:rPr>
                <w:rFonts w:hint="eastAsia"/>
                <w:color w:val="auto"/>
                <w:spacing w:val="2"/>
                <w:sz w:val="24"/>
              </w:rPr>
              <w:t>“一图”</w:t>
            </w:r>
          </w:p>
          <w:p w14:paraId="450974B0">
            <w:pPr>
              <w:spacing w:line="360" w:lineRule="auto"/>
              <w:ind w:firstLine="480" w:firstLineChars="200"/>
              <w:jc w:val="left"/>
              <w:rPr>
                <w:rFonts w:hint="eastAsia"/>
                <w:color w:val="auto"/>
                <w:sz w:val="24"/>
              </w:rPr>
            </w:pPr>
            <w:r>
              <w:rPr>
                <w:rFonts w:hint="eastAsia"/>
                <w:color w:val="auto"/>
                <w:sz w:val="24"/>
              </w:rPr>
              <w:t>根据陕西省“三线一单”数据应用系统叠图分析</w:t>
            </w:r>
            <w:r>
              <w:rPr>
                <w:color w:val="auto"/>
                <w:sz w:val="24"/>
              </w:rPr>
              <w:t>可知，本项目属于重点管控单元</w:t>
            </w:r>
            <w:r>
              <w:rPr>
                <w:rFonts w:hint="eastAsia"/>
                <w:color w:val="auto"/>
                <w:sz w:val="24"/>
              </w:rPr>
              <w:t>，不涉及生态保护红线。项目与环境管控单位对照分析示意图如下图所示：</w:t>
            </w:r>
          </w:p>
          <w:p w14:paraId="60CAAF73">
            <w:pPr>
              <w:widowControl/>
              <w:adjustRightInd w:val="0"/>
              <w:snapToGrid w:val="0"/>
              <w:spacing w:line="360" w:lineRule="auto"/>
              <w:jc w:val="center"/>
              <w:rPr>
                <w:rFonts w:hint="eastAsia" w:eastAsia="宋体"/>
                <w:color w:val="auto"/>
                <w:kern w:val="0"/>
                <w:sz w:val="24"/>
                <w:lang w:eastAsia="zh-CN"/>
              </w:rPr>
            </w:pPr>
            <w:r>
              <w:rPr>
                <w:color w:val="auto"/>
                <w:sz w:val="24"/>
              </w:rPr>
              <mc:AlternateContent>
                <mc:Choice Requires="wps">
                  <w:drawing>
                    <wp:anchor distT="0" distB="0" distL="114300" distR="114300" simplePos="0" relativeHeight="251659264" behindDoc="0" locked="0" layoutInCell="1" allowOverlap="1">
                      <wp:simplePos x="0" y="0"/>
                      <wp:positionH relativeFrom="column">
                        <wp:posOffset>2253615</wp:posOffset>
                      </wp:positionH>
                      <wp:positionV relativeFrom="paragraph">
                        <wp:posOffset>1519555</wp:posOffset>
                      </wp:positionV>
                      <wp:extent cx="676275" cy="276860"/>
                      <wp:effectExtent l="0" t="0" r="0" b="0"/>
                      <wp:wrapNone/>
                      <wp:docPr id="1" name="自选图形 3"/>
                      <wp:cNvGraphicFramePr/>
                      <a:graphic xmlns:a="http://schemas.openxmlformats.org/drawingml/2006/main">
                        <a:graphicData uri="http://schemas.microsoft.com/office/word/2010/wordprocessingShape">
                          <wps:wsp>
                            <wps:cNvSpPr/>
                            <wps:spPr>
                              <a:xfrm>
                                <a:off x="0" y="0"/>
                                <a:ext cx="676275" cy="276860"/>
                              </a:xfrm>
                              <a:prstGeom prst="wedgeRectCallout">
                                <a:avLst>
                                  <a:gd name="adj1" fmla="val -60324"/>
                                  <a:gd name="adj2" fmla="val -158023"/>
                                </a:avLst>
                              </a:prstGeom>
                              <a:noFill/>
                              <a:ln w="9525" cap="flat" cmpd="sng">
                                <a:solidFill>
                                  <a:srgbClr val="FFFFFF"/>
                                </a:solidFill>
                                <a:prstDash val="solid"/>
                                <a:miter/>
                                <a:headEnd type="none" w="med" len="med"/>
                                <a:tailEnd type="none" w="med" len="med"/>
                              </a:ln>
                            </wps:spPr>
                            <wps:txbx>
                              <w:txbxContent>
                                <w:p w14:paraId="09149A0B">
                                  <w:pPr>
                                    <w:rPr>
                                      <w:rFonts w:hint="eastAsia"/>
                                      <w:b/>
                                      <w:bCs/>
                                    </w:rPr>
                                  </w:pPr>
                                  <w:r>
                                    <w:rPr>
                                      <w:rFonts w:hint="eastAsia"/>
                                      <w:b/>
                                      <w:bCs/>
                                    </w:rPr>
                                    <w:t>项目地</w:t>
                                  </w:r>
                                </w:p>
                              </w:txbxContent>
                            </wps:txbx>
                            <wps:bodyPr wrap="square" upright="1"/>
                          </wps:wsp>
                        </a:graphicData>
                      </a:graphic>
                    </wp:anchor>
                  </w:drawing>
                </mc:Choice>
                <mc:Fallback>
                  <w:pict>
                    <v:shape id="自选图形 3" o:spid="_x0000_s1026" o:spt="61" type="#_x0000_t61" style="position:absolute;left:0pt;margin-left:177.45pt;margin-top:119.65pt;height:21.8pt;width:53.25pt;z-index:251659264;mso-width-relative:page;mso-height-relative:page;" filled="f" stroked="t" coordsize="21600,21600" o:gfxdata="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hldma2gAAAAsBAAAPAAAAAAAAAAEAIAAAACIA&#10;AABkcnMvZG93bnJldi54bWxQSwECFAAUAAAACACHTuJAgRvkrUACAABzBAAADgAAAAAAAAABACAA&#10;AAApAQAAZHJzL2Uyb0RvYy54bWxQSwUGAAAAAAYABgBZAQAA2wUAAAAA&#10;" adj="-2230,-23333">
                      <v:fill on="f" focussize="0,0"/>
                      <v:stroke color="#FFFFFF" joinstyle="miter"/>
                      <v:imagedata o:title=""/>
                      <o:lock v:ext="edit" aspectratio="f"/>
                      <v:textbox>
                        <w:txbxContent>
                          <w:p w14:paraId="09149A0B">
                            <w:pPr>
                              <w:rPr>
                                <w:rFonts w:hint="eastAsia"/>
                                <w:b/>
                                <w:bCs/>
                              </w:rPr>
                            </w:pPr>
                            <w:r>
                              <w:rPr>
                                <w:rFonts w:hint="eastAsia"/>
                                <w:b/>
                                <w:bCs/>
                              </w:rPr>
                              <w:t>项目地</w:t>
                            </w:r>
                          </w:p>
                        </w:txbxContent>
                      </v:textbox>
                    </v:shape>
                  </w:pict>
                </mc:Fallback>
              </mc:AlternateContent>
            </w:r>
            <w:r>
              <w:rPr>
                <w:rFonts w:hint="eastAsia" w:eastAsia="宋体"/>
                <w:color w:val="auto"/>
                <w:kern w:val="0"/>
                <w:sz w:val="24"/>
                <w:lang w:eastAsia="zh-CN"/>
              </w:rPr>
              <w:drawing>
                <wp:inline distT="0" distB="0" distL="114300" distR="114300">
                  <wp:extent cx="3672205" cy="3672205"/>
                  <wp:effectExtent l="0" t="0" r="0" b="0"/>
                  <wp:docPr id="2" name="图片 54" descr="三线一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4" descr="三线一单"/>
                          <pic:cNvPicPr>
                            <a:picLocks noChangeAspect="1"/>
                          </pic:cNvPicPr>
                        </pic:nvPicPr>
                        <pic:blipFill>
                          <a:blip r:embed="rId10"/>
                          <a:stretch>
                            <a:fillRect/>
                          </a:stretch>
                        </pic:blipFill>
                        <pic:spPr>
                          <a:xfrm>
                            <a:off x="0" y="0"/>
                            <a:ext cx="3672205" cy="3672205"/>
                          </a:xfrm>
                          <a:prstGeom prst="rect">
                            <a:avLst/>
                          </a:prstGeom>
                          <a:noFill/>
                          <a:ln>
                            <a:noFill/>
                          </a:ln>
                        </pic:spPr>
                      </pic:pic>
                    </a:graphicData>
                  </a:graphic>
                </wp:inline>
              </w:drawing>
            </w:r>
          </w:p>
          <w:p w14:paraId="4F7D494F">
            <w:pPr>
              <w:autoSpaceDE w:val="0"/>
              <w:autoSpaceDN w:val="0"/>
              <w:adjustRightInd w:val="0"/>
              <w:snapToGrid w:val="0"/>
              <w:spacing w:line="360" w:lineRule="auto"/>
              <w:jc w:val="center"/>
              <w:rPr>
                <w:rFonts w:hint="eastAsia"/>
                <w:color w:val="auto"/>
              </w:rPr>
            </w:pPr>
            <w:r>
              <w:rPr>
                <w:b/>
                <w:bCs/>
                <w:color w:val="auto"/>
                <w:kern w:val="0"/>
                <w:sz w:val="24"/>
              </w:rPr>
              <w:t>图1-1  本项目与环境管控单元对照分析示意图</w:t>
            </w:r>
          </w:p>
        </w:tc>
      </w:tr>
    </w:tbl>
    <w:p w14:paraId="38811A23">
      <w:pPr>
        <w:spacing w:line="360" w:lineRule="auto"/>
        <w:outlineLvl w:val="0"/>
        <w:rPr>
          <w:rFonts w:eastAsia="黑体"/>
          <w:color w:val="auto"/>
          <w:sz w:val="30"/>
        </w:rPr>
        <w:sectPr>
          <w:footerReference r:id="rId7" w:type="default"/>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p>
    <w:tbl>
      <w:tblPr>
        <w:tblStyle w:val="25"/>
        <w:tblW w:w="505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71"/>
        <w:gridCol w:w="12418"/>
      </w:tblGrid>
      <w:tr w14:paraId="6906B3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71" w:type="dxa"/>
            <w:noWrap w:val="0"/>
            <w:vAlign w:val="center"/>
          </w:tcPr>
          <w:p w14:paraId="6FF61DFD">
            <w:pPr>
              <w:autoSpaceDE w:val="0"/>
              <w:autoSpaceDN w:val="0"/>
              <w:adjustRightInd w:val="0"/>
              <w:snapToGrid w:val="0"/>
              <w:jc w:val="center"/>
              <w:rPr>
                <w:color w:val="auto"/>
                <w:kern w:val="0"/>
                <w:sz w:val="24"/>
              </w:rPr>
            </w:pPr>
            <w:r>
              <w:rPr>
                <w:color w:val="auto"/>
                <w:kern w:val="0"/>
                <w:sz w:val="24"/>
              </w:rPr>
              <w:t>其他符合性分析</w:t>
            </w:r>
          </w:p>
        </w:tc>
        <w:tc>
          <w:tcPr>
            <w:tcW w:w="12418" w:type="dxa"/>
            <w:noWrap w:val="0"/>
            <w:vAlign w:val="center"/>
          </w:tcPr>
          <w:p w14:paraId="153E1DF6">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0" w:firstLineChars="200"/>
              <w:textAlignment w:val="auto"/>
              <w:rPr>
                <w:rFonts w:hint="eastAsia"/>
                <w:color w:val="auto"/>
                <w:sz w:val="24"/>
              </w:rPr>
            </w:pPr>
            <w:r>
              <w:rPr>
                <w:rFonts w:hint="eastAsia"/>
                <w:color w:val="auto"/>
                <w:sz w:val="24"/>
              </w:rPr>
              <w:t>（2）</w:t>
            </w:r>
            <w:r>
              <w:rPr>
                <w:rFonts w:hint="eastAsia"/>
                <w:color w:val="auto"/>
                <w:spacing w:val="2"/>
                <w:sz w:val="24"/>
              </w:rPr>
              <w:t>“一表”</w:t>
            </w:r>
          </w:p>
          <w:p w14:paraId="2291794C">
            <w:pPr>
              <w:adjustRightInd w:val="0"/>
              <w:snapToGrid w:val="0"/>
              <w:spacing w:line="360" w:lineRule="auto"/>
              <w:ind w:firstLine="480" w:firstLineChars="200"/>
              <w:jc w:val="left"/>
              <w:rPr>
                <w:rFonts w:hint="eastAsia"/>
                <w:color w:val="auto"/>
                <w:sz w:val="24"/>
              </w:rPr>
            </w:pPr>
            <w:r>
              <w:rPr>
                <w:rFonts w:hint="eastAsia"/>
                <w:color w:val="auto"/>
                <w:sz w:val="24"/>
              </w:rPr>
              <w:t>根据从陕西省“三线一单”数据应用系统（V1.0）中导出的分析文件（具体见附件），本项目所涉及的生态环境管控单元符合性分析如下表所示：</w:t>
            </w:r>
          </w:p>
          <w:p w14:paraId="18B0C7DA">
            <w:pPr>
              <w:pStyle w:val="6"/>
              <w:ind w:firstLine="0"/>
              <w:jc w:val="center"/>
              <w:rPr>
                <w:b/>
                <w:bCs/>
                <w:color w:val="auto"/>
                <w:kern w:val="0"/>
                <w:szCs w:val="24"/>
              </w:rPr>
            </w:pPr>
            <w:r>
              <w:rPr>
                <w:b/>
                <w:bCs/>
                <w:color w:val="auto"/>
                <w:kern w:val="0"/>
                <w:szCs w:val="24"/>
              </w:rPr>
              <w:t>表1-</w:t>
            </w:r>
            <w:r>
              <w:rPr>
                <w:rFonts w:hint="eastAsia"/>
                <w:b/>
                <w:bCs/>
                <w:color w:val="auto"/>
                <w:kern w:val="0"/>
                <w:szCs w:val="24"/>
              </w:rPr>
              <w:t xml:space="preserve">2 </w:t>
            </w:r>
            <w:r>
              <w:rPr>
                <w:b/>
                <w:bCs/>
                <w:color w:val="auto"/>
                <w:kern w:val="0"/>
                <w:szCs w:val="24"/>
              </w:rPr>
              <w:t xml:space="preserve"> 与</w:t>
            </w:r>
            <w:r>
              <w:rPr>
                <w:rFonts w:hint="eastAsia"/>
                <w:b/>
                <w:bCs/>
                <w:color w:val="auto"/>
                <w:kern w:val="0"/>
                <w:szCs w:val="24"/>
              </w:rPr>
              <w:t>生态环境管控单元管控要求</w:t>
            </w:r>
            <w:r>
              <w:rPr>
                <w:b/>
                <w:bCs/>
                <w:color w:val="auto"/>
                <w:kern w:val="0"/>
                <w:szCs w:val="24"/>
              </w:rPr>
              <w:t>符合性分析一览表</w:t>
            </w:r>
          </w:p>
          <w:tbl>
            <w:tblPr>
              <w:tblStyle w:val="25"/>
              <w:tblW w:w="1232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80"/>
              <w:gridCol w:w="906"/>
              <w:gridCol w:w="568"/>
              <w:gridCol w:w="400"/>
              <w:gridCol w:w="667"/>
              <w:gridCol w:w="666"/>
              <w:gridCol w:w="3919"/>
              <w:gridCol w:w="966"/>
              <w:gridCol w:w="3108"/>
              <w:gridCol w:w="545"/>
            </w:tblGrid>
            <w:tr w14:paraId="17D3D7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235" w:type="pct"/>
                  <w:noWrap w:val="0"/>
                  <w:vAlign w:val="center"/>
                </w:tcPr>
                <w:p w14:paraId="6009979F">
                  <w:pPr>
                    <w:autoSpaceDE w:val="0"/>
                    <w:autoSpaceDN w:val="0"/>
                    <w:adjustRightInd w:val="0"/>
                    <w:snapToGrid w:val="0"/>
                    <w:jc w:val="center"/>
                    <w:rPr>
                      <w:rFonts w:hint="eastAsia"/>
                      <w:b/>
                      <w:bCs/>
                      <w:color w:val="auto"/>
                      <w:kern w:val="0"/>
                      <w:szCs w:val="21"/>
                    </w:rPr>
                  </w:pPr>
                  <w:r>
                    <w:rPr>
                      <w:rFonts w:hint="eastAsia"/>
                      <w:b/>
                      <w:bCs/>
                      <w:color w:val="auto"/>
                      <w:kern w:val="0"/>
                      <w:szCs w:val="21"/>
                    </w:rPr>
                    <w:t>序号</w:t>
                  </w:r>
                </w:p>
              </w:tc>
              <w:tc>
                <w:tcPr>
                  <w:tcW w:w="367" w:type="pct"/>
                  <w:noWrap w:val="0"/>
                  <w:vAlign w:val="center"/>
                </w:tcPr>
                <w:p w14:paraId="4EE59FCB">
                  <w:pPr>
                    <w:autoSpaceDE w:val="0"/>
                    <w:autoSpaceDN w:val="0"/>
                    <w:adjustRightInd w:val="0"/>
                    <w:snapToGrid w:val="0"/>
                    <w:jc w:val="center"/>
                    <w:rPr>
                      <w:b/>
                      <w:bCs/>
                      <w:color w:val="auto"/>
                      <w:kern w:val="0"/>
                      <w:szCs w:val="21"/>
                    </w:rPr>
                  </w:pPr>
                  <w:r>
                    <w:rPr>
                      <w:rFonts w:hint="eastAsia"/>
                      <w:b/>
                      <w:bCs/>
                      <w:color w:val="auto"/>
                      <w:kern w:val="0"/>
                      <w:szCs w:val="21"/>
                    </w:rPr>
                    <w:t>环境管控单元名称</w:t>
                  </w:r>
                </w:p>
              </w:tc>
              <w:tc>
                <w:tcPr>
                  <w:tcW w:w="230" w:type="pct"/>
                  <w:noWrap w:val="0"/>
                  <w:vAlign w:val="center"/>
                </w:tcPr>
                <w:p w14:paraId="4C5F346E">
                  <w:pPr>
                    <w:autoSpaceDE w:val="0"/>
                    <w:autoSpaceDN w:val="0"/>
                    <w:adjustRightInd w:val="0"/>
                    <w:snapToGrid w:val="0"/>
                    <w:jc w:val="center"/>
                    <w:rPr>
                      <w:b/>
                      <w:bCs/>
                      <w:color w:val="auto"/>
                      <w:kern w:val="0"/>
                      <w:szCs w:val="21"/>
                    </w:rPr>
                  </w:pPr>
                  <w:r>
                    <w:rPr>
                      <w:rFonts w:hint="eastAsia"/>
                      <w:b/>
                      <w:bCs/>
                      <w:color w:val="auto"/>
                      <w:kern w:val="0"/>
                      <w:szCs w:val="21"/>
                    </w:rPr>
                    <w:t>市(区)</w:t>
                  </w:r>
                </w:p>
              </w:tc>
              <w:tc>
                <w:tcPr>
                  <w:tcW w:w="162" w:type="pct"/>
                  <w:noWrap w:val="0"/>
                  <w:vAlign w:val="center"/>
                </w:tcPr>
                <w:p w14:paraId="389D69C3">
                  <w:pPr>
                    <w:autoSpaceDE w:val="0"/>
                    <w:autoSpaceDN w:val="0"/>
                    <w:adjustRightInd w:val="0"/>
                    <w:snapToGrid w:val="0"/>
                    <w:jc w:val="center"/>
                    <w:rPr>
                      <w:rFonts w:hint="eastAsia"/>
                      <w:b/>
                      <w:bCs/>
                      <w:color w:val="auto"/>
                      <w:kern w:val="0"/>
                      <w:szCs w:val="21"/>
                    </w:rPr>
                  </w:pPr>
                  <w:r>
                    <w:rPr>
                      <w:rFonts w:hint="eastAsia"/>
                      <w:b/>
                      <w:bCs/>
                      <w:color w:val="auto"/>
                      <w:kern w:val="0"/>
                      <w:szCs w:val="21"/>
                    </w:rPr>
                    <w:t>区县</w:t>
                  </w:r>
                </w:p>
              </w:tc>
              <w:tc>
                <w:tcPr>
                  <w:tcW w:w="270" w:type="pct"/>
                  <w:noWrap w:val="0"/>
                  <w:vAlign w:val="center"/>
                </w:tcPr>
                <w:p w14:paraId="70D2A9D9">
                  <w:pPr>
                    <w:autoSpaceDE w:val="0"/>
                    <w:autoSpaceDN w:val="0"/>
                    <w:adjustRightInd w:val="0"/>
                    <w:snapToGrid w:val="0"/>
                    <w:jc w:val="center"/>
                    <w:rPr>
                      <w:b/>
                      <w:bCs/>
                      <w:color w:val="auto"/>
                      <w:kern w:val="0"/>
                      <w:szCs w:val="21"/>
                    </w:rPr>
                  </w:pPr>
                  <w:r>
                    <w:rPr>
                      <w:rFonts w:hint="eastAsia"/>
                      <w:b/>
                      <w:bCs/>
                      <w:color w:val="auto"/>
                      <w:kern w:val="0"/>
                      <w:szCs w:val="21"/>
                    </w:rPr>
                    <w:t>单元要素属性</w:t>
                  </w:r>
                </w:p>
              </w:tc>
              <w:tc>
                <w:tcPr>
                  <w:tcW w:w="270" w:type="pct"/>
                  <w:noWrap w:val="0"/>
                  <w:vAlign w:val="center"/>
                </w:tcPr>
                <w:p w14:paraId="203E1EC2">
                  <w:pPr>
                    <w:autoSpaceDE w:val="0"/>
                    <w:autoSpaceDN w:val="0"/>
                    <w:adjustRightInd w:val="0"/>
                    <w:snapToGrid w:val="0"/>
                    <w:jc w:val="center"/>
                    <w:rPr>
                      <w:b/>
                      <w:bCs/>
                      <w:color w:val="auto"/>
                      <w:kern w:val="0"/>
                      <w:szCs w:val="21"/>
                    </w:rPr>
                  </w:pPr>
                  <w:r>
                    <w:rPr>
                      <w:b/>
                      <w:bCs/>
                      <w:color w:val="auto"/>
                      <w:kern w:val="0"/>
                      <w:szCs w:val="21"/>
                    </w:rPr>
                    <w:t>管控</w:t>
                  </w:r>
                  <w:r>
                    <w:rPr>
                      <w:rFonts w:hint="eastAsia"/>
                      <w:b/>
                      <w:bCs/>
                      <w:color w:val="auto"/>
                      <w:kern w:val="0"/>
                      <w:szCs w:val="21"/>
                    </w:rPr>
                    <w:t>要求分类</w:t>
                  </w:r>
                </w:p>
              </w:tc>
              <w:tc>
                <w:tcPr>
                  <w:tcW w:w="1588" w:type="pct"/>
                  <w:noWrap w:val="0"/>
                  <w:vAlign w:val="center"/>
                </w:tcPr>
                <w:p w14:paraId="64F3D69D">
                  <w:pPr>
                    <w:autoSpaceDE w:val="0"/>
                    <w:autoSpaceDN w:val="0"/>
                    <w:adjustRightInd w:val="0"/>
                    <w:snapToGrid w:val="0"/>
                    <w:jc w:val="center"/>
                    <w:rPr>
                      <w:b/>
                      <w:bCs/>
                      <w:color w:val="auto"/>
                      <w:kern w:val="0"/>
                      <w:szCs w:val="21"/>
                    </w:rPr>
                  </w:pPr>
                  <w:r>
                    <w:rPr>
                      <w:b/>
                      <w:bCs/>
                      <w:color w:val="auto"/>
                      <w:kern w:val="0"/>
                      <w:szCs w:val="21"/>
                    </w:rPr>
                    <w:t>管控要求</w:t>
                  </w:r>
                </w:p>
              </w:tc>
              <w:tc>
                <w:tcPr>
                  <w:tcW w:w="392" w:type="pct"/>
                  <w:noWrap w:val="0"/>
                  <w:vAlign w:val="center"/>
                </w:tcPr>
                <w:p w14:paraId="5089F749">
                  <w:pPr>
                    <w:autoSpaceDE w:val="0"/>
                    <w:autoSpaceDN w:val="0"/>
                    <w:adjustRightInd w:val="0"/>
                    <w:snapToGrid w:val="0"/>
                    <w:jc w:val="center"/>
                    <w:rPr>
                      <w:b/>
                      <w:bCs/>
                      <w:color w:val="auto"/>
                      <w:kern w:val="0"/>
                      <w:szCs w:val="21"/>
                    </w:rPr>
                  </w:pPr>
                  <w:r>
                    <w:rPr>
                      <w:rFonts w:hint="eastAsia"/>
                      <w:b/>
                      <w:bCs/>
                      <w:color w:val="auto"/>
                      <w:kern w:val="0"/>
                      <w:szCs w:val="21"/>
                    </w:rPr>
                    <w:t>面积/长度（平方米/米）</w:t>
                  </w:r>
                </w:p>
              </w:tc>
              <w:tc>
                <w:tcPr>
                  <w:tcW w:w="1260" w:type="pct"/>
                  <w:noWrap w:val="0"/>
                  <w:vAlign w:val="center"/>
                </w:tcPr>
                <w:p w14:paraId="10BFCE59">
                  <w:pPr>
                    <w:autoSpaceDE w:val="0"/>
                    <w:autoSpaceDN w:val="0"/>
                    <w:adjustRightInd w:val="0"/>
                    <w:snapToGrid w:val="0"/>
                    <w:jc w:val="center"/>
                    <w:rPr>
                      <w:b/>
                      <w:bCs/>
                      <w:color w:val="auto"/>
                      <w:kern w:val="0"/>
                      <w:szCs w:val="21"/>
                    </w:rPr>
                  </w:pPr>
                  <w:r>
                    <w:rPr>
                      <w:b/>
                      <w:bCs/>
                      <w:color w:val="auto"/>
                      <w:kern w:val="0"/>
                      <w:szCs w:val="21"/>
                    </w:rPr>
                    <w:t>本项目情况</w:t>
                  </w:r>
                </w:p>
              </w:tc>
              <w:tc>
                <w:tcPr>
                  <w:tcW w:w="221" w:type="pct"/>
                  <w:noWrap w:val="0"/>
                  <w:vAlign w:val="center"/>
                </w:tcPr>
                <w:p w14:paraId="0164E8DC">
                  <w:pPr>
                    <w:autoSpaceDE w:val="0"/>
                    <w:autoSpaceDN w:val="0"/>
                    <w:adjustRightInd w:val="0"/>
                    <w:snapToGrid w:val="0"/>
                    <w:jc w:val="center"/>
                    <w:rPr>
                      <w:b/>
                      <w:bCs/>
                      <w:color w:val="auto"/>
                      <w:kern w:val="0"/>
                      <w:szCs w:val="21"/>
                    </w:rPr>
                  </w:pPr>
                  <w:r>
                    <w:rPr>
                      <w:b/>
                      <w:bCs/>
                      <w:color w:val="auto"/>
                      <w:kern w:val="0"/>
                      <w:szCs w:val="21"/>
                    </w:rPr>
                    <w:t>符合性</w:t>
                  </w:r>
                </w:p>
              </w:tc>
            </w:tr>
            <w:tr w14:paraId="267806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29" w:hRule="atLeast"/>
                <w:jc w:val="center"/>
              </w:trPr>
              <w:tc>
                <w:tcPr>
                  <w:tcW w:w="235" w:type="pct"/>
                  <w:vMerge w:val="restart"/>
                  <w:noWrap w:val="0"/>
                  <w:vAlign w:val="center"/>
                </w:tcPr>
                <w:p w14:paraId="5446D7F3">
                  <w:pPr>
                    <w:autoSpaceDE w:val="0"/>
                    <w:autoSpaceDN w:val="0"/>
                    <w:adjustRightInd w:val="0"/>
                    <w:snapToGrid w:val="0"/>
                    <w:jc w:val="center"/>
                    <w:rPr>
                      <w:color w:val="auto"/>
                      <w:kern w:val="0"/>
                      <w:szCs w:val="21"/>
                    </w:rPr>
                  </w:pPr>
                  <w:r>
                    <w:rPr>
                      <w:rFonts w:hint="eastAsia"/>
                      <w:color w:val="auto"/>
                      <w:kern w:val="0"/>
                      <w:szCs w:val="21"/>
                    </w:rPr>
                    <w:t>1</w:t>
                  </w:r>
                </w:p>
              </w:tc>
              <w:tc>
                <w:tcPr>
                  <w:tcW w:w="367" w:type="pct"/>
                  <w:vMerge w:val="restart"/>
                  <w:noWrap w:val="0"/>
                  <w:vAlign w:val="center"/>
                </w:tcPr>
                <w:p w14:paraId="7CFE3C83">
                  <w:pPr>
                    <w:autoSpaceDE w:val="0"/>
                    <w:autoSpaceDN w:val="0"/>
                    <w:adjustRightInd w:val="0"/>
                    <w:snapToGrid w:val="0"/>
                    <w:jc w:val="center"/>
                    <w:rPr>
                      <w:color w:val="auto"/>
                      <w:kern w:val="0"/>
                      <w:szCs w:val="21"/>
                    </w:rPr>
                  </w:pPr>
                  <w:r>
                    <w:rPr>
                      <w:rFonts w:hint="eastAsia"/>
                      <w:color w:val="auto"/>
                      <w:kern w:val="0"/>
                      <w:szCs w:val="21"/>
                    </w:rPr>
                    <w:t>陕西省西安市未央区重点管控单元2</w:t>
                  </w:r>
                </w:p>
              </w:tc>
              <w:tc>
                <w:tcPr>
                  <w:tcW w:w="230" w:type="pct"/>
                  <w:vMerge w:val="restart"/>
                  <w:noWrap w:val="0"/>
                  <w:vAlign w:val="center"/>
                </w:tcPr>
                <w:p w14:paraId="5C5D398F">
                  <w:pPr>
                    <w:autoSpaceDE w:val="0"/>
                    <w:autoSpaceDN w:val="0"/>
                    <w:adjustRightInd w:val="0"/>
                    <w:snapToGrid w:val="0"/>
                    <w:jc w:val="center"/>
                    <w:rPr>
                      <w:color w:val="auto"/>
                      <w:kern w:val="0"/>
                      <w:szCs w:val="21"/>
                    </w:rPr>
                  </w:pPr>
                  <w:r>
                    <w:rPr>
                      <w:rFonts w:hint="eastAsia"/>
                      <w:color w:val="auto"/>
                      <w:kern w:val="0"/>
                      <w:szCs w:val="21"/>
                    </w:rPr>
                    <w:t>西安市</w:t>
                  </w:r>
                </w:p>
              </w:tc>
              <w:tc>
                <w:tcPr>
                  <w:tcW w:w="162" w:type="pct"/>
                  <w:vMerge w:val="restart"/>
                  <w:noWrap w:val="0"/>
                  <w:vAlign w:val="center"/>
                </w:tcPr>
                <w:p w14:paraId="7EB48C7B">
                  <w:pPr>
                    <w:autoSpaceDE w:val="0"/>
                    <w:autoSpaceDN w:val="0"/>
                    <w:adjustRightInd w:val="0"/>
                    <w:snapToGrid w:val="0"/>
                    <w:jc w:val="center"/>
                    <w:rPr>
                      <w:color w:val="auto"/>
                      <w:kern w:val="0"/>
                      <w:szCs w:val="21"/>
                    </w:rPr>
                  </w:pPr>
                  <w:r>
                    <w:rPr>
                      <w:rFonts w:hint="eastAsia"/>
                      <w:color w:val="auto"/>
                      <w:kern w:val="0"/>
                      <w:szCs w:val="21"/>
                    </w:rPr>
                    <w:t>未央区</w:t>
                  </w:r>
                </w:p>
              </w:tc>
              <w:tc>
                <w:tcPr>
                  <w:tcW w:w="270" w:type="pct"/>
                  <w:vMerge w:val="restart"/>
                  <w:noWrap w:val="0"/>
                  <w:vAlign w:val="center"/>
                </w:tcPr>
                <w:p w14:paraId="38619553">
                  <w:pPr>
                    <w:autoSpaceDE w:val="0"/>
                    <w:autoSpaceDN w:val="0"/>
                    <w:adjustRightInd w:val="0"/>
                    <w:snapToGrid w:val="0"/>
                    <w:jc w:val="center"/>
                    <w:rPr>
                      <w:color w:val="auto"/>
                      <w:kern w:val="0"/>
                      <w:szCs w:val="21"/>
                    </w:rPr>
                  </w:pPr>
                  <w:r>
                    <w:rPr>
                      <w:rFonts w:hint="eastAsia"/>
                      <w:color w:val="auto"/>
                      <w:kern w:val="0"/>
                      <w:szCs w:val="21"/>
                    </w:rPr>
                    <w:t>大气环境受体敏感重点管控区</w:t>
                  </w:r>
                </w:p>
              </w:tc>
              <w:tc>
                <w:tcPr>
                  <w:tcW w:w="270" w:type="pct"/>
                  <w:noWrap w:val="0"/>
                  <w:vAlign w:val="center"/>
                </w:tcPr>
                <w:p w14:paraId="6329EE47">
                  <w:pPr>
                    <w:autoSpaceDE w:val="0"/>
                    <w:autoSpaceDN w:val="0"/>
                    <w:adjustRightInd w:val="0"/>
                    <w:snapToGrid w:val="0"/>
                    <w:jc w:val="center"/>
                    <w:rPr>
                      <w:color w:val="auto"/>
                      <w:kern w:val="0"/>
                      <w:szCs w:val="21"/>
                    </w:rPr>
                  </w:pPr>
                  <w:r>
                    <w:rPr>
                      <w:rFonts w:hint="eastAsia"/>
                      <w:color w:val="auto"/>
                      <w:kern w:val="0"/>
                      <w:szCs w:val="21"/>
                    </w:rPr>
                    <w:t>空间布局约束</w:t>
                  </w:r>
                </w:p>
              </w:tc>
              <w:tc>
                <w:tcPr>
                  <w:tcW w:w="1588" w:type="pct"/>
                  <w:noWrap w:val="0"/>
                  <w:vAlign w:val="center"/>
                </w:tcPr>
                <w:p w14:paraId="024FA52C">
                  <w:pPr>
                    <w:autoSpaceDE w:val="0"/>
                    <w:autoSpaceDN w:val="0"/>
                    <w:adjustRightInd w:val="0"/>
                    <w:snapToGrid w:val="0"/>
                    <w:rPr>
                      <w:rFonts w:hint="eastAsia"/>
                      <w:color w:val="auto"/>
                      <w:kern w:val="0"/>
                      <w:szCs w:val="21"/>
                    </w:rPr>
                  </w:pPr>
                  <w:r>
                    <w:rPr>
                      <w:rFonts w:hint="eastAsia"/>
                      <w:color w:val="auto"/>
                      <w:kern w:val="0"/>
                      <w:szCs w:val="21"/>
                    </w:rPr>
                    <w:t>大气环境受体敏感重点管控区：</w:t>
                  </w:r>
                </w:p>
                <w:p w14:paraId="3FAFD52F">
                  <w:pPr>
                    <w:autoSpaceDE w:val="0"/>
                    <w:autoSpaceDN w:val="0"/>
                    <w:adjustRightInd w:val="0"/>
                    <w:snapToGrid w:val="0"/>
                    <w:rPr>
                      <w:rFonts w:hint="eastAsia"/>
                      <w:color w:val="auto"/>
                      <w:kern w:val="0"/>
                      <w:szCs w:val="21"/>
                    </w:rPr>
                  </w:pPr>
                  <w:r>
                    <w:rPr>
                      <w:rFonts w:hint="eastAsia"/>
                      <w:color w:val="auto"/>
                      <w:kern w:val="0"/>
                      <w:szCs w:val="21"/>
                    </w:rPr>
                    <w:t>1.严格控制新增《陕西省“两高”项目管理暂行目录》行业项目（民生等项目除外，后续对“两高”范围国家如有新规定的，从其规定）。</w:t>
                  </w:r>
                </w:p>
                <w:p w14:paraId="16B372D8">
                  <w:pPr>
                    <w:autoSpaceDE w:val="0"/>
                    <w:autoSpaceDN w:val="0"/>
                    <w:adjustRightInd w:val="0"/>
                    <w:snapToGrid w:val="0"/>
                    <w:rPr>
                      <w:rFonts w:hint="eastAsia"/>
                      <w:color w:val="auto"/>
                      <w:kern w:val="0"/>
                      <w:szCs w:val="21"/>
                    </w:rPr>
                  </w:pPr>
                  <w:r>
                    <w:rPr>
                      <w:rFonts w:hint="eastAsia"/>
                      <w:color w:val="auto"/>
                      <w:kern w:val="0"/>
                      <w:szCs w:val="21"/>
                    </w:rPr>
                    <w:t>2.严禁新增钢铁、焦化、水泥熟料、平板玻璃、电解铝、氧化铝、煤化工产能。</w:t>
                  </w:r>
                </w:p>
                <w:p w14:paraId="794457E4">
                  <w:pPr>
                    <w:autoSpaceDE w:val="0"/>
                    <w:autoSpaceDN w:val="0"/>
                    <w:adjustRightInd w:val="0"/>
                    <w:snapToGrid w:val="0"/>
                    <w:rPr>
                      <w:color w:val="auto"/>
                      <w:kern w:val="0"/>
                      <w:szCs w:val="21"/>
                    </w:rPr>
                  </w:pPr>
                  <w:r>
                    <w:rPr>
                      <w:rFonts w:hint="eastAsia"/>
                      <w:color w:val="auto"/>
                      <w:kern w:val="0"/>
                      <w:szCs w:val="21"/>
                    </w:rPr>
                    <w:t>3.推动重污染企业搬迁入园或依法关闭。</w:t>
                  </w:r>
                </w:p>
              </w:tc>
              <w:tc>
                <w:tcPr>
                  <w:tcW w:w="392" w:type="pct"/>
                  <w:vMerge w:val="restart"/>
                  <w:noWrap w:val="0"/>
                  <w:vAlign w:val="center"/>
                </w:tcPr>
                <w:p w14:paraId="24A54E75">
                  <w:pPr>
                    <w:autoSpaceDE w:val="0"/>
                    <w:autoSpaceDN w:val="0"/>
                    <w:adjustRightInd w:val="0"/>
                    <w:snapToGrid w:val="0"/>
                    <w:jc w:val="center"/>
                    <w:rPr>
                      <w:rFonts w:hint="default" w:eastAsia="宋体"/>
                      <w:color w:val="auto"/>
                      <w:kern w:val="0"/>
                      <w:szCs w:val="21"/>
                      <w:lang w:val="en-US" w:eastAsia="zh-CN"/>
                    </w:rPr>
                  </w:pPr>
                  <w:r>
                    <w:rPr>
                      <w:rFonts w:hint="eastAsia"/>
                      <w:color w:val="auto"/>
                      <w:kern w:val="0"/>
                      <w:szCs w:val="21"/>
                      <w:lang w:val="en-US" w:eastAsia="zh-CN"/>
                    </w:rPr>
                    <w:t>5203.21</w:t>
                  </w:r>
                </w:p>
              </w:tc>
              <w:tc>
                <w:tcPr>
                  <w:tcW w:w="1260" w:type="pct"/>
                  <w:noWrap w:val="0"/>
                  <w:vAlign w:val="center"/>
                </w:tcPr>
                <w:p w14:paraId="321FFA67">
                  <w:pPr>
                    <w:autoSpaceDE w:val="0"/>
                    <w:autoSpaceDN w:val="0"/>
                    <w:adjustRightInd w:val="0"/>
                    <w:snapToGrid w:val="0"/>
                    <w:rPr>
                      <w:rFonts w:hint="eastAsia"/>
                      <w:color w:val="auto"/>
                      <w:kern w:val="0"/>
                      <w:szCs w:val="21"/>
                    </w:rPr>
                  </w:pPr>
                  <w:r>
                    <w:rPr>
                      <w:rFonts w:hint="eastAsia"/>
                      <w:color w:val="auto"/>
                      <w:kern w:val="0"/>
                      <w:szCs w:val="21"/>
                    </w:rPr>
                    <w:t>1.本项目属于</w:t>
                  </w:r>
                  <w:r>
                    <w:rPr>
                      <w:rFonts w:hint="eastAsia"/>
                      <w:color w:val="auto"/>
                      <w:kern w:val="0"/>
                      <w:szCs w:val="21"/>
                      <w:lang w:eastAsia="zh-CN"/>
                    </w:rPr>
                    <w:t>汽车修理与维护</w:t>
                  </w:r>
                  <w:r>
                    <w:rPr>
                      <w:rFonts w:hint="eastAsia"/>
                      <w:color w:val="auto"/>
                      <w:kern w:val="0"/>
                      <w:szCs w:val="21"/>
                      <w:lang w:val="en-US" w:eastAsia="zh-CN"/>
                    </w:rPr>
                    <w:t>业</w:t>
                  </w:r>
                  <w:r>
                    <w:rPr>
                      <w:rFonts w:hint="eastAsia"/>
                      <w:color w:val="auto"/>
                      <w:kern w:val="0"/>
                      <w:szCs w:val="21"/>
                    </w:rPr>
                    <w:t>，不属于“两高”项目；</w:t>
                  </w:r>
                </w:p>
                <w:p w14:paraId="091D9B65">
                  <w:pPr>
                    <w:autoSpaceDE w:val="0"/>
                    <w:autoSpaceDN w:val="0"/>
                    <w:adjustRightInd w:val="0"/>
                    <w:snapToGrid w:val="0"/>
                    <w:rPr>
                      <w:rFonts w:hint="eastAsia"/>
                      <w:color w:val="auto"/>
                      <w:kern w:val="0"/>
                      <w:szCs w:val="21"/>
                    </w:rPr>
                  </w:pPr>
                  <w:r>
                    <w:rPr>
                      <w:rFonts w:hint="eastAsia"/>
                      <w:color w:val="auto"/>
                      <w:kern w:val="0"/>
                      <w:szCs w:val="21"/>
                    </w:rPr>
                    <w:t>2.本项目不属于新增钢铁、焦化、水泥熟料、平板玻璃、电解铝、氧化铝、煤化工产能；</w:t>
                  </w:r>
                </w:p>
                <w:p w14:paraId="53B24AD1">
                  <w:pPr>
                    <w:autoSpaceDE w:val="0"/>
                    <w:autoSpaceDN w:val="0"/>
                    <w:adjustRightInd w:val="0"/>
                    <w:snapToGrid w:val="0"/>
                    <w:rPr>
                      <w:color w:val="auto"/>
                      <w:kern w:val="0"/>
                      <w:szCs w:val="21"/>
                    </w:rPr>
                  </w:pPr>
                  <w:r>
                    <w:rPr>
                      <w:rFonts w:hint="eastAsia"/>
                      <w:color w:val="auto"/>
                      <w:kern w:val="0"/>
                      <w:szCs w:val="21"/>
                    </w:rPr>
                    <w:t>3.运行过程中</w:t>
                  </w:r>
                  <w:r>
                    <w:rPr>
                      <w:rFonts w:hint="eastAsia"/>
                      <w:color w:val="auto"/>
                      <w:kern w:val="0"/>
                      <w:szCs w:val="21"/>
                      <w:lang w:val="en-US" w:eastAsia="zh-CN"/>
                    </w:rPr>
                    <w:t>焊接、打磨、抛光废气经</w:t>
                  </w:r>
                  <w:r>
                    <w:rPr>
                      <w:rFonts w:hint="eastAsia"/>
                      <w:bCs/>
                      <w:color w:val="auto"/>
                      <w:szCs w:val="21"/>
                      <w:lang w:val="en-US" w:eastAsia="zh-CN"/>
                    </w:rPr>
                    <w:t>过滤棉+活性炭+排气筒排放</w:t>
                  </w:r>
                  <w:r>
                    <w:rPr>
                      <w:rFonts w:hint="eastAsia"/>
                      <w:color w:val="auto"/>
                      <w:kern w:val="0"/>
                      <w:szCs w:val="21"/>
                      <w:lang w:val="en-US" w:eastAsia="zh-CN"/>
                    </w:rPr>
                    <w:t>；调漆、喷烤漆</w:t>
                  </w:r>
                  <w:r>
                    <w:rPr>
                      <w:rFonts w:hint="eastAsia"/>
                      <w:color w:val="auto"/>
                      <w:kern w:val="0"/>
                      <w:szCs w:val="21"/>
                    </w:rPr>
                    <w:t>废气采用</w:t>
                  </w:r>
                  <w:r>
                    <w:rPr>
                      <w:rFonts w:hint="eastAsia"/>
                      <w:bCs/>
                      <w:color w:val="auto"/>
                      <w:szCs w:val="21"/>
                    </w:rPr>
                    <w:t>过滤棉</w:t>
                  </w:r>
                  <w:r>
                    <w:rPr>
                      <w:rFonts w:hint="eastAsia"/>
                      <w:bCs/>
                      <w:color w:val="auto"/>
                      <w:szCs w:val="21"/>
                      <w:lang w:val="en-US" w:eastAsia="zh-CN"/>
                    </w:rPr>
                    <w:t>+</w:t>
                  </w:r>
                  <w:r>
                    <w:rPr>
                      <w:rFonts w:hint="eastAsia"/>
                      <w:bCs/>
                      <w:color w:val="auto"/>
                      <w:szCs w:val="21"/>
                      <w:lang w:eastAsia="zh-CN"/>
                    </w:rPr>
                    <w:t>二级活性炭</w:t>
                  </w:r>
                  <w:r>
                    <w:rPr>
                      <w:rFonts w:hint="eastAsia"/>
                      <w:bCs/>
                      <w:color w:val="auto"/>
                      <w:szCs w:val="21"/>
                    </w:rPr>
                    <w:t>吸附</w:t>
                  </w:r>
                  <w:r>
                    <w:rPr>
                      <w:rFonts w:hint="eastAsia"/>
                      <w:color w:val="auto"/>
                      <w:kern w:val="0"/>
                      <w:szCs w:val="21"/>
                    </w:rPr>
                    <w:t>+排气筒排放</w:t>
                  </w:r>
                  <w:r>
                    <w:rPr>
                      <w:rFonts w:hint="eastAsia"/>
                      <w:color w:val="auto"/>
                      <w:kern w:val="0"/>
                      <w:szCs w:val="21"/>
                      <w:lang w:eastAsia="zh-CN"/>
                    </w:rPr>
                    <w:t>；</w:t>
                  </w:r>
                  <w:r>
                    <w:rPr>
                      <w:rFonts w:hint="eastAsia"/>
                      <w:color w:val="auto"/>
                      <w:kern w:val="0"/>
                      <w:szCs w:val="21"/>
                      <w:lang w:val="en-US" w:eastAsia="zh-CN"/>
                    </w:rPr>
                    <w:t>污染物</w:t>
                  </w:r>
                  <w:r>
                    <w:rPr>
                      <w:rFonts w:hint="eastAsia"/>
                      <w:color w:val="auto"/>
                      <w:kern w:val="0"/>
                      <w:szCs w:val="21"/>
                    </w:rPr>
                    <w:t>能够达到排放要求</w:t>
                  </w:r>
                  <w:r>
                    <w:rPr>
                      <w:rFonts w:hint="eastAsia"/>
                      <w:bCs/>
                      <w:color w:val="auto"/>
                      <w:szCs w:val="21"/>
                    </w:rPr>
                    <w:t>，</w:t>
                  </w:r>
                  <w:r>
                    <w:rPr>
                      <w:rFonts w:hint="eastAsia"/>
                      <w:color w:val="auto"/>
                      <w:kern w:val="0"/>
                      <w:szCs w:val="21"/>
                    </w:rPr>
                    <w:t>不属于重污染项目。</w:t>
                  </w:r>
                </w:p>
              </w:tc>
              <w:tc>
                <w:tcPr>
                  <w:tcW w:w="221" w:type="pct"/>
                  <w:noWrap w:val="0"/>
                  <w:vAlign w:val="center"/>
                </w:tcPr>
                <w:p w14:paraId="7272A4FC">
                  <w:pPr>
                    <w:autoSpaceDE w:val="0"/>
                    <w:autoSpaceDN w:val="0"/>
                    <w:adjustRightInd w:val="0"/>
                    <w:snapToGrid w:val="0"/>
                    <w:jc w:val="center"/>
                    <w:rPr>
                      <w:color w:val="auto"/>
                      <w:kern w:val="0"/>
                      <w:szCs w:val="21"/>
                    </w:rPr>
                  </w:pPr>
                  <w:r>
                    <w:rPr>
                      <w:color w:val="auto"/>
                      <w:kern w:val="0"/>
                      <w:szCs w:val="21"/>
                    </w:rPr>
                    <w:t>符合</w:t>
                  </w:r>
                </w:p>
              </w:tc>
            </w:tr>
            <w:tr w14:paraId="2097BE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5" w:type="pct"/>
                  <w:vMerge w:val="continue"/>
                  <w:noWrap w:val="0"/>
                  <w:vAlign w:val="center"/>
                </w:tcPr>
                <w:p w14:paraId="47062CF2">
                  <w:pPr>
                    <w:autoSpaceDE w:val="0"/>
                    <w:autoSpaceDN w:val="0"/>
                    <w:adjustRightInd w:val="0"/>
                    <w:snapToGrid w:val="0"/>
                    <w:jc w:val="center"/>
                    <w:rPr>
                      <w:color w:val="auto"/>
                      <w:kern w:val="0"/>
                      <w:szCs w:val="21"/>
                    </w:rPr>
                  </w:pPr>
                </w:p>
              </w:tc>
              <w:tc>
                <w:tcPr>
                  <w:tcW w:w="367" w:type="pct"/>
                  <w:vMerge w:val="continue"/>
                  <w:noWrap w:val="0"/>
                  <w:vAlign w:val="center"/>
                </w:tcPr>
                <w:p w14:paraId="698D63F2">
                  <w:pPr>
                    <w:autoSpaceDE w:val="0"/>
                    <w:autoSpaceDN w:val="0"/>
                    <w:adjustRightInd w:val="0"/>
                    <w:snapToGrid w:val="0"/>
                    <w:jc w:val="center"/>
                    <w:rPr>
                      <w:color w:val="auto"/>
                      <w:kern w:val="0"/>
                      <w:szCs w:val="21"/>
                    </w:rPr>
                  </w:pPr>
                </w:p>
              </w:tc>
              <w:tc>
                <w:tcPr>
                  <w:tcW w:w="230" w:type="pct"/>
                  <w:vMerge w:val="continue"/>
                  <w:noWrap w:val="0"/>
                  <w:vAlign w:val="center"/>
                </w:tcPr>
                <w:p w14:paraId="78447410">
                  <w:pPr>
                    <w:autoSpaceDE w:val="0"/>
                    <w:autoSpaceDN w:val="0"/>
                    <w:adjustRightInd w:val="0"/>
                    <w:snapToGrid w:val="0"/>
                    <w:jc w:val="center"/>
                    <w:rPr>
                      <w:color w:val="auto"/>
                      <w:kern w:val="0"/>
                      <w:szCs w:val="21"/>
                    </w:rPr>
                  </w:pPr>
                </w:p>
              </w:tc>
              <w:tc>
                <w:tcPr>
                  <w:tcW w:w="162" w:type="pct"/>
                  <w:vMerge w:val="continue"/>
                  <w:noWrap w:val="0"/>
                  <w:vAlign w:val="center"/>
                </w:tcPr>
                <w:p w14:paraId="45C1A98D">
                  <w:pPr>
                    <w:autoSpaceDE w:val="0"/>
                    <w:autoSpaceDN w:val="0"/>
                    <w:adjustRightInd w:val="0"/>
                    <w:snapToGrid w:val="0"/>
                    <w:jc w:val="center"/>
                    <w:rPr>
                      <w:color w:val="auto"/>
                      <w:kern w:val="0"/>
                      <w:szCs w:val="21"/>
                    </w:rPr>
                  </w:pPr>
                </w:p>
              </w:tc>
              <w:tc>
                <w:tcPr>
                  <w:tcW w:w="270" w:type="pct"/>
                  <w:vMerge w:val="continue"/>
                  <w:noWrap w:val="0"/>
                  <w:vAlign w:val="center"/>
                </w:tcPr>
                <w:p w14:paraId="106543D0">
                  <w:pPr>
                    <w:autoSpaceDE w:val="0"/>
                    <w:autoSpaceDN w:val="0"/>
                    <w:adjustRightInd w:val="0"/>
                    <w:snapToGrid w:val="0"/>
                    <w:jc w:val="center"/>
                    <w:rPr>
                      <w:color w:val="auto"/>
                      <w:kern w:val="0"/>
                      <w:szCs w:val="21"/>
                    </w:rPr>
                  </w:pPr>
                </w:p>
              </w:tc>
              <w:tc>
                <w:tcPr>
                  <w:tcW w:w="270" w:type="pct"/>
                  <w:noWrap w:val="0"/>
                  <w:vAlign w:val="center"/>
                </w:tcPr>
                <w:p w14:paraId="57E1123E">
                  <w:pPr>
                    <w:autoSpaceDE w:val="0"/>
                    <w:autoSpaceDN w:val="0"/>
                    <w:adjustRightInd w:val="0"/>
                    <w:snapToGrid w:val="0"/>
                    <w:rPr>
                      <w:color w:val="auto"/>
                      <w:kern w:val="0"/>
                      <w:szCs w:val="21"/>
                    </w:rPr>
                  </w:pPr>
                  <w:r>
                    <w:rPr>
                      <w:color w:val="auto"/>
                      <w:kern w:val="0"/>
                      <w:szCs w:val="21"/>
                    </w:rPr>
                    <w:t>污染物排放管控</w:t>
                  </w:r>
                </w:p>
              </w:tc>
              <w:tc>
                <w:tcPr>
                  <w:tcW w:w="1588" w:type="pct"/>
                  <w:noWrap w:val="0"/>
                  <w:vAlign w:val="center"/>
                </w:tcPr>
                <w:p w14:paraId="3B3B720F">
                  <w:pPr>
                    <w:autoSpaceDE w:val="0"/>
                    <w:autoSpaceDN w:val="0"/>
                    <w:adjustRightInd w:val="0"/>
                    <w:snapToGrid w:val="0"/>
                    <w:rPr>
                      <w:rFonts w:hint="eastAsia"/>
                      <w:color w:val="auto"/>
                      <w:kern w:val="0"/>
                      <w:szCs w:val="21"/>
                    </w:rPr>
                  </w:pPr>
                  <w:r>
                    <w:rPr>
                      <w:rFonts w:hint="eastAsia"/>
                      <w:color w:val="auto"/>
                      <w:kern w:val="0"/>
                      <w:szCs w:val="21"/>
                    </w:rPr>
                    <w:t>大气环境受体敏感重点管控区：</w:t>
                  </w:r>
                </w:p>
                <w:p w14:paraId="77A6F559">
                  <w:pPr>
                    <w:autoSpaceDE w:val="0"/>
                    <w:autoSpaceDN w:val="0"/>
                    <w:adjustRightInd w:val="0"/>
                    <w:snapToGrid w:val="0"/>
                    <w:rPr>
                      <w:rFonts w:hint="eastAsia"/>
                      <w:color w:val="auto"/>
                      <w:kern w:val="0"/>
                      <w:szCs w:val="21"/>
                    </w:rPr>
                  </w:pPr>
                  <w:r>
                    <w:rPr>
                      <w:rFonts w:hint="eastAsia"/>
                      <w:color w:val="auto"/>
                      <w:kern w:val="0"/>
                      <w:szCs w:val="21"/>
                    </w:rPr>
                    <w:t>1.城市建成区产生油烟的餐饮服务单位全部安装油烟净化装置并保持正常运行和定期维护。</w:t>
                  </w:r>
                </w:p>
                <w:p w14:paraId="63BE5BA4">
                  <w:pPr>
                    <w:autoSpaceDE w:val="0"/>
                    <w:autoSpaceDN w:val="0"/>
                    <w:adjustRightInd w:val="0"/>
                    <w:snapToGrid w:val="0"/>
                    <w:rPr>
                      <w:rFonts w:hint="eastAsia"/>
                      <w:color w:val="auto"/>
                      <w:kern w:val="0"/>
                      <w:szCs w:val="21"/>
                    </w:rPr>
                  </w:pPr>
                  <w:r>
                    <w:rPr>
                      <w:rFonts w:hint="eastAsia"/>
                      <w:color w:val="auto"/>
                      <w:kern w:val="0"/>
                      <w:szCs w:val="21"/>
                    </w:rPr>
                    <w:t>2.持续因地制宜实施“煤改气”、“油改气”、电能、地热、生物质等清洁能源取暖措施。</w:t>
                  </w:r>
                </w:p>
                <w:p w14:paraId="352334A7">
                  <w:pPr>
                    <w:autoSpaceDE w:val="0"/>
                    <w:autoSpaceDN w:val="0"/>
                    <w:adjustRightInd w:val="0"/>
                    <w:snapToGrid w:val="0"/>
                    <w:rPr>
                      <w:rFonts w:hint="eastAsia"/>
                      <w:color w:val="auto"/>
                      <w:kern w:val="0"/>
                      <w:szCs w:val="21"/>
                    </w:rPr>
                  </w:pPr>
                  <w:r>
                    <w:rPr>
                      <w:rFonts w:hint="eastAsia"/>
                      <w:color w:val="auto"/>
                      <w:kern w:val="0"/>
                      <w:szCs w:val="21"/>
                    </w:rPr>
                    <w:t>3.鼓励将老旧车辆和非道路移动机械替换为清洁能源车辆。推进新能源或清洁能源汽车使用。</w:t>
                  </w:r>
                </w:p>
              </w:tc>
              <w:tc>
                <w:tcPr>
                  <w:tcW w:w="392" w:type="pct"/>
                  <w:vMerge w:val="continue"/>
                  <w:noWrap w:val="0"/>
                  <w:vAlign w:val="center"/>
                </w:tcPr>
                <w:p w14:paraId="2AF8A624">
                  <w:pPr>
                    <w:autoSpaceDE w:val="0"/>
                    <w:autoSpaceDN w:val="0"/>
                    <w:adjustRightInd w:val="0"/>
                    <w:snapToGrid w:val="0"/>
                    <w:rPr>
                      <w:rFonts w:hint="eastAsia"/>
                      <w:color w:val="auto"/>
                      <w:kern w:val="0"/>
                      <w:szCs w:val="21"/>
                    </w:rPr>
                  </w:pPr>
                </w:p>
              </w:tc>
              <w:tc>
                <w:tcPr>
                  <w:tcW w:w="1260" w:type="pct"/>
                  <w:noWrap w:val="0"/>
                  <w:vAlign w:val="center"/>
                </w:tcPr>
                <w:p w14:paraId="5ACAD112">
                  <w:pPr>
                    <w:rPr>
                      <w:rFonts w:hint="eastAsia"/>
                      <w:color w:val="auto"/>
                      <w:kern w:val="0"/>
                      <w:szCs w:val="21"/>
                    </w:rPr>
                  </w:pPr>
                  <w:r>
                    <w:rPr>
                      <w:rFonts w:hint="eastAsia"/>
                      <w:color w:val="auto"/>
                      <w:kern w:val="0"/>
                      <w:szCs w:val="21"/>
                    </w:rPr>
                    <w:t>1.本项目不属于产生油烟的餐饮服务业；</w:t>
                  </w:r>
                </w:p>
                <w:p w14:paraId="76818E7B">
                  <w:pPr>
                    <w:rPr>
                      <w:rFonts w:hint="eastAsia"/>
                      <w:color w:val="auto"/>
                      <w:kern w:val="0"/>
                      <w:szCs w:val="21"/>
                    </w:rPr>
                  </w:pPr>
                  <w:r>
                    <w:rPr>
                      <w:rFonts w:hint="eastAsia"/>
                      <w:color w:val="auto"/>
                      <w:kern w:val="0"/>
                      <w:szCs w:val="21"/>
                    </w:rPr>
                    <w:t>2.本项目</w:t>
                  </w:r>
                  <w:r>
                    <w:rPr>
                      <w:rFonts w:hint="eastAsia"/>
                      <w:color w:val="auto"/>
                      <w:kern w:val="0"/>
                      <w:szCs w:val="21"/>
                      <w:lang w:val="en-US" w:eastAsia="zh-CN"/>
                    </w:rPr>
                    <w:t>运行过程中使用能源主要为电能，属于清洁能源</w:t>
                  </w:r>
                  <w:r>
                    <w:rPr>
                      <w:rFonts w:hint="eastAsia"/>
                      <w:color w:val="auto"/>
                      <w:kern w:val="0"/>
                      <w:szCs w:val="21"/>
                    </w:rPr>
                    <w:t>；</w:t>
                  </w:r>
                </w:p>
                <w:p w14:paraId="17E1BD8E">
                  <w:pPr>
                    <w:rPr>
                      <w:rFonts w:hint="eastAsia"/>
                      <w:color w:val="auto"/>
                      <w:kern w:val="0"/>
                      <w:szCs w:val="21"/>
                    </w:rPr>
                  </w:pPr>
                  <w:r>
                    <w:rPr>
                      <w:rFonts w:hint="eastAsia"/>
                      <w:color w:val="auto"/>
                      <w:kern w:val="0"/>
                      <w:szCs w:val="21"/>
                    </w:rPr>
                    <w:t>3.本项目不涉及老旧车辆和非道路移动机械。</w:t>
                  </w:r>
                </w:p>
              </w:tc>
              <w:tc>
                <w:tcPr>
                  <w:tcW w:w="221" w:type="pct"/>
                  <w:noWrap w:val="0"/>
                  <w:vAlign w:val="center"/>
                </w:tcPr>
                <w:p w14:paraId="4C48D725">
                  <w:pPr>
                    <w:autoSpaceDE w:val="0"/>
                    <w:autoSpaceDN w:val="0"/>
                    <w:adjustRightInd w:val="0"/>
                    <w:snapToGrid w:val="0"/>
                    <w:rPr>
                      <w:color w:val="auto"/>
                      <w:kern w:val="0"/>
                      <w:szCs w:val="21"/>
                    </w:rPr>
                  </w:pPr>
                  <w:r>
                    <w:rPr>
                      <w:color w:val="auto"/>
                      <w:kern w:val="0"/>
                      <w:szCs w:val="21"/>
                    </w:rPr>
                    <w:t>符合</w:t>
                  </w:r>
                </w:p>
              </w:tc>
            </w:tr>
            <w:tr w14:paraId="2FB9C4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5" w:type="pct"/>
                  <w:vMerge w:val="continue"/>
                  <w:noWrap w:val="0"/>
                  <w:vAlign w:val="center"/>
                </w:tcPr>
                <w:p w14:paraId="15707687">
                  <w:pPr>
                    <w:autoSpaceDE w:val="0"/>
                    <w:autoSpaceDN w:val="0"/>
                    <w:adjustRightInd w:val="0"/>
                    <w:snapToGrid w:val="0"/>
                    <w:rPr>
                      <w:color w:val="auto"/>
                      <w:kern w:val="0"/>
                      <w:szCs w:val="21"/>
                    </w:rPr>
                  </w:pPr>
                </w:p>
              </w:tc>
              <w:tc>
                <w:tcPr>
                  <w:tcW w:w="367" w:type="pct"/>
                  <w:vMerge w:val="continue"/>
                  <w:noWrap w:val="0"/>
                  <w:vAlign w:val="center"/>
                </w:tcPr>
                <w:p w14:paraId="1D47D8C2">
                  <w:pPr>
                    <w:autoSpaceDE w:val="0"/>
                    <w:autoSpaceDN w:val="0"/>
                    <w:adjustRightInd w:val="0"/>
                    <w:snapToGrid w:val="0"/>
                    <w:rPr>
                      <w:color w:val="auto"/>
                      <w:kern w:val="0"/>
                      <w:szCs w:val="21"/>
                    </w:rPr>
                  </w:pPr>
                </w:p>
              </w:tc>
              <w:tc>
                <w:tcPr>
                  <w:tcW w:w="230" w:type="pct"/>
                  <w:vMerge w:val="continue"/>
                  <w:noWrap w:val="0"/>
                  <w:vAlign w:val="center"/>
                </w:tcPr>
                <w:p w14:paraId="27B5FD1B">
                  <w:pPr>
                    <w:autoSpaceDE w:val="0"/>
                    <w:autoSpaceDN w:val="0"/>
                    <w:adjustRightInd w:val="0"/>
                    <w:snapToGrid w:val="0"/>
                    <w:rPr>
                      <w:color w:val="auto"/>
                      <w:kern w:val="0"/>
                      <w:szCs w:val="21"/>
                    </w:rPr>
                  </w:pPr>
                </w:p>
              </w:tc>
              <w:tc>
                <w:tcPr>
                  <w:tcW w:w="162" w:type="pct"/>
                  <w:vMerge w:val="continue"/>
                  <w:noWrap w:val="0"/>
                  <w:vAlign w:val="center"/>
                </w:tcPr>
                <w:p w14:paraId="5BD80121">
                  <w:pPr>
                    <w:autoSpaceDE w:val="0"/>
                    <w:autoSpaceDN w:val="0"/>
                    <w:adjustRightInd w:val="0"/>
                    <w:snapToGrid w:val="0"/>
                    <w:rPr>
                      <w:color w:val="auto"/>
                      <w:kern w:val="0"/>
                      <w:szCs w:val="21"/>
                    </w:rPr>
                  </w:pPr>
                </w:p>
              </w:tc>
              <w:tc>
                <w:tcPr>
                  <w:tcW w:w="270" w:type="pct"/>
                  <w:vMerge w:val="restart"/>
                  <w:noWrap w:val="0"/>
                  <w:vAlign w:val="center"/>
                </w:tcPr>
                <w:p w14:paraId="37AB156D">
                  <w:pPr>
                    <w:autoSpaceDE w:val="0"/>
                    <w:autoSpaceDN w:val="0"/>
                    <w:adjustRightInd w:val="0"/>
                    <w:snapToGrid w:val="0"/>
                    <w:rPr>
                      <w:color w:val="auto"/>
                      <w:kern w:val="0"/>
                      <w:szCs w:val="21"/>
                    </w:rPr>
                  </w:pPr>
                  <w:r>
                    <w:rPr>
                      <w:rFonts w:hint="eastAsia"/>
                      <w:color w:val="auto"/>
                      <w:kern w:val="0"/>
                      <w:szCs w:val="21"/>
                    </w:rPr>
                    <w:t>水环境城镇生活污染重点管控区</w:t>
                  </w:r>
                </w:p>
              </w:tc>
              <w:tc>
                <w:tcPr>
                  <w:tcW w:w="270" w:type="pct"/>
                  <w:noWrap w:val="0"/>
                  <w:vAlign w:val="center"/>
                </w:tcPr>
                <w:p w14:paraId="660FDE03">
                  <w:pPr>
                    <w:autoSpaceDE w:val="0"/>
                    <w:autoSpaceDN w:val="0"/>
                    <w:adjustRightInd w:val="0"/>
                    <w:snapToGrid w:val="0"/>
                    <w:jc w:val="center"/>
                    <w:rPr>
                      <w:rFonts w:hint="eastAsia"/>
                      <w:color w:val="auto"/>
                      <w:kern w:val="0"/>
                      <w:szCs w:val="21"/>
                    </w:rPr>
                  </w:pPr>
                  <w:r>
                    <w:rPr>
                      <w:rFonts w:hint="eastAsia"/>
                      <w:color w:val="auto"/>
                      <w:kern w:val="0"/>
                      <w:szCs w:val="21"/>
                    </w:rPr>
                    <w:t>空间布局约束</w:t>
                  </w:r>
                </w:p>
              </w:tc>
              <w:tc>
                <w:tcPr>
                  <w:tcW w:w="1588" w:type="pct"/>
                  <w:noWrap w:val="0"/>
                  <w:vAlign w:val="center"/>
                </w:tcPr>
                <w:p w14:paraId="2095A48E">
                  <w:pPr>
                    <w:autoSpaceDE w:val="0"/>
                    <w:autoSpaceDN w:val="0"/>
                    <w:adjustRightInd w:val="0"/>
                    <w:snapToGrid w:val="0"/>
                    <w:rPr>
                      <w:rFonts w:hint="eastAsia"/>
                      <w:color w:val="auto"/>
                      <w:szCs w:val="21"/>
                    </w:rPr>
                  </w:pPr>
                  <w:r>
                    <w:rPr>
                      <w:rFonts w:hint="eastAsia"/>
                      <w:color w:val="auto"/>
                      <w:szCs w:val="21"/>
                    </w:rPr>
                    <w:t>水环境城镇生活污染重点管控区：</w:t>
                  </w:r>
                </w:p>
                <w:p w14:paraId="74F3D7F4">
                  <w:pPr>
                    <w:autoSpaceDE w:val="0"/>
                    <w:autoSpaceDN w:val="0"/>
                    <w:adjustRightInd w:val="0"/>
                    <w:snapToGrid w:val="0"/>
                    <w:rPr>
                      <w:color w:val="auto"/>
                      <w:szCs w:val="21"/>
                    </w:rPr>
                  </w:pPr>
                  <w:r>
                    <w:rPr>
                      <w:rFonts w:hint="eastAsia"/>
                      <w:color w:val="auto"/>
                      <w:szCs w:val="21"/>
                    </w:rPr>
                    <w:t>1.持续推进城中村、老旧城区、城乡结合部污水截流、收集和城市雨污管道新建、改建。</w:t>
                  </w:r>
                </w:p>
              </w:tc>
              <w:tc>
                <w:tcPr>
                  <w:tcW w:w="392" w:type="pct"/>
                  <w:vMerge w:val="continue"/>
                  <w:noWrap w:val="0"/>
                  <w:vAlign w:val="center"/>
                </w:tcPr>
                <w:p w14:paraId="0D022ABA">
                  <w:pPr>
                    <w:autoSpaceDE w:val="0"/>
                    <w:autoSpaceDN w:val="0"/>
                    <w:adjustRightInd w:val="0"/>
                    <w:snapToGrid w:val="0"/>
                    <w:rPr>
                      <w:rFonts w:hint="eastAsia"/>
                      <w:color w:val="auto"/>
                      <w:kern w:val="0"/>
                      <w:szCs w:val="21"/>
                    </w:rPr>
                  </w:pPr>
                </w:p>
              </w:tc>
              <w:tc>
                <w:tcPr>
                  <w:tcW w:w="1260" w:type="pct"/>
                  <w:noWrap w:val="0"/>
                  <w:vAlign w:val="center"/>
                </w:tcPr>
                <w:p w14:paraId="2016A9DC">
                  <w:pPr>
                    <w:rPr>
                      <w:rFonts w:hint="eastAsia" w:eastAsia="宋体"/>
                      <w:color w:val="auto"/>
                      <w:kern w:val="0"/>
                      <w:szCs w:val="21"/>
                      <w:lang w:eastAsia="zh-CN"/>
                    </w:rPr>
                  </w:pPr>
                  <w:r>
                    <w:rPr>
                      <w:rFonts w:hint="eastAsia"/>
                      <w:color w:val="auto"/>
                      <w:kern w:val="21"/>
                      <w:szCs w:val="21"/>
                    </w:rPr>
                    <w:t>1.本项目产生的生活污水</w:t>
                  </w:r>
                  <w:r>
                    <w:rPr>
                      <w:rFonts w:hint="eastAsia" w:ascii="Times New Roman" w:cs="Times New Roman"/>
                      <w:color w:val="auto"/>
                      <w:sz w:val="21"/>
                      <w:szCs w:val="21"/>
                    </w:rPr>
                    <w:t>经</w:t>
                  </w:r>
                  <w:r>
                    <w:rPr>
                      <w:rFonts w:hint="eastAsia" w:ascii="Times New Roman" w:cs="Times New Roman"/>
                      <w:color w:val="auto"/>
                      <w:sz w:val="21"/>
                      <w:szCs w:val="21"/>
                      <w:lang w:val="en-US" w:eastAsia="zh-CN"/>
                    </w:rPr>
                    <w:t>产业园</w:t>
                  </w:r>
                  <w:r>
                    <w:rPr>
                      <w:rFonts w:hint="eastAsia" w:ascii="Times New Roman" w:cs="Times New Roman"/>
                      <w:color w:val="auto"/>
                      <w:sz w:val="21"/>
                      <w:szCs w:val="21"/>
                    </w:rPr>
                    <w:t>化粪池处理后排入市政污水管网，最终进入西安净水处理有限责任公司第六再生水厂进行处理</w:t>
                  </w:r>
                  <w:r>
                    <w:rPr>
                      <w:rFonts w:hint="eastAsia" w:cs="Times New Roman"/>
                      <w:color w:val="auto"/>
                      <w:sz w:val="21"/>
                      <w:szCs w:val="21"/>
                      <w:lang w:eastAsia="zh-CN"/>
                    </w:rPr>
                    <w:t>。</w:t>
                  </w:r>
                </w:p>
              </w:tc>
              <w:tc>
                <w:tcPr>
                  <w:tcW w:w="221" w:type="pct"/>
                  <w:noWrap w:val="0"/>
                  <w:vAlign w:val="center"/>
                </w:tcPr>
                <w:p w14:paraId="66EBD5CD">
                  <w:pPr>
                    <w:autoSpaceDE w:val="0"/>
                    <w:autoSpaceDN w:val="0"/>
                    <w:adjustRightInd w:val="0"/>
                    <w:snapToGrid w:val="0"/>
                    <w:rPr>
                      <w:color w:val="auto"/>
                      <w:kern w:val="0"/>
                      <w:szCs w:val="21"/>
                    </w:rPr>
                  </w:pPr>
                  <w:r>
                    <w:rPr>
                      <w:color w:val="auto"/>
                      <w:kern w:val="0"/>
                      <w:szCs w:val="21"/>
                    </w:rPr>
                    <w:t>符合</w:t>
                  </w:r>
                </w:p>
              </w:tc>
            </w:tr>
            <w:tr w14:paraId="31653F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5" w:type="pct"/>
                  <w:vMerge w:val="continue"/>
                  <w:noWrap w:val="0"/>
                  <w:vAlign w:val="center"/>
                </w:tcPr>
                <w:p w14:paraId="76764598">
                  <w:pPr>
                    <w:autoSpaceDE w:val="0"/>
                    <w:autoSpaceDN w:val="0"/>
                    <w:adjustRightInd w:val="0"/>
                    <w:snapToGrid w:val="0"/>
                    <w:rPr>
                      <w:color w:val="auto"/>
                      <w:kern w:val="0"/>
                      <w:szCs w:val="21"/>
                    </w:rPr>
                  </w:pPr>
                </w:p>
              </w:tc>
              <w:tc>
                <w:tcPr>
                  <w:tcW w:w="367" w:type="pct"/>
                  <w:vMerge w:val="continue"/>
                  <w:noWrap w:val="0"/>
                  <w:vAlign w:val="center"/>
                </w:tcPr>
                <w:p w14:paraId="390DA99B">
                  <w:pPr>
                    <w:autoSpaceDE w:val="0"/>
                    <w:autoSpaceDN w:val="0"/>
                    <w:adjustRightInd w:val="0"/>
                    <w:snapToGrid w:val="0"/>
                    <w:rPr>
                      <w:color w:val="auto"/>
                      <w:kern w:val="0"/>
                      <w:szCs w:val="21"/>
                    </w:rPr>
                  </w:pPr>
                </w:p>
              </w:tc>
              <w:tc>
                <w:tcPr>
                  <w:tcW w:w="230" w:type="pct"/>
                  <w:vMerge w:val="continue"/>
                  <w:noWrap w:val="0"/>
                  <w:vAlign w:val="center"/>
                </w:tcPr>
                <w:p w14:paraId="6275CFD5">
                  <w:pPr>
                    <w:autoSpaceDE w:val="0"/>
                    <w:autoSpaceDN w:val="0"/>
                    <w:adjustRightInd w:val="0"/>
                    <w:snapToGrid w:val="0"/>
                    <w:rPr>
                      <w:color w:val="auto"/>
                      <w:kern w:val="0"/>
                      <w:szCs w:val="21"/>
                    </w:rPr>
                  </w:pPr>
                </w:p>
              </w:tc>
              <w:tc>
                <w:tcPr>
                  <w:tcW w:w="162" w:type="pct"/>
                  <w:vMerge w:val="continue"/>
                  <w:noWrap w:val="0"/>
                  <w:vAlign w:val="center"/>
                </w:tcPr>
                <w:p w14:paraId="1FB88979">
                  <w:pPr>
                    <w:autoSpaceDE w:val="0"/>
                    <w:autoSpaceDN w:val="0"/>
                    <w:adjustRightInd w:val="0"/>
                    <w:snapToGrid w:val="0"/>
                    <w:rPr>
                      <w:color w:val="auto"/>
                      <w:kern w:val="0"/>
                      <w:szCs w:val="21"/>
                    </w:rPr>
                  </w:pPr>
                </w:p>
              </w:tc>
              <w:tc>
                <w:tcPr>
                  <w:tcW w:w="270" w:type="pct"/>
                  <w:vMerge w:val="continue"/>
                  <w:noWrap w:val="0"/>
                  <w:vAlign w:val="center"/>
                </w:tcPr>
                <w:p w14:paraId="6C47D7B4">
                  <w:pPr>
                    <w:autoSpaceDE w:val="0"/>
                    <w:autoSpaceDN w:val="0"/>
                    <w:adjustRightInd w:val="0"/>
                    <w:snapToGrid w:val="0"/>
                    <w:rPr>
                      <w:rFonts w:hint="eastAsia"/>
                      <w:color w:val="auto"/>
                      <w:kern w:val="0"/>
                      <w:szCs w:val="21"/>
                    </w:rPr>
                  </w:pPr>
                </w:p>
              </w:tc>
              <w:tc>
                <w:tcPr>
                  <w:tcW w:w="270" w:type="pct"/>
                  <w:noWrap w:val="0"/>
                  <w:vAlign w:val="center"/>
                </w:tcPr>
                <w:p w14:paraId="49468041">
                  <w:pPr>
                    <w:autoSpaceDE w:val="0"/>
                    <w:autoSpaceDN w:val="0"/>
                    <w:adjustRightInd w:val="0"/>
                    <w:snapToGrid w:val="0"/>
                    <w:jc w:val="center"/>
                    <w:rPr>
                      <w:color w:val="auto"/>
                      <w:kern w:val="0"/>
                      <w:szCs w:val="21"/>
                    </w:rPr>
                  </w:pPr>
                  <w:r>
                    <w:rPr>
                      <w:color w:val="auto"/>
                      <w:kern w:val="0"/>
                      <w:szCs w:val="21"/>
                    </w:rPr>
                    <w:t>污染物排放管控</w:t>
                  </w:r>
                </w:p>
              </w:tc>
              <w:tc>
                <w:tcPr>
                  <w:tcW w:w="1588" w:type="pct"/>
                  <w:noWrap w:val="0"/>
                  <w:vAlign w:val="center"/>
                </w:tcPr>
                <w:p w14:paraId="1CB99856">
                  <w:pPr>
                    <w:autoSpaceDE w:val="0"/>
                    <w:autoSpaceDN w:val="0"/>
                    <w:adjustRightInd w:val="0"/>
                    <w:snapToGrid w:val="0"/>
                    <w:rPr>
                      <w:rFonts w:hint="eastAsia"/>
                      <w:color w:val="auto"/>
                      <w:szCs w:val="21"/>
                    </w:rPr>
                  </w:pPr>
                  <w:r>
                    <w:rPr>
                      <w:rFonts w:hint="eastAsia"/>
                      <w:color w:val="auto"/>
                      <w:szCs w:val="21"/>
                    </w:rPr>
                    <w:t>水环境城镇生活污染重点管控区：</w:t>
                  </w:r>
                </w:p>
                <w:p w14:paraId="2E85909C">
                  <w:pPr>
                    <w:autoSpaceDE w:val="0"/>
                    <w:autoSpaceDN w:val="0"/>
                    <w:adjustRightInd w:val="0"/>
                    <w:snapToGrid w:val="0"/>
                    <w:rPr>
                      <w:rFonts w:hint="eastAsia"/>
                      <w:color w:val="auto"/>
                      <w:szCs w:val="21"/>
                    </w:rPr>
                  </w:pPr>
                  <w:r>
                    <w:rPr>
                      <w:rFonts w:hint="eastAsia"/>
                      <w:color w:val="auto"/>
                      <w:szCs w:val="21"/>
                    </w:rPr>
                    <w:t>1.加强城镇污水收集处理设施建设与提标改造。城镇生活污水处理达到《陕西省黄河流域污水综合排放标准》（DB61/224-2018）排放限值要求。</w:t>
                  </w:r>
                </w:p>
                <w:p w14:paraId="2C683141">
                  <w:pPr>
                    <w:autoSpaceDE w:val="0"/>
                    <w:autoSpaceDN w:val="0"/>
                    <w:adjustRightInd w:val="0"/>
                    <w:snapToGrid w:val="0"/>
                    <w:rPr>
                      <w:rFonts w:hint="eastAsia"/>
                      <w:color w:val="auto"/>
                      <w:szCs w:val="21"/>
                    </w:rPr>
                  </w:pPr>
                  <w:r>
                    <w:rPr>
                      <w:rFonts w:hint="eastAsia"/>
                      <w:color w:val="auto"/>
                      <w:szCs w:val="21"/>
                    </w:rPr>
                    <w:t>2.城镇新区管网建设及老旧城区管网升级改造中实行雨污分流，鼓励推进初期雨水收集、处理和资源化利用，建设人工湿地水质净化工程，对处理达标后的尾水进一步净化。</w:t>
                  </w:r>
                </w:p>
                <w:p w14:paraId="1CD33117">
                  <w:pPr>
                    <w:autoSpaceDE w:val="0"/>
                    <w:autoSpaceDN w:val="0"/>
                    <w:adjustRightInd w:val="0"/>
                    <w:snapToGrid w:val="0"/>
                    <w:rPr>
                      <w:rFonts w:hint="eastAsia"/>
                      <w:color w:val="auto"/>
                      <w:szCs w:val="21"/>
                    </w:rPr>
                  </w:pPr>
                  <w:r>
                    <w:rPr>
                      <w:rFonts w:hint="eastAsia"/>
                      <w:color w:val="auto"/>
                      <w:szCs w:val="21"/>
                      <w:lang w:val="en-US" w:eastAsia="zh-CN"/>
                    </w:rPr>
                    <w:t>3</w:t>
                  </w:r>
                  <w:r>
                    <w:rPr>
                      <w:rFonts w:hint="eastAsia"/>
                      <w:color w:val="auto"/>
                      <w:szCs w:val="21"/>
                    </w:rPr>
                    <w:t>.污水处理厂出水用于绿化、农灌等用途的，合理确定管控要求，确保达到相应污水再生利用标准。</w:t>
                  </w:r>
                </w:p>
              </w:tc>
              <w:tc>
                <w:tcPr>
                  <w:tcW w:w="392" w:type="pct"/>
                  <w:vMerge w:val="continue"/>
                  <w:noWrap w:val="0"/>
                  <w:vAlign w:val="center"/>
                </w:tcPr>
                <w:p w14:paraId="0B325CB8">
                  <w:pPr>
                    <w:autoSpaceDE w:val="0"/>
                    <w:autoSpaceDN w:val="0"/>
                    <w:adjustRightInd w:val="0"/>
                    <w:snapToGrid w:val="0"/>
                    <w:rPr>
                      <w:rFonts w:hint="eastAsia"/>
                      <w:color w:val="auto"/>
                      <w:kern w:val="0"/>
                      <w:szCs w:val="21"/>
                    </w:rPr>
                  </w:pPr>
                </w:p>
              </w:tc>
              <w:tc>
                <w:tcPr>
                  <w:tcW w:w="1260" w:type="pct"/>
                  <w:noWrap w:val="0"/>
                  <w:vAlign w:val="center"/>
                </w:tcPr>
                <w:p w14:paraId="204121AB">
                  <w:pPr>
                    <w:rPr>
                      <w:rFonts w:hint="eastAsia"/>
                      <w:color w:val="auto"/>
                      <w:szCs w:val="21"/>
                    </w:rPr>
                  </w:pPr>
                  <w:r>
                    <w:rPr>
                      <w:rFonts w:hint="eastAsia"/>
                      <w:color w:val="auto"/>
                      <w:szCs w:val="21"/>
                    </w:rPr>
                    <w:t>1.本项目</w:t>
                  </w:r>
                  <w:r>
                    <w:rPr>
                      <w:rFonts w:hint="eastAsia"/>
                      <w:color w:val="auto"/>
                      <w:szCs w:val="21"/>
                      <w:lang w:val="en-US" w:eastAsia="zh-CN"/>
                    </w:rPr>
                    <w:t>产业园</w:t>
                  </w:r>
                  <w:r>
                    <w:rPr>
                      <w:rFonts w:hint="eastAsia"/>
                      <w:bCs/>
                      <w:color w:val="auto"/>
                      <w:szCs w:val="21"/>
                    </w:rPr>
                    <w:t>生活污水管网系统建设完善；</w:t>
                  </w:r>
                </w:p>
                <w:p w14:paraId="295C18C2">
                  <w:pPr>
                    <w:rPr>
                      <w:color w:val="auto"/>
                      <w:szCs w:val="21"/>
                    </w:rPr>
                  </w:pPr>
                  <w:r>
                    <w:rPr>
                      <w:rFonts w:hint="eastAsia"/>
                      <w:color w:val="auto"/>
                      <w:szCs w:val="21"/>
                    </w:rPr>
                    <w:t>2.本项目不属于污水处理厂项目。</w:t>
                  </w:r>
                </w:p>
              </w:tc>
              <w:tc>
                <w:tcPr>
                  <w:tcW w:w="221" w:type="pct"/>
                  <w:noWrap w:val="0"/>
                  <w:vAlign w:val="center"/>
                </w:tcPr>
                <w:p w14:paraId="2BE818A8">
                  <w:pPr>
                    <w:autoSpaceDE w:val="0"/>
                    <w:autoSpaceDN w:val="0"/>
                    <w:adjustRightInd w:val="0"/>
                    <w:snapToGrid w:val="0"/>
                    <w:rPr>
                      <w:rFonts w:hint="eastAsia"/>
                      <w:color w:val="auto"/>
                      <w:kern w:val="0"/>
                      <w:szCs w:val="21"/>
                    </w:rPr>
                  </w:pPr>
                  <w:r>
                    <w:rPr>
                      <w:rFonts w:hint="eastAsia"/>
                      <w:color w:val="auto"/>
                      <w:kern w:val="0"/>
                      <w:szCs w:val="21"/>
                    </w:rPr>
                    <w:t>符合</w:t>
                  </w:r>
                </w:p>
              </w:tc>
            </w:tr>
            <w:tr w14:paraId="6D3357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5" w:type="pct"/>
                  <w:vMerge w:val="continue"/>
                  <w:noWrap w:val="0"/>
                  <w:vAlign w:val="center"/>
                </w:tcPr>
                <w:p w14:paraId="50B06B92">
                  <w:pPr>
                    <w:autoSpaceDE w:val="0"/>
                    <w:autoSpaceDN w:val="0"/>
                    <w:adjustRightInd w:val="0"/>
                    <w:snapToGrid w:val="0"/>
                    <w:jc w:val="center"/>
                    <w:rPr>
                      <w:color w:val="auto"/>
                      <w:kern w:val="0"/>
                      <w:szCs w:val="21"/>
                    </w:rPr>
                  </w:pPr>
                </w:p>
              </w:tc>
              <w:tc>
                <w:tcPr>
                  <w:tcW w:w="367" w:type="pct"/>
                  <w:vMerge w:val="continue"/>
                  <w:noWrap w:val="0"/>
                  <w:vAlign w:val="center"/>
                </w:tcPr>
                <w:p w14:paraId="5FFE6A6B">
                  <w:pPr>
                    <w:autoSpaceDE w:val="0"/>
                    <w:autoSpaceDN w:val="0"/>
                    <w:adjustRightInd w:val="0"/>
                    <w:snapToGrid w:val="0"/>
                    <w:jc w:val="center"/>
                    <w:rPr>
                      <w:color w:val="auto"/>
                      <w:kern w:val="0"/>
                      <w:szCs w:val="21"/>
                    </w:rPr>
                  </w:pPr>
                </w:p>
              </w:tc>
              <w:tc>
                <w:tcPr>
                  <w:tcW w:w="230" w:type="pct"/>
                  <w:vMerge w:val="continue"/>
                  <w:noWrap w:val="0"/>
                  <w:vAlign w:val="center"/>
                </w:tcPr>
                <w:p w14:paraId="4EFA2A98">
                  <w:pPr>
                    <w:autoSpaceDE w:val="0"/>
                    <w:autoSpaceDN w:val="0"/>
                    <w:adjustRightInd w:val="0"/>
                    <w:snapToGrid w:val="0"/>
                    <w:jc w:val="center"/>
                    <w:rPr>
                      <w:color w:val="auto"/>
                      <w:kern w:val="0"/>
                      <w:szCs w:val="21"/>
                    </w:rPr>
                  </w:pPr>
                </w:p>
              </w:tc>
              <w:tc>
                <w:tcPr>
                  <w:tcW w:w="162" w:type="pct"/>
                  <w:vMerge w:val="continue"/>
                  <w:noWrap w:val="0"/>
                  <w:vAlign w:val="center"/>
                </w:tcPr>
                <w:p w14:paraId="394FB822">
                  <w:pPr>
                    <w:autoSpaceDE w:val="0"/>
                    <w:autoSpaceDN w:val="0"/>
                    <w:adjustRightInd w:val="0"/>
                    <w:snapToGrid w:val="0"/>
                    <w:jc w:val="center"/>
                    <w:rPr>
                      <w:color w:val="auto"/>
                      <w:kern w:val="0"/>
                      <w:szCs w:val="21"/>
                    </w:rPr>
                  </w:pPr>
                </w:p>
              </w:tc>
              <w:tc>
                <w:tcPr>
                  <w:tcW w:w="270" w:type="pct"/>
                  <w:noWrap w:val="0"/>
                  <w:vAlign w:val="center"/>
                </w:tcPr>
                <w:p w14:paraId="23BD20BB">
                  <w:pPr>
                    <w:autoSpaceDE w:val="0"/>
                    <w:autoSpaceDN w:val="0"/>
                    <w:adjustRightInd w:val="0"/>
                    <w:snapToGrid w:val="0"/>
                    <w:jc w:val="center"/>
                    <w:rPr>
                      <w:color w:val="auto"/>
                      <w:kern w:val="0"/>
                      <w:szCs w:val="21"/>
                    </w:rPr>
                  </w:pPr>
                  <w:r>
                    <w:rPr>
                      <w:rFonts w:hint="eastAsia"/>
                      <w:color w:val="auto"/>
                      <w:kern w:val="0"/>
                      <w:szCs w:val="21"/>
                    </w:rPr>
                    <w:t>高污染燃料禁燃区</w:t>
                  </w:r>
                </w:p>
              </w:tc>
              <w:tc>
                <w:tcPr>
                  <w:tcW w:w="270" w:type="pct"/>
                  <w:noWrap w:val="0"/>
                  <w:vAlign w:val="center"/>
                </w:tcPr>
                <w:p w14:paraId="1B2CF389">
                  <w:pPr>
                    <w:autoSpaceDE w:val="0"/>
                    <w:autoSpaceDN w:val="0"/>
                    <w:adjustRightInd w:val="0"/>
                    <w:snapToGrid w:val="0"/>
                    <w:jc w:val="center"/>
                    <w:rPr>
                      <w:rFonts w:hint="eastAsia"/>
                      <w:color w:val="auto"/>
                      <w:kern w:val="0"/>
                      <w:szCs w:val="21"/>
                    </w:rPr>
                  </w:pPr>
                  <w:r>
                    <w:rPr>
                      <w:rFonts w:hint="eastAsia"/>
                      <w:color w:val="auto"/>
                      <w:kern w:val="0"/>
                      <w:szCs w:val="21"/>
                    </w:rPr>
                    <w:t>资源开发效率要求</w:t>
                  </w:r>
                </w:p>
              </w:tc>
              <w:tc>
                <w:tcPr>
                  <w:tcW w:w="1588" w:type="pct"/>
                  <w:noWrap w:val="0"/>
                  <w:vAlign w:val="center"/>
                </w:tcPr>
                <w:p w14:paraId="02E63E55">
                  <w:pPr>
                    <w:autoSpaceDE w:val="0"/>
                    <w:autoSpaceDN w:val="0"/>
                    <w:adjustRightInd w:val="0"/>
                    <w:snapToGrid w:val="0"/>
                    <w:rPr>
                      <w:rFonts w:hint="eastAsia"/>
                      <w:color w:val="auto"/>
                      <w:szCs w:val="21"/>
                    </w:rPr>
                  </w:pPr>
                  <w:r>
                    <w:rPr>
                      <w:rFonts w:hint="eastAsia"/>
                      <w:color w:val="auto"/>
                      <w:szCs w:val="21"/>
                    </w:rPr>
                    <w:t>高污染燃料禁燃区：</w:t>
                  </w:r>
                </w:p>
                <w:p w14:paraId="3C986666">
                  <w:pPr>
                    <w:autoSpaceDE w:val="0"/>
                    <w:autoSpaceDN w:val="0"/>
                    <w:adjustRightInd w:val="0"/>
                    <w:snapToGrid w:val="0"/>
                    <w:rPr>
                      <w:rFonts w:hint="eastAsia"/>
                      <w:color w:val="auto"/>
                      <w:szCs w:val="21"/>
                    </w:rPr>
                  </w:pPr>
                  <w:r>
                    <w:rPr>
                      <w:rFonts w:hint="eastAsia"/>
                      <w:color w:val="auto"/>
                      <w:szCs w:val="21"/>
                    </w:rPr>
                    <w:t>1.禁止销售、使用高污染燃料。禁止新建、扩建燃用高污染燃料的设施。已建成的，应当在市人民政府规定的期限内停止使用或者改用天然气、页岩气、煤层气、液化石油气、干热岩、电、太阳能或者其他清洁能源。</w:t>
                  </w:r>
                </w:p>
                <w:p w14:paraId="1789AFFA">
                  <w:pPr>
                    <w:autoSpaceDE w:val="0"/>
                    <w:autoSpaceDN w:val="0"/>
                    <w:adjustRightInd w:val="0"/>
                    <w:snapToGrid w:val="0"/>
                    <w:rPr>
                      <w:color w:val="auto"/>
                      <w:szCs w:val="21"/>
                    </w:rPr>
                  </w:pPr>
                  <w:r>
                    <w:rPr>
                      <w:rFonts w:hint="eastAsia"/>
                      <w:color w:val="auto"/>
                      <w:szCs w:val="21"/>
                    </w:rPr>
                    <w:t>2.禁止燃放烟花爆竹。</w:t>
                  </w:r>
                </w:p>
              </w:tc>
              <w:tc>
                <w:tcPr>
                  <w:tcW w:w="392" w:type="pct"/>
                  <w:vMerge w:val="continue"/>
                  <w:noWrap w:val="0"/>
                  <w:vAlign w:val="center"/>
                </w:tcPr>
                <w:p w14:paraId="2E9D7A9F">
                  <w:pPr>
                    <w:autoSpaceDE w:val="0"/>
                    <w:autoSpaceDN w:val="0"/>
                    <w:adjustRightInd w:val="0"/>
                    <w:snapToGrid w:val="0"/>
                    <w:rPr>
                      <w:rFonts w:hint="eastAsia"/>
                      <w:color w:val="auto"/>
                      <w:szCs w:val="21"/>
                    </w:rPr>
                  </w:pPr>
                </w:p>
              </w:tc>
              <w:tc>
                <w:tcPr>
                  <w:tcW w:w="1260" w:type="pct"/>
                  <w:noWrap w:val="0"/>
                  <w:vAlign w:val="center"/>
                </w:tcPr>
                <w:p w14:paraId="777E92F8">
                  <w:pPr>
                    <w:autoSpaceDE w:val="0"/>
                    <w:autoSpaceDN w:val="0"/>
                    <w:adjustRightInd w:val="0"/>
                    <w:snapToGrid w:val="0"/>
                    <w:rPr>
                      <w:rFonts w:hint="eastAsia"/>
                      <w:color w:val="auto"/>
                      <w:kern w:val="0"/>
                      <w:szCs w:val="21"/>
                    </w:rPr>
                  </w:pPr>
                  <w:r>
                    <w:rPr>
                      <w:rFonts w:hint="eastAsia"/>
                      <w:color w:val="auto"/>
                      <w:kern w:val="21"/>
                      <w:szCs w:val="21"/>
                    </w:rPr>
                    <w:t>本项目</w:t>
                  </w:r>
                  <w:r>
                    <w:rPr>
                      <w:rFonts w:hint="eastAsia"/>
                      <w:color w:val="auto"/>
                      <w:kern w:val="21"/>
                      <w:szCs w:val="21"/>
                      <w:lang w:val="en-US" w:eastAsia="zh-CN"/>
                    </w:rPr>
                    <w:t>不销售和</w:t>
                  </w:r>
                  <w:r>
                    <w:rPr>
                      <w:rFonts w:hint="eastAsia"/>
                      <w:color w:val="auto"/>
                      <w:szCs w:val="21"/>
                    </w:rPr>
                    <w:t>使用高污染燃料</w:t>
                  </w:r>
                  <w:r>
                    <w:rPr>
                      <w:rFonts w:hint="eastAsia"/>
                      <w:color w:val="auto"/>
                      <w:szCs w:val="21"/>
                      <w:lang w:eastAsia="zh-CN"/>
                    </w:rPr>
                    <w:t>，</w:t>
                  </w:r>
                  <w:r>
                    <w:rPr>
                      <w:rFonts w:hint="eastAsia"/>
                      <w:color w:val="auto"/>
                      <w:szCs w:val="21"/>
                      <w:lang w:val="en-US" w:eastAsia="zh-CN"/>
                    </w:rPr>
                    <w:t>无</w:t>
                  </w:r>
                  <w:r>
                    <w:rPr>
                      <w:rFonts w:hint="eastAsia"/>
                      <w:color w:val="auto"/>
                      <w:szCs w:val="21"/>
                    </w:rPr>
                    <w:t>高污染燃料的设施</w:t>
                  </w:r>
                  <w:r>
                    <w:rPr>
                      <w:rFonts w:hint="eastAsia"/>
                      <w:color w:val="auto"/>
                      <w:szCs w:val="21"/>
                      <w:lang w:eastAsia="zh-CN"/>
                    </w:rPr>
                    <w:t>。</w:t>
                  </w:r>
                </w:p>
              </w:tc>
              <w:tc>
                <w:tcPr>
                  <w:tcW w:w="221" w:type="pct"/>
                  <w:noWrap w:val="0"/>
                  <w:vAlign w:val="center"/>
                </w:tcPr>
                <w:p w14:paraId="1069E769">
                  <w:pPr>
                    <w:autoSpaceDE w:val="0"/>
                    <w:autoSpaceDN w:val="0"/>
                    <w:adjustRightInd w:val="0"/>
                    <w:snapToGrid w:val="0"/>
                    <w:rPr>
                      <w:color w:val="auto"/>
                      <w:kern w:val="0"/>
                      <w:szCs w:val="21"/>
                    </w:rPr>
                  </w:pPr>
                  <w:r>
                    <w:rPr>
                      <w:rFonts w:hint="eastAsia"/>
                      <w:color w:val="auto"/>
                      <w:kern w:val="0"/>
                      <w:szCs w:val="21"/>
                    </w:rPr>
                    <w:t>符合</w:t>
                  </w:r>
                </w:p>
              </w:tc>
            </w:tr>
          </w:tbl>
          <w:p w14:paraId="24700B9F">
            <w:pPr>
              <w:adjustRightInd w:val="0"/>
              <w:snapToGrid w:val="0"/>
              <w:spacing w:before="120" w:beforeLines="50" w:line="360" w:lineRule="auto"/>
              <w:ind w:firstLine="480" w:firstLineChars="200"/>
              <w:rPr>
                <w:rFonts w:hint="eastAsia"/>
                <w:color w:val="auto"/>
                <w:sz w:val="24"/>
              </w:rPr>
            </w:pPr>
          </w:p>
          <w:p w14:paraId="43CF23EA">
            <w:pPr>
              <w:adjustRightInd w:val="0"/>
              <w:snapToGrid w:val="0"/>
              <w:spacing w:line="360" w:lineRule="auto"/>
              <w:ind w:firstLine="420" w:firstLineChars="200"/>
              <w:rPr>
                <w:rFonts w:hint="eastAsia"/>
                <w:color w:val="auto"/>
              </w:rPr>
            </w:pPr>
          </w:p>
        </w:tc>
      </w:tr>
    </w:tbl>
    <w:p w14:paraId="691C1700">
      <w:pPr>
        <w:rPr>
          <w:color w:val="auto"/>
        </w:rPr>
        <w:sectPr>
          <w:pgSz w:w="16838" w:h="11906" w:orient="landscape"/>
          <w:pgMar w:top="1531" w:right="1701" w:bottom="1531" w:left="1701" w:header="851" w:footer="1077" w:gutter="0"/>
          <w:pgBorders>
            <w:top w:val="none" w:sz="0" w:space="0"/>
            <w:left w:val="none" w:sz="0" w:space="0"/>
            <w:bottom w:val="none" w:sz="0" w:space="0"/>
            <w:right w:val="none" w:sz="0" w:space="0"/>
          </w:pgBorders>
          <w:cols w:space="720" w:num="1"/>
          <w:docGrid w:linePitch="312" w:charSpace="0"/>
        </w:sectPr>
      </w:pPr>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75"/>
        <w:gridCol w:w="7395"/>
      </w:tblGrid>
      <w:tr w14:paraId="4A2777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5" w:type="dxa"/>
            <w:noWrap w:val="0"/>
            <w:vAlign w:val="center"/>
          </w:tcPr>
          <w:p w14:paraId="64848150">
            <w:pPr>
              <w:autoSpaceDE w:val="0"/>
              <w:autoSpaceDN w:val="0"/>
              <w:adjustRightInd w:val="0"/>
              <w:snapToGrid w:val="0"/>
              <w:jc w:val="center"/>
              <w:rPr>
                <w:color w:val="auto"/>
                <w:kern w:val="0"/>
                <w:sz w:val="24"/>
              </w:rPr>
            </w:pPr>
            <w:r>
              <w:rPr>
                <w:color w:val="auto"/>
                <w:kern w:val="0"/>
                <w:sz w:val="24"/>
              </w:rPr>
              <w:t>其他符合性分析</w:t>
            </w:r>
          </w:p>
        </w:tc>
        <w:tc>
          <w:tcPr>
            <w:tcW w:w="7395" w:type="dxa"/>
            <w:noWrap w:val="0"/>
            <w:vAlign w:val="center"/>
          </w:tcPr>
          <w:p w14:paraId="020633B6">
            <w:pPr>
              <w:adjustRightInd w:val="0"/>
              <w:snapToGrid w:val="0"/>
              <w:spacing w:before="120" w:beforeLines="50" w:line="360" w:lineRule="auto"/>
              <w:ind w:firstLine="488" w:firstLineChars="200"/>
              <w:rPr>
                <w:rFonts w:hint="eastAsia"/>
                <w:color w:val="auto"/>
                <w:sz w:val="24"/>
              </w:rPr>
            </w:pPr>
            <w:r>
              <w:rPr>
                <w:rFonts w:hint="eastAsia"/>
                <w:color w:val="auto"/>
                <w:spacing w:val="2"/>
                <w:sz w:val="24"/>
              </w:rPr>
              <w:t>（3）“</w:t>
            </w:r>
            <w:r>
              <w:rPr>
                <w:color w:val="auto"/>
                <w:spacing w:val="2"/>
                <w:sz w:val="24"/>
              </w:rPr>
              <w:t>一说明</w:t>
            </w:r>
            <w:r>
              <w:rPr>
                <w:rFonts w:hint="eastAsia"/>
                <w:color w:val="auto"/>
                <w:spacing w:val="2"/>
                <w:sz w:val="24"/>
              </w:rPr>
              <w:t>”</w:t>
            </w:r>
          </w:p>
          <w:p w14:paraId="1FB29710">
            <w:pPr>
              <w:adjustRightInd w:val="0"/>
              <w:snapToGrid w:val="0"/>
              <w:spacing w:line="360" w:lineRule="auto"/>
              <w:ind w:firstLine="480" w:firstLineChars="200"/>
              <w:rPr>
                <w:rFonts w:hint="eastAsia"/>
                <w:color w:val="auto"/>
                <w:sz w:val="24"/>
              </w:rPr>
            </w:pPr>
            <w:r>
              <w:rPr>
                <w:rFonts w:hint="eastAsia"/>
                <w:color w:val="auto"/>
                <w:sz w:val="24"/>
              </w:rPr>
              <w:t>本项目位于</w:t>
            </w:r>
            <w:r>
              <w:rPr>
                <w:rFonts w:hint="eastAsia"/>
                <w:color w:val="auto"/>
                <w:sz w:val="24"/>
                <w:lang w:val="en-US" w:eastAsia="zh-CN"/>
              </w:rPr>
              <w:t>陕西省</w:t>
            </w:r>
            <w:r>
              <w:rPr>
                <w:rFonts w:hint="eastAsia"/>
                <w:color w:val="auto"/>
                <w:sz w:val="24"/>
                <w:lang w:eastAsia="zh-CN"/>
              </w:rPr>
              <w:t>西咸新区沣东新城天章大道与丰安路十字西北角丰树沣东（西安）产业园1号库1-1号</w:t>
            </w:r>
            <w:r>
              <w:rPr>
                <w:rFonts w:hint="eastAsia"/>
                <w:color w:val="auto"/>
                <w:sz w:val="24"/>
              </w:rPr>
              <w:t>，属于西安市生态环境管控单元分布示意图中的重点管控单元。</w:t>
            </w:r>
          </w:p>
          <w:p w14:paraId="7C4B8315">
            <w:pPr>
              <w:spacing w:before="120" w:beforeLines="50" w:line="360" w:lineRule="auto"/>
              <w:ind w:firstLine="480" w:firstLineChars="200"/>
              <w:contextualSpacing/>
              <w:rPr>
                <w:rFonts w:hint="eastAsia"/>
                <w:color w:val="auto"/>
                <w:sz w:val="24"/>
              </w:rPr>
            </w:pPr>
            <w:r>
              <w:rPr>
                <w:rFonts w:hint="eastAsia"/>
                <w:color w:val="auto"/>
                <w:sz w:val="24"/>
              </w:rPr>
              <w:t>本项目满足重点管控单元在空间布局约束、污染物排放管控、环境风险防控、资源利用效率等管控要求，因此，本项目的建设符合《2023年陕西省生态环境分区管控成果动态更新实施方案》中生态环境分区管控准入清单管控要求。</w:t>
            </w:r>
          </w:p>
          <w:p w14:paraId="66F6C88C">
            <w:pPr>
              <w:spacing w:before="120" w:beforeLines="50" w:line="360" w:lineRule="auto"/>
              <w:ind w:firstLine="482" w:firstLineChars="200"/>
              <w:contextualSpacing/>
              <w:rPr>
                <w:b/>
                <w:bCs/>
                <w:color w:val="auto"/>
                <w:kern w:val="0"/>
                <w:sz w:val="24"/>
              </w:rPr>
            </w:pPr>
            <w:r>
              <w:rPr>
                <w:rFonts w:hint="eastAsia"/>
                <w:b/>
                <w:bCs/>
                <w:color w:val="auto"/>
                <w:kern w:val="0"/>
                <w:sz w:val="24"/>
              </w:rPr>
              <w:t>4、项目与其他相关环保政策及标准符合性分析</w:t>
            </w:r>
          </w:p>
          <w:p w14:paraId="51D3F202">
            <w:pPr>
              <w:pStyle w:val="61"/>
              <w:adjustRightInd w:val="0"/>
              <w:spacing w:before="0" w:afterLines="0"/>
              <w:ind w:firstLine="0"/>
              <w:rPr>
                <w:rFonts w:hint="eastAsia" w:ascii="Times New Roman" w:hAnsi="Times New Roman" w:eastAsia="宋体"/>
                <w:b/>
                <w:color w:val="auto"/>
                <w:sz w:val="24"/>
                <w:szCs w:val="24"/>
              </w:rPr>
            </w:pPr>
            <w:r>
              <w:rPr>
                <w:rFonts w:ascii="Times New Roman" w:hAnsi="Times New Roman" w:eastAsia="宋体"/>
                <w:b/>
                <w:color w:val="auto"/>
                <w:sz w:val="24"/>
                <w:szCs w:val="24"/>
              </w:rPr>
              <w:t>表</w:t>
            </w:r>
            <w:r>
              <w:rPr>
                <w:rFonts w:hint="eastAsia" w:ascii="Times New Roman" w:hAnsi="Times New Roman" w:eastAsia="宋体"/>
                <w:b/>
                <w:color w:val="auto"/>
                <w:sz w:val="24"/>
                <w:szCs w:val="24"/>
              </w:rPr>
              <w:t>1</w:t>
            </w:r>
            <w:r>
              <w:rPr>
                <w:rFonts w:ascii="Times New Roman" w:hAnsi="Times New Roman" w:eastAsia="宋体"/>
                <w:b/>
                <w:color w:val="auto"/>
                <w:sz w:val="24"/>
                <w:szCs w:val="24"/>
              </w:rPr>
              <w:t>-</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 xml:space="preserve">  项目</w:t>
            </w:r>
            <w:r>
              <w:rPr>
                <w:rFonts w:ascii="Times New Roman" w:hAnsi="Times New Roman" w:eastAsia="宋体"/>
                <w:b/>
                <w:color w:val="auto"/>
                <w:sz w:val="24"/>
                <w:szCs w:val="24"/>
              </w:rPr>
              <w:t>与</w:t>
            </w:r>
            <w:r>
              <w:rPr>
                <w:rFonts w:hint="eastAsia" w:ascii="Times New Roman" w:hAnsi="Times New Roman" w:eastAsia="宋体"/>
                <w:b/>
                <w:color w:val="auto"/>
                <w:sz w:val="24"/>
                <w:szCs w:val="24"/>
              </w:rPr>
              <w:t>其他相关环保政策及标准</w:t>
            </w:r>
            <w:r>
              <w:rPr>
                <w:rFonts w:ascii="Times New Roman" w:hAnsi="Times New Roman" w:eastAsia="宋体"/>
                <w:b/>
                <w:color w:val="auto"/>
                <w:sz w:val="24"/>
                <w:szCs w:val="24"/>
              </w:rPr>
              <w:t>相符性分析</w:t>
            </w:r>
          </w:p>
          <w:tbl>
            <w:tblPr>
              <w:tblStyle w:val="25"/>
              <w:tblW w:w="725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36"/>
              <w:gridCol w:w="3263"/>
              <w:gridCol w:w="2119"/>
              <w:gridCol w:w="433"/>
            </w:tblGrid>
            <w:tr w14:paraId="64CF0B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436" w:type="dxa"/>
                  <w:noWrap w:val="0"/>
                  <w:vAlign w:val="center"/>
                </w:tcPr>
                <w:p w14:paraId="20FC9E9F">
                  <w:pPr>
                    <w:autoSpaceDE w:val="0"/>
                    <w:autoSpaceDN w:val="0"/>
                    <w:adjustRightInd w:val="0"/>
                    <w:snapToGrid w:val="0"/>
                    <w:jc w:val="center"/>
                    <w:rPr>
                      <w:rFonts w:hint="eastAsia"/>
                      <w:b/>
                      <w:bCs/>
                      <w:color w:val="auto"/>
                      <w:szCs w:val="21"/>
                    </w:rPr>
                  </w:pPr>
                  <w:r>
                    <w:rPr>
                      <w:rFonts w:hint="eastAsia"/>
                      <w:b/>
                      <w:bCs/>
                      <w:color w:val="auto"/>
                      <w:szCs w:val="21"/>
                    </w:rPr>
                    <w:t>文件名称</w:t>
                  </w:r>
                </w:p>
              </w:tc>
              <w:tc>
                <w:tcPr>
                  <w:tcW w:w="3263" w:type="dxa"/>
                  <w:noWrap w:val="0"/>
                  <w:vAlign w:val="center"/>
                </w:tcPr>
                <w:p w14:paraId="3B583CD1">
                  <w:pPr>
                    <w:autoSpaceDE w:val="0"/>
                    <w:autoSpaceDN w:val="0"/>
                    <w:adjustRightInd w:val="0"/>
                    <w:snapToGrid w:val="0"/>
                    <w:jc w:val="center"/>
                    <w:rPr>
                      <w:b/>
                      <w:bCs/>
                      <w:color w:val="auto"/>
                      <w:szCs w:val="21"/>
                    </w:rPr>
                  </w:pPr>
                  <w:r>
                    <w:rPr>
                      <w:rFonts w:hint="eastAsia"/>
                      <w:b/>
                      <w:bCs/>
                      <w:color w:val="auto"/>
                      <w:szCs w:val="21"/>
                    </w:rPr>
                    <w:t>政策要求</w:t>
                  </w:r>
                </w:p>
              </w:tc>
              <w:tc>
                <w:tcPr>
                  <w:tcW w:w="2119" w:type="dxa"/>
                  <w:noWrap w:val="0"/>
                  <w:vAlign w:val="center"/>
                </w:tcPr>
                <w:p w14:paraId="248B4EC6">
                  <w:pPr>
                    <w:autoSpaceDE w:val="0"/>
                    <w:autoSpaceDN w:val="0"/>
                    <w:adjustRightInd w:val="0"/>
                    <w:snapToGrid w:val="0"/>
                    <w:jc w:val="center"/>
                    <w:rPr>
                      <w:b/>
                      <w:bCs/>
                      <w:color w:val="auto"/>
                      <w:szCs w:val="21"/>
                    </w:rPr>
                  </w:pPr>
                  <w:r>
                    <w:rPr>
                      <w:rFonts w:hint="eastAsia"/>
                      <w:b/>
                      <w:bCs/>
                      <w:color w:val="auto"/>
                      <w:szCs w:val="21"/>
                    </w:rPr>
                    <w:t>本项目情况</w:t>
                  </w:r>
                </w:p>
              </w:tc>
              <w:tc>
                <w:tcPr>
                  <w:tcW w:w="433" w:type="dxa"/>
                  <w:noWrap w:val="0"/>
                  <w:vAlign w:val="center"/>
                </w:tcPr>
                <w:p w14:paraId="5C0C8575">
                  <w:pPr>
                    <w:autoSpaceDE w:val="0"/>
                    <w:autoSpaceDN w:val="0"/>
                    <w:adjustRightInd w:val="0"/>
                    <w:snapToGrid w:val="0"/>
                    <w:jc w:val="center"/>
                    <w:rPr>
                      <w:b/>
                      <w:bCs/>
                      <w:color w:val="auto"/>
                      <w:szCs w:val="21"/>
                    </w:rPr>
                  </w:pPr>
                  <w:r>
                    <w:rPr>
                      <w:rFonts w:hint="eastAsia"/>
                      <w:b/>
                      <w:bCs/>
                      <w:color w:val="auto"/>
                      <w:szCs w:val="21"/>
                    </w:rPr>
                    <w:t>相符性</w:t>
                  </w:r>
                </w:p>
              </w:tc>
            </w:tr>
            <w:tr w14:paraId="2A3A09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436" w:type="dxa"/>
                  <w:vMerge w:val="restart"/>
                  <w:noWrap w:val="0"/>
                  <w:vAlign w:val="center"/>
                </w:tcPr>
                <w:p w14:paraId="64A37AA8">
                  <w:pPr>
                    <w:autoSpaceDE w:val="0"/>
                    <w:autoSpaceDN w:val="0"/>
                    <w:adjustRightInd w:val="0"/>
                    <w:snapToGrid w:val="0"/>
                    <w:jc w:val="center"/>
                    <w:rPr>
                      <w:color w:val="auto"/>
                      <w:szCs w:val="21"/>
                    </w:rPr>
                  </w:pPr>
                  <w:r>
                    <w:rPr>
                      <w:rFonts w:hint="eastAsia"/>
                      <w:color w:val="auto"/>
                      <w:szCs w:val="21"/>
                    </w:rPr>
                    <w:t>《陕西省“十四五”生态环境保护规划》（陕政办发〔2021〕25号）</w:t>
                  </w:r>
                </w:p>
              </w:tc>
              <w:tc>
                <w:tcPr>
                  <w:tcW w:w="3263" w:type="dxa"/>
                  <w:noWrap w:val="0"/>
                  <w:vAlign w:val="center"/>
                </w:tcPr>
                <w:p w14:paraId="2899B177">
                  <w:pPr>
                    <w:autoSpaceDE w:val="0"/>
                    <w:adjustRightInd w:val="0"/>
                    <w:snapToGrid w:val="0"/>
                    <w:ind w:firstLine="420" w:firstLineChars="200"/>
                    <w:rPr>
                      <w:rFonts w:hint="eastAsia"/>
                      <w:color w:val="auto"/>
                      <w:kern w:val="2"/>
                      <w:sz w:val="21"/>
                      <w:szCs w:val="21"/>
                      <w:lang w:val="en-US" w:eastAsia="zh-CN" w:bidi="ar-SA"/>
                    </w:rPr>
                  </w:pPr>
                  <w:r>
                    <w:rPr>
                      <w:color w:val="auto"/>
                      <w:szCs w:val="21"/>
                    </w:rPr>
                    <w:t>促进产业结构转型升级。严格能耗、环保、质量、安全、技术等综合标准，以钢铁、煤炭、水泥、电解铝、平板玻璃等行业为重点，依法依规淘汰落后产能。以钢铁、煤炭、煤电等行业和</w:t>
                  </w:r>
                  <w:r>
                    <w:rPr>
                      <w:rFonts w:hint="eastAsia"/>
                      <w:color w:val="auto"/>
                      <w:szCs w:val="21"/>
                    </w:rPr>
                    <w:t>领域为重点</w:t>
                  </w:r>
                  <w:r>
                    <w:rPr>
                      <w:rFonts w:hint="eastAsia"/>
                      <w:color w:val="auto"/>
                      <w:szCs w:val="21"/>
                      <w:lang w:eastAsia="zh-CN"/>
                    </w:rPr>
                    <w:t>，</w:t>
                  </w:r>
                  <w:r>
                    <w:rPr>
                      <w:rFonts w:hint="eastAsia"/>
                      <w:color w:val="auto"/>
                      <w:szCs w:val="21"/>
                      <w:lang w:val="en-US" w:eastAsia="zh-CN"/>
                    </w:rPr>
                    <w:t>加大过剩产能压减力度</w:t>
                  </w:r>
                  <w:r>
                    <w:rPr>
                      <w:rFonts w:hint="eastAsia"/>
                      <w:color w:val="auto"/>
                      <w:szCs w:val="21"/>
                    </w:rPr>
                    <w:t>。</w:t>
                  </w:r>
                </w:p>
              </w:tc>
              <w:tc>
                <w:tcPr>
                  <w:tcW w:w="2119" w:type="dxa"/>
                  <w:noWrap w:val="0"/>
                  <w:vAlign w:val="center"/>
                </w:tcPr>
                <w:p w14:paraId="06401CD7">
                  <w:pPr>
                    <w:autoSpaceDE w:val="0"/>
                    <w:adjustRightInd w:val="0"/>
                    <w:snapToGrid w:val="0"/>
                    <w:rPr>
                      <w:rFonts w:hint="eastAsia" w:eastAsia="宋体"/>
                      <w:color w:val="auto"/>
                      <w:kern w:val="2"/>
                      <w:sz w:val="21"/>
                      <w:szCs w:val="21"/>
                      <w:lang w:val="en-US" w:eastAsia="zh-CN" w:bidi="ar-SA"/>
                    </w:rPr>
                  </w:pPr>
                  <w:r>
                    <w:rPr>
                      <w:rFonts w:hint="eastAsia"/>
                      <w:color w:val="auto"/>
                      <w:szCs w:val="21"/>
                    </w:rPr>
                    <w:t>本项目主要为</w:t>
                  </w:r>
                  <w:r>
                    <w:rPr>
                      <w:rFonts w:hint="eastAsia"/>
                      <w:color w:val="auto"/>
                      <w:szCs w:val="21"/>
                      <w:lang w:eastAsia="zh-CN"/>
                    </w:rPr>
                    <w:t>汽车修理与维护</w:t>
                  </w:r>
                  <w:r>
                    <w:rPr>
                      <w:rFonts w:hint="eastAsia"/>
                      <w:color w:val="auto"/>
                      <w:szCs w:val="21"/>
                    </w:rPr>
                    <w:t>，不属于</w:t>
                  </w:r>
                  <w:r>
                    <w:rPr>
                      <w:color w:val="auto"/>
                      <w:szCs w:val="21"/>
                    </w:rPr>
                    <w:t>钢铁、煤炭、水泥、电解铝、平板玻璃等行业</w:t>
                  </w:r>
                  <w:r>
                    <w:rPr>
                      <w:rFonts w:hint="eastAsia"/>
                      <w:color w:val="auto"/>
                      <w:szCs w:val="21"/>
                      <w:lang w:eastAsia="zh-CN"/>
                    </w:rPr>
                    <w:t>，</w:t>
                  </w:r>
                  <w:r>
                    <w:rPr>
                      <w:rFonts w:hint="eastAsia"/>
                      <w:color w:val="auto"/>
                      <w:szCs w:val="21"/>
                      <w:lang w:val="en-US" w:eastAsia="zh-CN"/>
                    </w:rPr>
                    <w:t>不涉及</w:t>
                  </w:r>
                  <w:r>
                    <w:rPr>
                      <w:color w:val="auto"/>
                      <w:szCs w:val="21"/>
                    </w:rPr>
                    <w:t>淘汰落后产能</w:t>
                  </w:r>
                  <w:r>
                    <w:rPr>
                      <w:rFonts w:hint="eastAsia"/>
                      <w:color w:val="auto"/>
                      <w:szCs w:val="21"/>
                      <w:lang w:eastAsia="zh-CN"/>
                    </w:rPr>
                    <w:t>。</w:t>
                  </w:r>
                </w:p>
              </w:tc>
              <w:tc>
                <w:tcPr>
                  <w:tcW w:w="433" w:type="dxa"/>
                  <w:noWrap w:val="0"/>
                  <w:vAlign w:val="center"/>
                </w:tcPr>
                <w:p w14:paraId="5DAB44FA">
                  <w:pPr>
                    <w:autoSpaceDE w:val="0"/>
                    <w:autoSpaceDN w:val="0"/>
                    <w:adjustRightInd w:val="0"/>
                    <w:snapToGrid w:val="0"/>
                    <w:jc w:val="center"/>
                    <w:rPr>
                      <w:color w:val="auto"/>
                      <w:szCs w:val="21"/>
                    </w:rPr>
                  </w:pPr>
                  <w:r>
                    <w:rPr>
                      <w:rFonts w:hint="eastAsia"/>
                      <w:color w:val="auto"/>
                      <w:szCs w:val="21"/>
                    </w:rPr>
                    <w:t>符合</w:t>
                  </w:r>
                </w:p>
              </w:tc>
            </w:tr>
            <w:tr w14:paraId="6B771D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436" w:type="dxa"/>
                  <w:vMerge w:val="continue"/>
                  <w:noWrap w:val="0"/>
                  <w:vAlign w:val="center"/>
                </w:tcPr>
                <w:p w14:paraId="597FC352">
                  <w:pPr>
                    <w:autoSpaceDE w:val="0"/>
                    <w:autoSpaceDN w:val="0"/>
                    <w:adjustRightInd w:val="0"/>
                    <w:snapToGrid w:val="0"/>
                    <w:jc w:val="center"/>
                    <w:rPr>
                      <w:rFonts w:hint="eastAsia"/>
                      <w:color w:val="auto"/>
                      <w:szCs w:val="21"/>
                    </w:rPr>
                  </w:pPr>
                </w:p>
              </w:tc>
              <w:tc>
                <w:tcPr>
                  <w:tcW w:w="3263" w:type="dxa"/>
                  <w:noWrap w:val="0"/>
                  <w:vAlign w:val="center"/>
                </w:tcPr>
                <w:p w14:paraId="12DFE23D">
                  <w:pPr>
                    <w:autoSpaceDE w:val="0"/>
                    <w:adjustRightInd w:val="0"/>
                    <w:snapToGrid w:val="0"/>
                    <w:ind w:firstLine="420" w:firstLineChars="200"/>
                    <w:rPr>
                      <w:rFonts w:hint="eastAsia"/>
                      <w:color w:val="auto"/>
                      <w:kern w:val="2"/>
                      <w:sz w:val="21"/>
                      <w:szCs w:val="21"/>
                      <w:lang w:val="en-US" w:eastAsia="zh-CN" w:bidi="ar-SA"/>
                    </w:rPr>
                  </w:pPr>
                  <w:r>
                    <w:rPr>
                      <w:rFonts w:hint="eastAsia"/>
                      <w:color w:val="auto"/>
                      <w:szCs w:val="21"/>
                    </w:rPr>
                    <w:t>提升能源结构清洁低碳水平。加快电源结构调整和布局优化，新增用电需求主要通过新能源电力保障，减少煤电占比。</w:t>
                  </w:r>
                </w:p>
              </w:tc>
              <w:tc>
                <w:tcPr>
                  <w:tcW w:w="2119" w:type="dxa"/>
                  <w:noWrap w:val="0"/>
                  <w:vAlign w:val="center"/>
                </w:tcPr>
                <w:p w14:paraId="515964BB">
                  <w:pPr>
                    <w:autoSpaceDE w:val="0"/>
                    <w:adjustRightInd w:val="0"/>
                    <w:snapToGrid w:val="0"/>
                    <w:rPr>
                      <w:rFonts w:hint="eastAsia" w:eastAsia="宋体"/>
                      <w:color w:val="auto"/>
                      <w:kern w:val="2"/>
                      <w:sz w:val="21"/>
                      <w:szCs w:val="21"/>
                      <w:lang w:val="en-US" w:eastAsia="zh-CN" w:bidi="ar-SA"/>
                    </w:rPr>
                  </w:pPr>
                  <w:r>
                    <w:rPr>
                      <w:rFonts w:hint="eastAsia"/>
                      <w:color w:val="auto"/>
                      <w:szCs w:val="21"/>
                    </w:rPr>
                    <w:t>本项目运营期能耗主要使用电能，属于清洁能源</w:t>
                  </w:r>
                  <w:r>
                    <w:rPr>
                      <w:rFonts w:hint="eastAsia"/>
                      <w:color w:val="auto"/>
                      <w:szCs w:val="21"/>
                      <w:lang w:eastAsia="zh-CN"/>
                    </w:rPr>
                    <w:t>。</w:t>
                  </w:r>
                </w:p>
              </w:tc>
              <w:tc>
                <w:tcPr>
                  <w:tcW w:w="433" w:type="dxa"/>
                  <w:noWrap w:val="0"/>
                  <w:vAlign w:val="center"/>
                </w:tcPr>
                <w:p w14:paraId="498BF521">
                  <w:pPr>
                    <w:autoSpaceDE w:val="0"/>
                    <w:autoSpaceDN w:val="0"/>
                    <w:adjustRightInd w:val="0"/>
                    <w:snapToGrid w:val="0"/>
                    <w:jc w:val="center"/>
                    <w:rPr>
                      <w:rFonts w:hint="eastAsia"/>
                      <w:color w:val="auto"/>
                      <w:szCs w:val="21"/>
                    </w:rPr>
                  </w:pPr>
                  <w:r>
                    <w:rPr>
                      <w:rFonts w:hint="eastAsia"/>
                      <w:color w:val="auto"/>
                      <w:szCs w:val="21"/>
                    </w:rPr>
                    <w:t>符合</w:t>
                  </w:r>
                </w:p>
              </w:tc>
            </w:tr>
            <w:tr w14:paraId="6470D8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436" w:type="dxa"/>
                  <w:vMerge w:val="restart"/>
                  <w:noWrap w:val="0"/>
                  <w:vAlign w:val="center"/>
                </w:tcPr>
                <w:p w14:paraId="136530A1">
                  <w:pPr>
                    <w:autoSpaceDE w:val="0"/>
                    <w:autoSpaceDN w:val="0"/>
                    <w:adjustRightInd w:val="0"/>
                    <w:snapToGrid w:val="0"/>
                    <w:jc w:val="center"/>
                    <w:rPr>
                      <w:rFonts w:hint="eastAsia" w:eastAsia="宋体"/>
                      <w:color w:val="auto"/>
                      <w:szCs w:val="21"/>
                      <w:lang w:eastAsia="zh-CN"/>
                    </w:rPr>
                  </w:pPr>
                  <w:r>
                    <w:rPr>
                      <w:rFonts w:hint="eastAsia"/>
                      <w:color w:val="auto"/>
                      <w:szCs w:val="21"/>
                      <w:lang w:eastAsia="zh-CN"/>
                    </w:rPr>
                    <w:t>《</w:t>
                  </w:r>
                  <w:r>
                    <w:rPr>
                      <w:rFonts w:hint="eastAsia"/>
                      <w:color w:val="auto"/>
                      <w:szCs w:val="21"/>
                    </w:rPr>
                    <w:t>西安市人民政府办公厅关于印发推进实现“十四五”空气质量目标暨大气污染治理专项行动2025年工作方案的通知</w:t>
                  </w:r>
                  <w:r>
                    <w:rPr>
                      <w:rFonts w:hint="eastAsia"/>
                      <w:color w:val="auto"/>
                      <w:szCs w:val="21"/>
                      <w:lang w:eastAsia="zh-CN"/>
                    </w:rPr>
                    <w:t>》</w:t>
                  </w:r>
                </w:p>
              </w:tc>
              <w:tc>
                <w:tcPr>
                  <w:tcW w:w="3263" w:type="dxa"/>
                  <w:noWrap w:val="0"/>
                  <w:vAlign w:val="center"/>
                </w:tcPr>
                <w:p w14:paraId="2A1C1790">
                  <w:pPr>
                    <w:autoSpaceDE w:val="0"/>
                    <w:autoSpaceDN w:val="0"/>
                    <w:adjustRightInd w:val="0"/>
                    <w:snapToGrid w:val="0"/>
                    <w:ind w:firstLine="420" w:firstLineChars="200"/>
                    <w:rPr>
                      <w:rFonts w:hint="eastAsia"/>
                      <w:color w:val="auto"/>
                      <w:szCs w:val="21"/>
                    </w:rPr>
                  </w:pPr>
                  <w:r>
                    <w:rPr>
                      <w:rFonts w:hint="eastAsia"/>
                      <w:color w:val="auto"/>
                      <w:szCs w:val="21"/>
                    </w:rPr>
                    <w:t>强化源头管控。积极推行区域、规划环境影响评价，新建改建扩建化工、石化、建材、有色等项目的环境影响评价应满足区域和规划环评要求。</w:t>
                  </w:r>
                </w:p>
              </w:tc>
              <w:tc>
                <w:tcPr>
                  <w:tcW w:w="2119" w:type="dxa"/>
                  <w:noWrap w:val="0"/>
                  <w:vAlign w:val="center"/>
                </w:tcPr>
                <w:p w14:paraId="2966D6DD">
                  <w:pPr>
                    <w:autoSpaceDE w:val="0"/>
                    <w:autoSpaceDN w:val="0"/>
                    <w:adjustRightInd w:val="0"/>
                    <w:snapToGrid w:val="0"/>
                    <w:rPr>
                      <w:rFonts w:hint="eastAsia" w:eastAsia="宋体"/>
                      <w:color w:val="auto"/>
                      <w:szCs w:val="21"/>
                      <w:lang w:val="en-US" w:eastAsia="zh-CN"/>
                    </w:rPr>
                  </w:pPr>
                  <w:r>
                    <w:rPr>
                      <w:rFonts w:hint="eastAsia"/>
                      <w:color w:val="auto"/>
                      <w:szCs w:val="21"/>
                      <w:lang w:val="en-US" w:eastAsia="zh-CN"/>
                    </w:rPr>
                    <w:t>本项目为</w:t>
                  </w:r>
                  <w:r>
                    <w:rPr>
                      <w:rFonts w:hint="eastAsia"/>
                      <w:color w:val="auto"/>
                      <w:szCs w:val="21"/>
                    </w:rPr>
                    <w:t>汽车修理与维护</w:t>
                  </w:r>
                  <w:r>
                    <w:rPr>
                      <w:rFonts w:hint="eastAsia"/>
                      <w:color w:val="auto"/>
                      <w:szCs w:val="21"/>
                      <w:lang w:val="en-US" w:eastAsia="zh-CN"/>
                    </w:rPr>
                    <w:t>业</w:t>
                  </w:r>
                  <w:r>
                    <w:rPr>
                      <w:rFonts w:hint="eastAsia"/>
                      <w:color w:val="auto"/>
                      <w:szCs w:val="21"/>
                      <w:lang w:eastAsia="zh-CN"/>
                    </w:rPr>
                    <w:t>，</w:t>
                  </w:r>
                  <w:r>
                    <w:rPr>
                      <w:rFonts w:hint="eastAsia"/>
                      <w:color w:val="auto"/>
                      <w:szCs w:val="21"/>
                      <w:lang w:val="en-US" w:eastAsia="zh-CN"/>
                    </w:rPr>
                    <w:t>不属于</w:t>
                  </w:r>
                  <w:r>
                    <w:rPr>
                      <w:rFonts w:hint="eastAsia"/>
                      <w:color w:val="auto"/>
                      <w:szCs w:val="21"/>
                    </w:rPr>
                    <w:t>新建改建扩建化工、石化、建材、有色等项目</w:t>
                  </w:r>
                  <w:r>
                    <w:rPr>
                      <w:rFonts w:hint="eastAsia"/>
                      <w:color w:val="auto"/>
                      <w:szCs w:val="21"/>
                      <w:lang w:eastAsia="zh-CN"/>
                    </w:rPr>
                    <w:t>。</w:t>
                  </w:r>
                </w:p>
              </w:tc>
              <w:tc>
                <w:tcPr>
                  <w:tcW w:w="433" w:type="dxa"/>
                  <w:noWrap w:val="0"/>
                  <w:vAlign w:val="center"/>
                </w:tcPr>
                <w:p w14:paraId="28D49A15">
                  <w:pPr>
                    <w:autoSpaceDE w:val="0"/>
                    <w:autoSpaceDN w:val="0"/>
                    <w:adjustRightInd w:val="0"/>
                    <w:snapToGrid w:val="0"/>
                    <w:jc w:val="center"/>
                    <w:rPr>
                      <w:rFonts w:hint="eastAsia" w:eastAsia="宋体"/>
                      <w:color w:val="auto"/>
                      <w:szCs w:val="21"/>
                      <w:lang w:val="en-US" w:eastAsia="zh-CN"/>
                    </w:rPr>
                  </w:pPr>
                  <w:r>
                    <w:rPr>
                      <w:rFonts w:hint="eastAsia"/>
                      <w:color w:val="auto"/>
                      <w:szCs w:val="21"/>
                      <w:lang w:val="en-US" w:eastAsia="zh-CN"/>
                    </w:rPr>
                    <w:t>符合</w:t>
                  </w:r>
                </w:p>
              </w:tc>
            </w:tr>
            <w:tr w14:paraId="14CABF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436" w:type="dxa"/>
                  <w:vMerge w:val="continue"/>
                  <w:noWrap w:val="0"/>
                  <w:vAlign w:val="center"/>
                </w:tcPr>
                <w:p w14:paraId="3D193410">
                  <w:pPr>
                    <w:autoSpaceDE w:val="0"/>
                    <w:autoSpaceDN w:val="0"/>
                    <w:adjustRightInd w:val="0"/>
                    <w:snapToGrid w:val="0"/>
                    <w:jc w:val="center"/>
                    <w:rPr>
                      <w:rFonts w:hint="eastAsia"/>
                      <w:color w:val="auto"/>
                      <w:szCs w:val="21"/>
                      <w:lang w:eastAsia="zh-CN"/>
                    </w:rPr>
                  </w:pPr>
                </w:p>
              </w:tc>
              <w:tc>
                <w:tcPr>
                  <w:tcW w:w="3263" w:type="dxa"/>
                  <w:noWrap w:val="0"/>
                  <w:vAlign w:val="center"/>
                </w:tcPr>
                <w:p w14:paraId="1C4368A4">
                  <w:pPr>
                    <w:autoSpaceDE w:val="0"/>
                    <w:autoSpaceDN w:val="0"/>
                    <w:adjustRightInd w:val="0"/>
                    <w:snapToGrid w:val="0"/>
                    <w:ind w:firstLine="420" w:firstLineChars="200"/>
                    <w:rPr>
                      <w:rFonts w:hint="eastAsia"/>
                      <w:color w:val="auto"/>
                      <w:szCs w:val="21"/>
                    </w:rPr>
                  </w:pPr>
                  <w:r>
                    <w:rPr>
                      <w:rFonts w:hint="eastAsia"/>
                      <w:color w:val="auto"/>
                      <w:szCs w:val="21"/>
                    </w:rPr>
                    <w:t>严格设定新建、改建、扩建涉气重点行业绩效评级限制条件。</w:t>
                  </w:r>
                </w:p>
              </w:tc>
              <w:tc>
                <w:tcPr>
                  <w:tcW w:w="2119" w:type="dxa"/>
                  <w:noWrap w:val="0"/>
                  <w:vAlign w:val="center"/>
                </w:tcPr>
                <w:p w14:paraId="19F36E14">
                  <w:pPr>
                    <w:autoSpaceDE w:val="0"/>
                    <w:autoSpaceDN w:val="0"/>
                    <w:adjustRightInd w:val="0"/>
                    <w:snapToGrid w:val="0"/>
                    <w:rPr>
                      <w:rFonts w:hint="default" w:eastAsia="宋体"/>
                      <w:color w:val="auto"/>
                      <w:szCs w:val="21"/>
                      <w:lang w:val="en-US" w:eastAsia="zh-CN"/>
                    </w:rPr>
                  </w:pPr>
                  <w:r>
                    <w:rPr>
                      <w:rFonts w:hint="eastAsia"/>
                      <w:color w:val="auto"/>
                      <w:szCs w:val="21"/>
                    </w:rPr>
                    <w:t>对照《重污染天气重点行业应急减排措施制定技术指南》</w:t>
                  </w:r>
                  <w:r>
                    <w:rPr>
                      <w:rFonts w:hint="eastAsia"/>
                      <w:color w:val="auto"/>
                      <w:szCs w:val="21"/>
                      <w:lang w:val="en-US" w:eastAsia="zh-CN"/>
                    </w:rPr>
                    <w:t>工业涂装包含汽车制造业</w:t>
                  </w:r>
                  <w:r>
                    <w:rPr>
                      <w:rFonts w:hint="eastAsia"/>
                      <w:color w:val="auto"/>
                      <w:szCs w:val="21"/>
                    </w:rPr>
                    <w:t>，本项目</w:t>
                  </w:r>
                  <w:r>
                    <w:rPr>
                      <w:rFonts w:hint="eastAsia"/>
                      <w:color w:val="auto"/>
                      <w:szCs w:val="21"/>
                      <w:lang w:val="en-US" w:eastAsia="zh-CN"/>
                    </w:rPr>
                    <w:t>为</w:t>
                  </w:r>
                  <w:r>
                    <w:rPr>
                      <w:rFonts w:hint="eastAsia"/>
                      <w:color w:val="auto"/>
                      <w:szCs w:val="21"/>
                    </w:rPr>
                    <w:t>汽车修理与维护</w:t>
                  </w:r>
                  <w:r>
                    <w:rPr>
                      <w:rFonts w:hint="eastAsia"/>
                      <w:color w:val="auto"/>
                      <w:szCs w:val="21"/>
                      <w:lang w:val="en-US" w:eastAsia="zh-CN"/>
                    </w:rPr>
                    <w:t>业不属于汽车制造业，因此本项目</w:t>
                  </w:r>
                  <w:r>
                    <w:rPr>
                      <w:rFonts w:hint="eastAsia"/>
                      <w:color w:val="auto"/>
                      <w:szCs w:val="21"/>
                    </w:rPr>
                    <w:t>不属于重点行业</w:t>
                  </w:r>
                  <w:r>
                    <w:rPr>
                      <w:rFonts w:hint="eastAsia"/>
                      <w:color w:val="auto"/>
                      <w:szCs w:val="21"/>
                      <w:lang w:eastAsia="zh-CN"/>
                    </w:rPr>
                    <w:t>，</w:t>
                  </w:r>
                  <w:r>
                    <w:rPr>
                      <w:rFonts w:hint="eastAsia"/>
                      <w:color w:val="auto"/>
                      <w:szCs w:val="21"/>
                      <w:lang w:val="en-US" w:eastAsia="zh-CN"/>
                    </w:rPr>
                    <w:t>不执行重点行业绩效评级限制条件。</w:t>
                  </w:r>
                </w:p>
              </w:tc>
              <w:tc>
                <w:tcPr>
                  <w:tcW w:w="433" w:type="dxa"/>
                  <w:noWrap w:val="0"/>
                  <w:vAlign w:val="center"/>
                </w:tcPr>
                <w:p w14:paraId="23F390B7">
                  <w:pPr>
                    <w:autoSpaceDE w:val="0"/>
                    <w:autoSpaceDN w:val="0"/>
                    <w:adjustRightInd w:val="0"/>
                    <w:snapToGrid w:val="0"/>
                    <w:jc w:val="center"/>
                    <w:rPr>
                      <w:rFonts w:hint="eastAsia" w:eastAsia="宋体"/>
                      <w:color w:val="auto"/>
                      <w:szCs w:val="21"/>
                      <w:lang w:val="en-US" w:eastAsia="zh-CN"/>
                    </w:rPr>
                  </w:pPr>
                  <w:r>
                    <w:rPr>
                      <w:rFonts w:hint="eastAsia"/>
                      <w:color w:val="auto"/>
                      <w:szCs w:val="21"/>
                      <w:lang w:val="en-US" w:eastAsia="zh-CN"/>
                    </w:rPr>
                    <w:t>符合</w:t>
                  </w:r>
                </w:p>
              </w:tc>
            </w:tr>
            <w:tr w14:paraId="169D6C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436" w:type="dxa"/>
                  <w:vMerge w:val="restart"/>
                  <w:noWrap w:val="0"/>
                  <w:vAlign w:val="center"/>
                </w:tcPr>
                <w:p w14:paraId="7F964483">
                  <w:pPr>
                    <w:autoSpaceDE w:val="0"/>
                    <w:autoSpaceDN w:val="0"/>
                    <w:adjustRightInd w:val="0"/>
                    <w:snapToGrid w:val="0"/>
                    <w:jc w:val="center"/>
                    <w:rPr>
                      <w:rFonts w:hint="eastAsia"/>
                      <w:color w:val="auto"/>
                      <w:kern w:val="2"/>
                      <w:sz w:val="21"/>
                      <w:szCs w:val="21"/>
                      <w:lang w:val="en-US" w:eastAsia="zh-CN" w:bidi="ar-SA"/>
                    </w:rPr>
                  </w:pPr>
                  <w:r>
                    <w:rPr>
                      <w:rFonts w:hint="eastAsia"/>
                      <w:color w:val="auto"/>
                      <w:szCs w:val="21"/>
                    </w:rPr>
                    <w:t>《陕西省大气污染防治条例》（20</w:t>
                  </w:r>
                  <w:r>
                    <w:rPr>
                      <w:rFonts w:hint="eastAsia"/>
                      <w:color w:val="auto"/>
                      <w:szCs w:val="21"/>
                      <w:lang w:val="en-US" w:eastAsia="zh-CN"/>
                    </w:rPr>
                    <w:t>23</w:t>
                  </w:r>
                  <w:r>
                    <w:rPr>
                      <w:rFonts w:hint="eastAsia"/>
                      <w:color w:val="auto"/>
                      <w:szCs w:val="21"/>
                    </w:rPr>
                    <w:t>修订）</w:t>
                  </w:r>
                </w:p>
              </w:tc>
              <w:tc>
                <w:tcPr>
                  <w:tcW w:w="3263" w:type="dxa"/>
                  <w:noWrap w:val="0"/>
                  <w:vAlign w:val="center"/>
                </w:tcPr>
                <w:p w14:paraId="13C42682">
                  <w:pPr>
                    <w:autoSpaceDE w:val="0"/>
                    <w:autoSpaceDN w:val="0"/>
                    <w:adjustRightInd w:val="0"/>
                    <w:snapToGrid w:val="0"/>
                    <w:ind w:firstLine="420" w:firstLineChars="200"/>
                    <w:rPr>
                      <w:rFonts w:hint="eastAsia"/>
                      <w:color w:val="auto"/>
                      <w:kern w:val="2"/>
                      <w:sz w:val="21"/>
                      <w:szCs w:val="21"/>
                      <w:lang w:val="en-US" w:eastAsia="zh-CN" w:bidi="ar-SA"/>
                    </w:rPr>
                  </w:pPr>
                  <w:r>
                    <w:rPr>
                      <w:rFonts w:hint="eastAsia"/>
                      <w:color w:val="auto"/>
                      <w:szCs w:val="21"/>
                    </w:rPr>
                    <w:t>新建、扩建、改建的建设项目，应当依法进行环境影响评价。</w:t>
                  </w:r>
                </w:p>
              </w:tc>
              <w:tc>
                <w:tcPr>
                  <w:tcW w:w="2119" w:type="dxa"/>
                  <w:noWrap w:val="0"/>
                  <w:vAlign w:val="center"/>
                </w:tcPr>
                <w:p w14:paraId="040C7E0C">
                  <w:pPr>
                    <w:autoSpaceDE w:val="0"/>
                    <w:autoSpaceDN w:val="0"/>
                    <w:adjustRightInd w:val="0"/>
                    <w:snapToGrid w:val="0"/>
                    <w:rPr>
                      <w:rFonts w:hint="eastAsia" w:eastAsia="宋体"/>
                      <w:color w:val="auto"/>
                      <w:kern w:val="2"/>
                      <w:sz w:val="21"/>
                      <w:szCs w:val="21"/>
                      <w:lang w:val="en-US" w:eastAsia="zh-CN" w:bidi="ar-SA"/>
                    </w:rPr>
                  </w:pPr>
                  <w:r>
                    <w:rPr>
                      <w:rFonts w:hint="eastAsia"/>
                      <w:color w:val="auto"/>
                      <w:szCs w:val="21"/>
                    </w:rPr>
                    <w:t>本项目为</w:t>
                  </w:r>
                  <w:r>
                    <w:rPr>
                      <w:rFonts w:hint="eastAsia"/>
                      <w:color w:val="auto"/>
                      <w:szCs w:val="21"/>
                      <w:lang w:val="en-US" w:eastAsia="zh-CN"/>
                    </w:rPr>
                    <w:t>新建</w:t>
                  </w:r>
                  <w:r>
                    <w:rPr>
                      <w:rFonts w:hint="eastAsia"/>
                      <w:color w:val="auto"/>
                      <w:szCs w:val="21"/>
                    </w:rPr>
                    <w:t>项目，环境影响评价工作正在进行</w:t>
                  </w:r>
                  <w:r>
                    <w:rPr>
                      <w:rFonts w:hint="eastAsia"/>
                      <w:color w:val="auto"/>
                      <w:szCs w:val="21"/>
                      <w:lang w:eastAsia="zh-CN"/>
                    </w:rPr>
                    <w:t>。</w:t>
                  </w:r>
                </w:p>
              </w:tc>
              <w:tc>
                <w:tcPr>
                  <w:tcW w:w="433" w:type="dxa"/>
                  <w:noWrap w:val="0"/>
                  <w:vAlign w:val="center"/>
                </w:tcPr>
                <w:p w14:paraId="60965E8A">
                  <w:pPr>
                    <w:autoSpaceDE w:val="0"/>
                    <w:autoSpaceDN w:val="0"/>
                    <w:adjustRightInd w:val="0"/>
                    <w:snapToGrid w:val="0"/>
                    <w:jc w:val="center"/>
                    <w:rPr>
                      <w:rFonts w:hint="eastAsia"/>
                      <w:color w:val="auto"/>
                      <w:szCs w:val="21"/>
                    </w:rPr>
                  </w:pPr>
                  <w:r>
                    <w:rPr>
                      <w:rFonts w:hint="eastAsia"/>
                      <w:color w:val="auto"/>
                      <w:szCs w:val="21"/>
                    </w:rPr>
                    <w:t>符合</w:t>
                  </w:r>
                </w:p>
              </w:tc>
            </w:tr>
            <w:tr w14:paraId="224DD7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436" w:type="dxa"/>
                  <w:vMerge w:val="continue"/>
                  <w:noWrap w:val="0"/>
                  <w:vAlign w:val="center"/>
                </w:tcPr>
                <w:p w14:paraId="5C64D257">
                  <w:pPr>
                    <w:autoSpaceDE w:val="0"/>
                    <w:autoSpaceDN w:val="0"/>
                    <w:adjustRightInd w:val="0"/>
                    <w:snapToGrid w:val="0"/>
                    <w:jc w:val="center"/>
                    <w:rPr>
                      <w:rFonts w:hint="eastAsia"/>
                      <w:color w:val="auto"/>
                      <w:szCs w:val="21"/>
                    </w:rPr>
                  </w:pPr>
                </w:p>
              </w:tc>
              <w:tc>
                <w:tcPr>
                  <w:tcW w:w="3263" w:type="dxa"/>
                  <w:noWrap w:val="0"/>
                  <w:vAlign w:val="center"/>
                </w:tcPr>
                <w:p w14:paraId="53C70095">
                  <w:pPr>
                    <w:autoSpaceDE w:val="0"/>
                    <w:autoSpaceDN w:val="0"/>
                    <w:adjustRightInd w:val="0"/>
                    <w:snapToGrid w:val="0"/>
                    <w:ind w:firstLine="420" w:firstLineChars="200"/>
                    <w:rPr>
                      <w:rFonts w:hint="eastAsia"/>
                      <w:color w:val="auto"/>
                      <w:kern w:val="2"/>
                      <w:sz w:val="21"/>
                      <w:szCs w:val="21"/>
                      <w:lang w:val="en-US" w:eastAsia="zh-CN" w:bidi="ar-SA"/>
                    </w:rPr>
                  </w:pPr>
                  <w:r>
                    <w:rPr>
                      <w:rFonts w:hint="eastAsia"/>
                      <w:color w:val="auto"/>
                      <w:szCs w:val="21"/>
                    </w:rPr>
                    <w:t>向大气排放工业废气、含有毒有害物质的大气污染物的企业事业单位，集中供热设施的运营单位，以及其他按照规定应当取得排污许可证方可排放大气污染物的企业事业单位，应当依法向县级以上生态环境行政主管部门申请排污许可证。</w:t>
                  </w:r>
                </w:p>
              </w:tc>
              <w:tc>
                <w:tcPr>
                  <w:tcW w:w="2119" w:type="dxa"/>
                  <w:noWrap w:val="0"/>
                  <w:vAlign w:val="center"/>
                </w:tcPr>
                <w:p w14:paraId="1A6FAE61">
                  <w:pPr>
                    <w:autoSpaceDE w:val="0"/>
                    <w:autoSpaceDN w:val="0"/>
                    <w:adjustRightInd w:val="0"/>
                    <w:snapToGrid w:val="0"/>
                    <w:rPr>
                      <w:rFonts w:hint="eastAsia" w:eastAsia="宋体"/>
                      <w:color w:val="auto"/>
                      <w:kern w:val="2"/>
                      <w:sz w:val="21"/>
                      <w:szCs w:val="21"/>
                      <w:lang w:val="en-US" w:eastAsia="zh-CN" w:bidi="ar-SA"/>
                    </w:rPr>
                  </w:pPr>
                  <w:r>
                    <w:rPr>
                      <w:rFonts w:hint="eastAsia"/>
                      <w:color w:val="auto"/>
                      <w:szCs w:val="21"/>
                    </w:rPr>
                    <w:t>项目建成后依法进行排污许可手续申请，并按申请许可的污染物排放类别进行排放</w:t>
                  </w:r>
                  <w:r>
                    <w:rPr>
                      <w:rFonts w:hint="eastAsia"/>
                      <w:color w:val="auto"/>
                      <w:szCs w:val="21"/>
                      <w:lang w:eastAsia="zh-CN"/>
                    </w:rPr>
                    <w:t>。</w:t>
                  </w:r>
                </w:p>
              </w:tc>
              <w:tc>
                <w:tcPr>
                  <w:tcW w:w="433" w:type="dxa"/>
                  <w:noWrap w:val="0"/>
                  <w:vAlign w:val="center"/>
                </w:tcPr>
                <w:p w14:paraId="1EE0B674">
                  <w:pPr>
                    <w:autoSpaceDE w:val="0"/>
                    <w:autoSpaceDN w:val="0"/>
                    <w:adjustRightInd w:val="0"/>
                    <w:snapToGrid w:val="0"/>
                    <w:jc w:val="center"/>
                    <w:rPr>
                      <w:rFonts w:hint="eastAsia"/>
                      <w:color w:val="auto"/>
                      <w:szCs w:val="21"/>
                    </w:rPr>
                  </w:pPr>
                  <w:r>
                    <w:rPr>
                      <w:rFonts w:hint="eastAsia"/>
                      <w:color w:val="auto"/>
                      <w:szCs w:val="21"/>
                    </w:rPr>
                    <w:t>符合</w:t>
                  </w:r>
                </w:p>
              </w:tc>
            </w:tr>
            <w:tr w14:paraId="717720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436" w:type="dxa"/>
                  <w:vMerge w:val="restart"/>
                  <w:noWrap w:val="0"/>
                  <w:vAlign w:val="center"/>
                </w:tcPr>
                <w:p w14:paraId="1AD5562B">
                  <w:pPr>
                    <w:autoSpaceDE w:val="0"/>
                    <w:autoSpaceDN w:val="0"/>
                    <w:adjustRightInd w:val="0"/>
                    <w:snapToGrid w:val="0"/>
                    <w:jc w:val="center"/>
                    <w:rPr>
                      <w:rFonts w:hint="eastAsia"/>
                      <w:color w:val="auto"/>
                      <w:szCs w:val="21"/>
                    </w:rPr>
                  </w:pPr>
                  <w:r>
                    <w:rPr>
                      <w:rFonts w:hint="eastAsia"/>
                      <w:color w:val="auto"/>
                      <w:szCs w:val="21"/>
                    </w:rPr>
                    <w:t>《陕西省大气污染治理专项行动方案（2023-2027年）》（陕发〔2023〕4号）</w:t>
                  </w:r>
                </w:p>
              </w:tc>
              <w:tc>
                <w:tcPr>
                  <w:tcW w:w="3263" w:type="dxa"/>
                  <w:noWrap w:val="0"/>
                  <w:vAlign w:val="center"/>
                </w:tcPr>
                <w:p w14:paraId="3887986F">
                  <w:pPr>
                    <w:autoSpaceDE w:val="0"/>
                    <w:autoSpaceDN w:val="0"/>
                    <w:adjustRightInd w:val="0"/>
                    <w:snapToGrid w:val="0"/>
                    <w:ind w:firstLine="420" w:firstLineChars="200"/>
                    <w:rPr>
                      <w:rFonts w:hint="eastAsia"/>
                      <w:color w:val="auto"/>
                      <w:kern w:val="2"/>
                      <w:sz w:val="21"/>
                      <w:szCs w:val="21"/>
                      <w:lang w:val="en-US" w:eastAsia="zh-CN" w:bidi="ar-SA"/>
                    </w:rPr>
                  </w:pPr>
                  <w:r>
                    <w:rPr>
                      <w:rFonts w:hint="eastAsia"/>
                      <w:color w:val="auto"/>
                      <w:szCs w:val="21"/>
                      <w:lang w:val="en-US" w:eastAsia="zh-CN"/>
                    </w:rPr>
                    <w:t>3.</w:t>
                  </w:r>
                  <w:r>
                    <w:rPr>
                      <w:rFonts w:hint="eastAsia"/>
                      <w:color w:val="auto"/>
                      <w:szCs w:val="21"/>
                    </w:rPr>
                    <w:t>产业发展结构调整。关中地区严禁新增钢铁、焦化、水泥熟料、平板玻璃、电解铝、氧化铝、煤化工产能，合理控制煤制油气产能规模，严控新增炼油产能。</w:t>
                  </w:r>
                </w:p>
              </w:tc>
              <w:tc>
                <w:tcPr>
                  <w:tcW w:w="2119" w:type="dxa"/>
                  <w:noWrap w:val="0"/>
                  <w:vAlign w:val="center"/>
                </w:tcPr>
                <w:p w14:paraId="2DF7A344">
                  <w:pPr>
                    <w:autoSpaceDE w:val="0"/>
                    <w:autoSpaceDN w:val="0"/>
                    <w:adjustRightInd w:val="0"/>
                    <w:snapToGrid w:val="0"/>
                    <w:rPr>
                      <w:rFonts w:hint="eastAsia" w:eastAsia="宋体"/>
                      <w:color w:val="auto"/>
                      <w:szCs w:val="21"/>
                      <w:lang w:val="en-US" w:eastAsia="zh-CN"/>
                    </w:rPr>
                  </w:pPr>
                  <w:r>
                    <w:rPr>
                      <w:rFonts w:hint="eastAsia"/>
                      <w:color w:val="auto"/>
                      <w:szCs w:val="21"/>
                      <w:lang w:val="en-US" w:eastAsia="zh-CN"/>
                    </w:rPr>
                    <w:t>本项目属于</w:t>
                  </w:r>
                  <w:r>
                    <w:rPr>
                      <w:rFonts w:hint="eastAsia"/>
                      <w:color w:val="auto"/>
                      <w:szCs w:val="21"/>
                    </w:rPr>
                    <w:t>汽车修理与维护</w:t>
                  </w:r>
                  <w:r>
                    <w:rPr>
                      <w:rFonts w:hint="eastAsia"/>
                      <w:color w:val="auto"/>
                      <w:szCs w:val="21"/>
                      <w:lang w:val="en-US" w:eastAsia="zh-CN"/>
                    </w:rPr>
                    <w:t>业，不属于</w:t>
                  </w:r>
                  <w:r>
                    <w:rPr>
                      <w:rFonts w:hint="eastAsia"/>
                      <w:color w:val="auto"/>
                      <w:szCs w:val="21"/>
                    </w:rPr>
                    <w:t>严禁新增钢铁、焦化、水泥熟料、平板玻璃、电解铝、氧化铝、煤化工产能</w:t>
                  </w:r>
                  <w:r>
                    <w:rPr>
                      <w:rFonts w:hint="eastAsia"/>
                      <w:color w:val="auto"/>
                      <w:szCs w:val="21"/>
                      <w:lang w:eastAsia="zh-CN"/>
                    </w:rPr>
                    <w:t>。</w:t>
                  </w:r>
                </w:p>
              </w:tc>
              <w:tc>
                <w:tcPr>
                  <w:tcW w:w="433" w:type="dxa"/>
                  <w:noWrap w:val="0"/>
                  <w:vAlign w:val="center"/>
                </w:tcPr>
                <w:p w14:paraId="260F64CA">
                  <w:pPr>
                    <w:autoSpaceDE w:val="0"/>
                    <w:autoSpaceDN w:val="0"/>
                    <w:adjustRightInd w:val="0"/>
                    <w:snapToGrid w:val="0"/>
                    <w:jc w:val="center"/>
                    <w:rPr>
                      <w:rFonts w:hint="eastAsia" w:eastAsia="宋体"/>
                      <w:color w:val="auto"/>
                      <w:szCs w:val="21"/>
                      <w:lang w:val="en-US" w:eastAsia="zh-CN"/>
                    </w:rPr>
                  </w:pPr>
                  <w:r>
                    <w:rPr>
                      <w:rFonts w:hint="eastAsia"/>
                      <w:color w:val="auto"/>
                      <w:szCs w:val="21"/>
                      <w:lang w:val="en-US" w:eastAsia="zh-CN"/>
                    </w:rPr>
                    <w:t>符合</w:t>
                  </w:r>
                </w:p>
              </w:tc>
            </w:tr>
            <w:tr w14:paraId="0A1450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436" w:type="dxa"/>
                  <w:vMerge w:val="continue"/>
                  <w:noWrap w:val="0"/>
                  <w:vAlign w:val="center"/>
                </w:tcPr>
                <w:p w14:paraId="3A42BFAD">
                  <w:pPr>
                    <w:autoSpaceDE w:val="0"/>
                    <w:autoSpaceDN w:val="0"/>
                    <w:adjustRightInd w:val="0"/>
                    <w:snapToGrid w:val="0"/>
                    <w:jc w:val="center"/>
                    <w:rPr>
                      <w:rFonts w:hint="eastAsia"/>
                      <w:color w:val="auto"/>
                      <w:szCs w:val="21"/>
                    </w:rPr>
                  </w:pPr>
                </w:p>
              </w:tc>
              <w:tc>
                <w:tcPr>
                  <w:tcW w:w="3263" w:type="dxa"/>
                  <w:noWrap w:val="0"/>
                  <w:vAlign w:val="center"/>
                </w:tcPr>
                <w:p w14:paraId="1D620D64">
                  <w:pPr>
                    <w:autoSpaceDE w:val="0"/>
                    <w:autoSpaceDN w:val="0"/>
                    <w:adjustRightInd w:val="0"/>
                    <w:snapToGrid w:val="0"/>
                    <w:ind w:firstLine="420" w:firstLineChars="200"/>
                    <w:rPr>
                      <w:rFonts w:hint="eastAsia"/>
                      <w:color w:val="auto"/>
                      <w:kern w:val="2"/>
                      <w:sz w:val="21"/>
                      <w:szCs w:val="21"/>
                      <w:lang w:val="en-US" w:eastAsia="zh-CN" w:bidi="ar-SA"/>
                    </w:rPr>
                  </w:pPr>
                  <w:r>
                    <w:rPr>
                      <w:rFonts w:hint="eastAsia"/>
                      <w:color w:val="auto"/>
                      <w:szCs w:val="21"/>
                    </w:rPr>
                    <w:t>关中地区市辖区及开发区范围内新、改、扩建涉气重点行业企业应达到环保绩效A级、绩效引领性水平，西安市、咸阳市、渭南市的其他区域应达到环保绩效B级及以上水平。</w:t>
                  </w:r>
                </w:p>
              </w:tc>
              <w:tc>
                <w:tcPr>
                  <w:tcW w:w="2119" w:type="dxa"/>
                  <w:noWrap w:val="0"/>
                  <w:vAlign w:val="center"/>
                </w:tcPr>
                <w:p w14:paraId="7FA95F70">
                  <w:pPr>
                    <w:autoSpaceDE w:val="0"/>
                    <w:autoSpaceDN w:val="0"/>
                    <w:adjustRightInd w:val="0"/>
                    <w:snapToGrid w:val="0"/>
                    <w:rPr>
                      <w:rFonts w:hint="eastAsia" w:eastAsia="宋体"/>
                      <w:color w:val="auto"/>
                      <w:szCs w:val="21"/>
                      <w:lang w:eastAsia="zh-CN"/>
                    </w:rPr>
                  </w:pPr>
                  <w:r>
                    <w:rPr>
                      <w:rFonts w:hint="eastAsia"/>
                      <w:color w:val="auto"/>
                      <w:szCs w:val="21"/>
                    </w:rPr>
                    <w:t>对照《重污染天气重点行业应急减排措施制定技术指南》</w:t>
                  </w:r>
                  <w:r>
                    <w:rPr>
                      <w:rFonts w:hint="eastAsia"/>
                      <w:color w:val="auto"/>
                      <w:szCs w:val="21"/>
                      <w:lang w:val="en-US" w:eastAsia="zh-CN"/>
                    </w:rPr>
                    <w:t>工业涂装包含汽车制造业</w:t>
                  </w:r>
                  <w:r>
                    <w:rPr>
                      <w:rFonts w:hint="eastAsia"/>
                      <w:color w:val="auto"/>
                      <w:szCs w:val="21"/>
                    </w:rPr>
                    <w:t>，本项目</w:t>
                  </w:r>
                  <w:r>
                    <w:rPr>
                      <w:rFonts w:hint="eastAsia"/>
                      <w:color w:val="auto"/>
                      <w:szCs w:val="21"/>
                      <w:lang w:val="en-US" w:eastAsia="zh-CN"/>
                    </w:rPr>
                    <w:t>为</w:t>
                  </w:r>
                  <w:r>
                    <w:rPr>
                      <w:rFonts w:hint="eastAsia"/>
                      <w:color w:val="auto"/>
                      <w:szCs w:val="21"/>
                    </w:rPr>
                    <w:t>汽车修理与维护</w:t>
                  </w:r>
                  <w:r>
                    <w:rPr>
                      <w:rFonts w:hint="eastAsia"/>
                      <w:color w:val="auto"/>
                      <w:szCs w:val="21"/>
                      <w:lang w:val="en-US" w:eastAsia="zh-CN"/>
                    </w:rPr>
                    <w:t>业</w:t>
                  </w:r>
                  <w:r>
                    <w:rPr>
                      <w:rFonts w:hint="eastAsia"/>
                      <w:color w:val="auto"/>
                      <w:szCs w:val="21"/>
                      <w:lang w:eastAsia="zh-CN"/>
                    </w:rPr>
                    <w:t>，</w:t>
                  </w:r>
                  <w:r>
                    <w:rPr>
                      <w:rFonts w:hint="eastAsia"/>
                      <w:color w:val="auto"/>
                      <w:szCs w:val="21"/>
                      <w:lang w:val="en-US" w:eastAsia="zh-CN"/>
                    </w:rPr>
                    <w:t>不属于汽车制造业，因此本项目</w:t>
                  </w:r>
                  <w:r>
                    <w:rPr>
                      <w:rFonts w:hint="eastAsia"/>
                      <w:color w:val="auto"/>
                      <w:szCs w:val="21"/>
                    </w:rPr>
                    <w:t>不属于重点行业</w:t>
                  </w:r>
                  <w:r>
                    <w:rPr>
                      <w:rFonts w:hint="eastAsia"/>
                      <w:color w:val="auto"/>
                      <w:szCs w:val="21"/>
                      <w:lang w:eastAsia="zh-CN"/>
                    </w:rPr>
                    <w:t>。</w:t>
                  </w:r>
                </w:p>
              </w:tc>
              <w:tc>
                <w:tcPr>
                  <w:tcW w:w="433" w:type="dxa"/>
                  <w:noWrap w:val="0"/>
                  <w:vAlign w:val="center"/>
                </w:tcPr>
                <w:p w14:paraId="1E849AC4">
                  <w:pPr>
                    <w:autoSpaceDE w:val="0"/>
                    <w:autoSpaceDN w:val="0"/>
                    <w:adjustRightInd w:val="0"/>
                    <w:snapToGrid w:val="0"/>
                    <w:jc w:val="center"/>
                    <w:rPr>
                      <w:rFonts w:hint="eastAsia" w:eastAsia="宋体"/>
                      <w:color w:val="auto"/>
                      <w:szCs w:val="21"/>
                      <w:lang w:val="en-US" w:eastAsia="zh-CN"/>
                    </w:rPr>
                  </w:pPr>
                  <w:r>
                    <w:rPr>
                      <w:rFonts w:hint="eastAsia"/>
                      <w:color w:val="auto"/>
                      <w:szCs w:val="21"/>
                      <w:lang w:val="en-US" w:eastAsia="zh-CN"/>
                    </w:rPr>
                    <w:t>符合</w:t>
                  </w:r>
                </w:p>
              </w:tc>
            </w:tr>
            <w:tr w14:paraId="6E6BC1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436" w:type="dxa"/>
                  <w:vMerge w:val="continue"/>
                  <w:noWrap w:val="0"/>
                  <w:vAlign w:val="center"/>
                </w:tcPr>
                <w:p w14:paraId="70A66060">
                  <w:pPr>
                    <w:autoSpaceDE w:val="0"/>
                    <w:autoSpaceDN w:val="0"/>
                    <w:adjustRightInd w:val="0"/>
                    <w:snapToGrid w:val="0"/>
                    <w:jc w:val="center"/>
                    <w:rPr>
                      <w:rFonts w:hint="eastAsia"/>
                      <w:color w:val="auto"/>
                      <w:szCs w:val="21"/>
                    </w:rPr>
                  </w:pPr>
                </w:p>
              </w:tc>
              <w:tc>
                <w:tcPr>
                  <w:tcW w:w="3263" w:type="dxa"/>
                  <w:noWrap w:val="0"/>
                  <w:vAlign w:val="center"/>
                </w:tcPr>
                <w:p w14:paraId="7EFC8348">
                  <w:pPr>
                    <w:autoSpaceDE w:val="0"/>
                    <w:autoSpaceDN w:val="0"/>
                    <w:adjustRightInd w:val="0"/>
                    <w:snapToGrid w:val="0"/>
                    <w:ind w:firstLine="420" w:firstLineChars="200"/>
                    <w:rPr>
                      <w:rFonts w:hint="eastAsia"/>
                      <w:color w:val="auto"/>
                      <w:kern w:val="2"/>
                      <w:sz w:val="21"/>
                      <w:szCs w:val="21"/>
                      <w:lang w:val="en-US" w:eastAsia="zh-CN" w:bidi="ar-SA"/>
                    </w:rPr>
                  </w:pPr>
                  <w:r>
                    <w:rPr>
                      <w:rFonts w:hint="eastAsia"/>
                      <w:color w:val="auto"/>
                      <w:szCs w:val="21"/>
                    </w:rPr>
                    <w:t>新建挥发性有机物治理设施不再采用单一低温等离子、光氧化、光催化等治理技术，非水溶性挥发性有机物废气不再采用单一喷淋吸收方式处理。</w:t>
                  </w:r>
                </w:p>
              </w:tc>
              <w:tc>
                <w:tcPr>
                  <w:tcW w:w="2119" w:type="dxa"/>
                  <w:noWrap w:val="0"/>
                  <w:vAlign w:val="center"/>
                </w:tcPr>
                <w:p w14:paraId="335F2E41">
                  <w:pPr>
                    <w:autoSpaceDE w:val="0"/>
                    <w:autoSpaceDN w:val="0"/>
                    <w:adjustRightInd w:val="0"/>
                    <w:snapToGrid w:val="0"/>
                    <w:rPr>
                      <w:rFonts w:hint="default" w:eastAsia="宋体"/>
                      <w:color w:val="auto"/>
                      <w:szCs w:val="21"/>
                      <w:lang w:val="en-US" w:eastAsia="zh-CN"/>
                    </w:rPr>
                  </w:pPr>
                  <w:r>
                    <w:rPr>
                      <w:rFonts w:hint="eastAsia"/>
                      <w:color w:val="auto"/>
                      <w:szCs w:val="21"/>
                      <w:lang w:val="en-US" w:eastAsia="zh-CN"/>
                    </w:rPr>
                    <w:t>本项目喷烤漆房</w:t>
                  </w:r>
                  <w:r>
                    <w:rPr>
                      <w:rFonts w:hint="default" w:ascii="Times New Roman" w:hAnsi="Times New Roman" w:cs="Times New Roman"/>
                      <w:color w:val="auto"/>
                      <w:szCs w:val="21"/>
                      <w:lang w:val="en-US" w:eastAsia="zh-CN"/>
                    </w:rPr>
                    <w:t>1</w:t>
                  </w:r>
                  <w:r>
                    <w:rPr>
                      <w:rFonts w:hint="eastAsia" w:ascii="Times New Roman" w:hAnsi="Times New Roman" w:cs="Times New Roman"/>
                      <w:color w:val="auto"/>
                      <w:szCs w:val="21"/>
                      <w:lang w:val="en-US" w:eastAsia="zh-CN"/>
                    </w:rPr>
                    <w:t>#</w:t>
                  </w:r>
                  <w:r>
                    <w:rPr>
                      <w:rFonts w:hint="eastAsia"/>
                      <w:color w:val="auto"/>
                      <w:szCs w:val="21"/>
                      <w:lang w:val="en-US" w:eastAsia="zh-CN"/>
                    </w:rPr>
                    <w:t>、2</w:t>
                  </w:r>
                  <w:r>
                    <w:rPr>
                      <w:rFonts w:hint="eastAsia" w:ascii="Times New Roman" w:hAnsi="Times New Roman" w:cs="Times New Roman"/>
                      <w:color w:val="auto"/>
                      <w:szCs w:val="21"/>
                      <w:lang w:val="en-US" w:eastAsia="zh-CN"/>
                    </w:rPr>
                    <w:t>#</w:t>
                  </w:r>
                  <w:r>
                    <w:rPr>
                      <w:rFonts w:hint="eastAsia"/>
                      <w:color w:val="auto"/>
                      <w:szCs w:val="21"/>
                      <w:lang w:val="en-US" w:eastAsia="zh-CN"/>
                    </w:rPr>
                    <w:t>产生的废气经过滤棉+二级活性炭吸附设施处理后，尾气经2根（DA001、DA002）16m高的排气筒排放；中涂房产生的废气经过滤棉+二级活性炭吸附设施处理后，尾气经1根（DA003）16m高的排气筒排放；喷烤漆房3</w:t>
                  </w:r>
                  <w:r>
                    <w:rPr>
                      <w:rFonts w:hint="eastAsia" w:ascii="Times New Roman" w:hAnsi="Times New Roman" w:cs="Times New Roman"/>
                      <w:color w:val="auto"/>
                      <w:szCs w:val="21"/>
                      <w:lang w:val="en-US" w:eastAsia="zh-CN"/>
                    </w:rPr>
                    <w:t>#</w:t>
                  </w:r>
                  <w:r>
                    <w:rPr>
                      <w:rFonts w:hint="eastAsia"/>
                      <w:color w:val="auto"/>
                      <w:szCs w:val="21"/>
                      <w:lang w:val="en-US" w:eastAsia="zh-CN"/>
                    </w:rPr>
                    <w:t>、调漆、危废贮存库2#产生的废气经过滤棉+二级活性炭吸附设施处理后，尾气并入DA003排气筒排放。</w:t>
                  </w:r>
                </w:p>
              </w:tc>
              <w:tc>
                <w:tcPr>
                  <w:tcW w:w="433" w:type="dxa"/>
                  <w:noWrap w:val="0"/>
                  <w:vAlign w:val="center"/>
                </w:tcPr>
                <w:p w14:paraId="28E992F2">
                  <w:pPr>
                    <w:autoSpaceDE w:val="0"/>
                    <w:autoSpaceDN w:val="0"/>
                    <w:adjustRightInd w:val="0"/>
                    <w:snapToGrid w:val="0"/>
                    <w:jc w:val="center"/>
                    <w:rPr>
                      <w:rFonts w:hint="eastAsia" w:eastAsia="宋体"/>
                      <w:color w:val="auto"/>
                      <w:szCs w:val="21"/>
                      <w:lang w:val="en-US" w:eastAsia="zh-CN"/>
                    </w:rPr>
                  </w:pPr>
                  <w:r>
                    <w:rPr>
                      <w:rFonts w:hint="eastAsia"/>
                      <w:color w:val="auto"/>
                      <w:szCs w:val="21"/>
                      <w:lang w:val="en-US" w:eastAsia="zh-CN"/>
                    </w:rPr>
                    <w:t>符合</w:t>
                  </w:r>
                </w:p>
              </w:tc>
            </w:tr>
            <w:tr w14:paraId="7762B9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436" w:type="dxa"/>
                  <w:vMerge w:val="restart"/>
                  <w:noWrap w:val="0"/>
                  <w:vAlign w:val="center"/>
                </w:tcPr>
                <w:p w14:paraId="7B1CE6C6">
                  <w:pPr>
                    <w:autoSpaceDE w:val="0"/>
                    <w:autoSpaceDN w:val="0"/>
                    <w:adjustRightInd w:val="0"/>
                    <w:snapToGrid w:val="0"/>
                    <w:jc w:val="center"/>
                    <w:rPr>
                      <w:rFonts w:hint="eastAsia"/>
                      <w:color w:val="auto"/>
                      <w:kern w:val="2"/>
                      <w:sz w:val="21"/>
                      <w:szCs w:val="21"/>
                      <w:lang w:val="en-US" w:eastAsia="zh-CN" w:bidi="ar-SA"/>
                    </w:rPr>
                  </w:pPr>
                  <w:r>
                    <w:rPr>
                      <w:rFonts w:hint="eastAsia"/>
                      <w:color w:val="auto"/>
                      <w:szCs w:val="21"/>
                    </w:rPr>
                    <w:t>《西安市大气污染治理专项行动方案（2023-2027年）》</w:t>
                  </w:r>
                </w:p>
              </w:tc>
              <w:tc>
                <w:tcPr>
                  <w:tcW w:w="3263" w:type="dxa"/>
                  <w:noWrap w:val="0"/>
                  <w:vAlign w:val="center"/>
                </w:tcPr>
                <w:p w14:paraId="76A22B40">
                  <w:pPr>
                    <w:autoSpaceDE w:val="0"/>
                    <w:autoSpaceDN w:val="0"/>
                    <w:adjustRightInd w:val="0"/>
                    <w:snapToGrid w:val="0"/>
                    <w:ind w:firstLine="420" w:firstLineChars="200"/>
                    <w:rPr>
                      <w:rFonts w:hint="eastAsia"/>
                      <w:color w:val="auto"/>
                      <w:szCs w:val="21"/>
                    </w:rPr>
                  </w:pPr>
                  <w:r>
                    <w:rPr>
                      <w:rFonts w:hint="eastAsia"/>
                      <w:color w:val="auto"/>
                      <w:szCs w:val="21"/>
                    </w:rPr>
                    <w:t>3．产业发展结构调整。</w:t>
                  </w:r>
                </w:p>
                <w:p w14:paraId="71CCBC40">
                  <w:pPr>
                    <w:autoSpaceDE w:val="0"/>
                    <w:autoSpaceDN w:val="0"/>
                    <w:adjustRightInd w:val="0"/>
                    <w:snapToGrid w:val="0"/>
                    <w:ind w:firstLine="420" w:firstLineChars="200"/>
                    <w:rPr>
                      <w:rFonts w:hint="eastAsia"/>
                      <w:color w:val="auto"/>
                      <w:kern w:val="2"/>
                      <w:sz w:val="21"/>
                      <w:szCs w:val="21"/>
                      <w:lang w:val="en-US" w:eastAsia="zh-CN" w:bidi="ar-SA"/>
                    </w:rPr>
                  </w:pPr>
                  <w:r>
                    <w:rPr>
                      <w:rFonts w:hint="eastAsia"/>
                      <w:color w:val="auto"/>
                      <w:szCs w:val="21"/>
                    </w:rPr>
                    <w:t>严格落实国家和我省产业规划、产业政策、</w:t>
                  </w:r>
                  <w:r>
                    <w:rPr>
                      <w:rFonts w:hint="eastAsia"/>
                      <w:color w:val="auto"/>
                      <w:szCs w:val="21"/>
                      <w:lang w:eastAsia="zh-CN"/>
                    </w:rPr>
                    <w:t>“</w:t>
                  </w:r>
                  <w:r>
                    <w:rPr>
                      <w:rFonts w:hint="eastAsia"/>
                      <w:color w:val="auto"/>
                      <w:szCs w:val="21"/>
                    </w:rPr>
                    <w:t>三线一单</w:t>
                  </w:r>
                  <w:r>
                    <w:rPr>
                      <w:rFonts w:hint="eastAsia"/>
                      <w:color w:val="auto"/>
                      <w:szCs w:val="21"/>
                      <w:lang w:eastAsia="zh-CN"/>
                    </w:rPr>
                    <w:t>”</w:t>
                  </w:r>
                  <w:r>
                    <w:rPr>
                      <w:rFonts w:hint="eastAsia"/>
                      <w:color w:val="auto"/>
                      <w:szCs w:val="21"/>
                    </w:rPr>
                    <w:t>、规划环评等要求，深入开展我市区域空间生态环境评价工作，积极推行区域、规划</w:t>
                  </w:r>
                  <w:r>
                    <w:rPr>
                      <w:rFonts w:hint="eastAsia"/>
                      <w:color w:val="auto"/>
                      <w:szCs w:val="21"/>
                      <w:lang w:val="en-US" w:eastAsia="zh-CN"/>
                    </w:rPr>
                    <w:t>环境</w:t>
                  </w:r>
                  <w:r>
                    <w:rPr>
                      <w:rFonts w:hint="eastAsia"/>
                      <w:color w:val="auto"/>
                      <w:szCs w:val="21"/>
                    </w:rPr>
                    <w:t>影响评价，新改扩建化工、石化、建材、有色等项目的环境影响评价应满足区域和规划环评要求。</w:t>
                  </w:r>
                </w:p>
              </w:tc>
              <w:tc>
                <w:tcPr>
                  <w:tcW w:w="2119" w:type="dxa"/>
                  <w:noWrap w:val="0"/>
                  <w:vAlign w:val="center"/>
                </w:tcPr>
                <w:p w14:paraId="0D8F6E4A">
                  <w:pPr>
                    <w:autoSpaceDE w:val="0"/>
                    <w:autoSpaceDN w:val="0"/>
                    <w:adjustRightInd w:val="0"/>
                    <w:snapToGrid w:val="0"/>
                    <w:rPr>
                      <w:rFonts w:hint="eastAsia" w:eastAsia="宋体"/>
                      <w:color w:val="auto"/>
                      <w:szCs w:val="21"/>
                      <w:lang w:val="en-US" w:eastAsia="zh-CN"/>
                    </w:rPr>
                  </w:pPr>
                  <w:r>
                    <w:rPr>
                      <w:rFonts w:hint="eastAsia"/>
                      <w:color w:val="auto"/>
                      <w:szCs w:val="21"/>
                    </w:rPr>
                    <w:t>本项目符合国家</w:t>
                  </w:r>
                  <w:r>
                    <w:rPr>
                      <w:rFonts w:hint="eastAsia"/>
                      <w:color w:val="auto"/>
                      <w:szCs w:val="21"/>
                      <w:lang w:val="en-US" w:eastAsia="zh-CN"/>
                    </w:rPr>
                    <w:t>、</w:t>
                  </w:r>
                  <w:r>
                    <w:rPr>
                      <w:rFonts w:hint="eastAsia"/>
                      <w:color w:val="auto"/>
                      <w:szCs w:val="21"/>
                    </w:rPr>
                    <w:t>省</w:t>
                  </w:r>
                  <w:r>
                    <w:rPr>
                      <w:rFonts w:hint="eastAsia"/>
                      <w:color w:val="auto"/>
                      <w:szCs w:val="21"/>
                      <w:lang w:val="en-US" w:eastAsia="zh-CN"/>
                    </w:rPr>
                    <w:t>市</w:t>
                  </w:r>
                  <w:r>
                    <w:rPr>
                      <w:rFonts w:hint="eastAsia"/>
                      <w:color w:val="auto"/>
                      <w:szCs w:val="21"/>
                    </w:rPr>
                    <w:t>产业规划、产业政策、</w:t>
                  </w:r>
                  <w:r>
                    <w:rPr>
                      <w:rFonts w:hint="eastAsia"/>
                      <w:color w:val="auto"/>
                      <w:szCs w:val="21"/>
                      <w:lang w:eastAsia="zh-CN"/>
                    </w:rPr>
                    <w:t>“</w:t>
                  </w:r>
                  <w:r>
                    <w:rPr>
                      <w:rFonts w:hint="eastAsia"/>
                      <w:color w:val="auto"/>
                      <w:szCs w:val="21"/>
                    </w:rPr>
                    <w:t>三线一单</w:t>
                  </w:r>
                  <w:r>
                    <w:rPr>
                      <w:rFonts w:hint="eastAsia"/>
                      <w:color w:val="auto"/>
                      <w:szCs w:val="21"/>
                      <w:lang w:eastAsia="zh-CN"/>
                    </w:rPr>
                    <w:t>”</w:t>
                  </w:r>
                  <w:r>
                    <w:rPr>
                      <w:rFonts w:hint="eastAsia"/>
                      <w:color w:val="auto"/>
                      <w:szCs w:val="21"/>
                    </w:rPr>
                    <w:t>等相关要求</w:t>
                  </w:r>
                  <w:r>
                    <w:rPr>
                      <w:rFonts w:hint="eastAsia"/>
                      <w:color w:val="auto"/>
                      <w:szCs w:val="21"/>
                      <w:lang w:eastAsia="zh-CN"/>
                    </w:rPr>
                    <w:t>；</w:t>
                  </w:r>
                  <w:r>
                    <w:rPr>
                      <w:rFonts w:hint="eastAsia"/>
                      <w:color w:val="auto"/>
                      <w:szCs w:val="21"/>
                      <w:lang w:val="en-US" w:eastAsia="zh-CN"/>
                    </w:rPr>
                    <w:t>不属于</w:t>
                  </w:r>
                  <w:r>
                    <w:rPr>
                      <w:rFonts w:hint="eastAsia"/>
                      <w:color w:val="auto"/>
                      <w:szCs w:val="21"/>
                    </w:rPr>
                    <w:t>新改扩建化工、石化、建材、有色等项目</w:t>
                  </w:r>
                  <w:r>
                    <w:rPr>
                      <w:rFonts w:hint="eastAsia"/>
                      <w:color w:val="auto"/>
                      <w:szCs w:val="21"/>
                      <w:lang w:eastAsia="zh-CN"/>
                    </w:rPr>
                    <w:t>。</w:t>
                  </w:r>
                </w:p>
              </w:tc>
              <w:tc>
                <w:tcPr>
                  <w:tcW w:w="433" w:type="dxa"/>
                  <w:noWrap w:val="0"/>
                  <w:vAlign w:val="center"/>
                </w:tcPr>
                <w:p w14:paraId="2FBE0A4C">
                  <w:pPr>
                    <w:autoSpaceDE w:val="0"/>
                    <w:autoSpaceDN w:val="0"/>
                    <w:adjustRightInd w:val="0"/>
                    <w:snapToGrid w:val="0"/>
                    <w:jc w:val="center"/>
                    <w:rPr>
                      <w:rFonts w:hint="default"/>
                      <w:color w:val="auto"/>
                      <w:szCs w:val="21"/>
                      <w:lang w:val="en-US" w:eastAsia="zh-CN"/>
                    </w:rPr>
                  </w:pPr>
                  <w:r>
                    <w:rPr>
                      <w:rFonts w:hint="eastAsia"/>
                      <w:color w:val="auto"/>
                      <w:szCs w:val="21"/>
                      <w:lang w:val="en-US" w:eastAsia="zh-CN"/>
                    </w:rPr>
                    <w:t>符合</w:t>
                  </w:r>
                </w:p>
              </w:tc>
            </w:tr>
            <w:tr w14:paraId="0D38CC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436" w:type="dxa"/>
                  <w:vMerge w:val="continue"/>
                  <w:noWrap w:val="0"/>
                  <w:vAlign w:val="center"/>
                </w:tcPr>
                <w:p w14:paraId="3173D672">
                  <w:pPr>
                    <w:autoSpaceDE w:val="0"/>
                    <w:autoSpaceDN w:val="0"/>
                    <w:adjustRightInd w:val="0"/>
                    <w:snapToGrid w:val="0"/>
                    <w:jc w:val="center"/>
                    <w:rPr>
                      <w:rFonts w:hint="eastAsia"/>
                      <w:color w:val="auto"/>
                      <w:szCs w:val="21"/>
                    </w:rPr>
                  </w:pPr>
                </w:p>
              </w:tc>
              <w:tc>
                <w:tcPr>
                  <w:tcW w:w="3263" w:type="dxa"/>
                  <w:noWrap w:val="0"/>
                  <w:vAlign w:val="center"/>
                </w:tcPr>
                <w:p w14:paraId="3239F387">
                  <w:pPr>
                    <w:autoSpaceDE w:val="0"/>
                    <w:autoSpaceDN w:val="0"/>
                    <w:adjustRightInd w:val="0"/>
                    <w:snapToGrid w:val="0"/>
                    <w:ind w:firstLine="420" w:firstLineChars="200"/>
                    <w:rPr>
                      <w:rFonts w:hint="eastAsia" w:ascii="Times New Roman" w:hAnsi="Times New Roman" w:eastAsia="宋体" w:cs="Times New Roman"/>
                      <w:color w:val="auto"/>
                      <w:kern w:val="2"/>
                      <w:sz w:val="21"/>
                      <w:szCs w:val="21"/>
                      <w:lang w:val="en-US" w:eastAsia="zh-CN" w:bidi="ar-SA"/>
                    </w:rPr>
                  </w:pPr>
                  <w:r>
                    <w:rPr>
                      <w:rFonts w:hint="eastAsia"/>
                      <w:color w:val="auto"/>
                      <w:szCs w:val="21"/>
                    </w:rPr>
                    <w:t>强化涉活性炭VOCs处理工艺治理。深入开展简易低效挥发性有机物治理设施清理整治，组织开展涉活性炭挥发性有机物处理工艺专项整治行动，推广先进VOCs治理工艺，全面提升VOCs治理水平。</w:t>
                  </w:r>
                </w:p>
              </w:tc>
              <w:tc>
                <w:tcPr>
                  <w:tcW w:w="2119" w:type="dxa"/>
                  <w:noWrap w:val="0"/>
                  <w:vAlign w:val="center"/>
                </w:tcPr>
                <w:p w14:paraId="0F9AC1FA">
                  <w:pPr>
                    <w:autoSpaceDE w:val="0"/>
                    <w:autoSpaceDN w:val="0"/>
                    <w:adjustRightInd w:val="0"/>
                    <w:snapToGrid w:val="0"/>
                    <w:rPr>
                      <w:rFonts w:hint="default"/>
                      <w:color w:val="auto"/>
                      <w:szCs w:val="21"/>
                      <w:lang w:val="en-US" w:eastAsia="zh-CN"/>
                    </w:rPr>
                  </w:pPr>
                  <w:r>
                    <w:rPr>
                      <w:rFonts w:hint="eastAsia"/>
                      <w:color w:val="auto"/>
                      <w:szCs w:val="21"/>
                      <w:lang w:val="en-US" w:eastAsia="zh-CN"/>
                    </w:rPr>
                    <w:t>本项目喷烤漆房1</w:t>
                  </w:r>
                  <w:r>
                    <w:rPr>
                      <w:rFonts w:hint="eastAsia" w:ascii="Times New Roman" w:hAnsi="Times New Roman" w:cs="Times New Roman"/>
                      <w:color w:val="auto"/>
                      <w:szCs w:val="21"/>
                      <w:lang w:val="en-US" w:eastAsia="zh-CN"/>
                    </w:rPr>
                    <w:t>#</w:t>
                  </w:r>
                  <w:r>
                    <w:rPr>
                      <w:rFonts w:hint="eastAsia"/>
                      <w:color w:val="auto"/>
                      <w:szCs w:val="21"/>
                      <w:lang w:val="en-US" w:eastAsia="zh-CN"/>
                    </w:rPr>
                    <w:t>、2</w:t>
                  </w:r>
                  <w:r>
                    <w:rPr>
                      <w:rFonts w:hint="eastAsia" w:ascii="Times New Roman" w:hAnsi="Times New Roman" w:cs="Times New Roman"/>
                      <w:color w:val="auto"/>
                      <w:szCs w:val="21"/>
                      <w:lang w:val="en-US" w:eastAsia="zh-CN"/>
                    </w:rPr>
                    <w:t>#</w:t>
                  </w:r>
                  <w:r>
                    <w:rPr>
                      <w:rFonts w:hint="eastAsia"/>
                      <w:color w:val="auto"/>
                      <w:szCs w:val="21"/>
                      <w:lang w:val="en-US" w:eastAsia="zh-CN"/>
                    </w:rPr>
                    <w:t>产生的废气经过滤棉+二级活性炭吸附设施处理后，尾气经2根（DA001、DA002）16m高的排气筒排放；中涂房产生的废气经过滤棉+二级活性炭吸附设施处理后，尾气经1根（DA003）16m高的排气筒排放；喷烤漆房3</w:t>
                  </w:r>
                  <w:r>
                    <w:rPr>
                      <w:rFonts w:hint="eastAsia" w:ascii="Times New Roman" w:hAnsi="Times New Roman" w:cs="Times New Roman"/>
                      <w:color w:val="auto"/>
                      <w:szCs w:val="21"/>
                      <w:lang w:val="en-US" w:eastAsia="zh-CN"/>
                    </w:rPr>
                    <w:t>#</w:t>
                  </w:r>
                  <w:r>
                    <w:rPr>
                      <w:rFonts w:hint="eastAsia"/>
                      <w:color w:val="auto"/>
                      <w:szCs w:val="21"/>
                      <w:lang w:val="en-US" w:eastAsia="zh-CN"/>
                    </w:rPr>
                    <w:t>、调漆、危废贮存库2#产生的废气经过滤棉+二级活性炭吸附设施处理后，尾气并入DA003排气筒排放。</w:t>
                  </w:r>
                </w:p>
              </w:tc>
              <w:tc>
                <w:tcPr>
                  <w:tcW w:w="433" w:type="dxa"/>
                  <w:noWrap w:val="0"/>
                  <w:vAlign w:val="center"/>
                </w:tcPr>
                <w:p w14:paraId="1686ADD8">
                  <w:pPr>
                    <w:autoSpaceDE w:val="0"/>
                    <w:autoSpaceDN w:val="0"/>
                    <w:adjustRightInd w:val="0"/>
                    <w:snapToGrid w:val="0"/>
                    <w:jc w:val="center"/>
                    <w:rPr>
                      <w:rFonts w:hint="default"/>
                      <w:color w:val="auto"/>
                      <w:szCs w:val="21"/>
                      <w:lang w:val="en-US" w:eastAsia="zh-CN"/>
                    </w:rPr>
                  </w:pPr>
                  <w:r>
                    <w:rPr>
                      <w:rFonts w:hint="eastAsia"/>
                      <w:color w:val="auto"/>
                      <w:szCs w:val="21"/>
                      <w:lang w:val="en-US" w:eastAsia="zh-CN"/>
                    </w:rPr>
                    <w:t>符合</w:t>
                  </w:r>
                </w:p>
              </w:tc>
            </w:tr>
            <w:tr w14:paraId="4AB6F8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436" w:type="dxa"/>
                  <w:vMerge w:val="restart"/>
                  <w:shd w:val="clear" w:color="auto" w:fill="auto"/>
                  <w:noWrap w:val="0"/>
                  <w:vAlign w:val="center"/>
                </w:tcPr>
                <w:p w14:paraId="58B1A4CF">
                  <w:pPr>
                    <w:autoSpaceDE w:val="0"/>
                    <w:autoSpaceDN w:val="0"/>
                    <w:adjustRightInd w:val="0"/>
                    <w:snapToGrid w:val="0"/>
                    <w:jc w:val="center"/>
                    <w:rPr>
                      <w:rFonts w:hint="eastAsia"/>
                      <w:color w:val="auto"/>
                      <w:kern w:val="2"/>
                      <w:sz w:val="21"/>
                      <w:szCs w:val="21"/>
                      <w:lang w:val="en-US" w:eastAsia="zh-CN" w:bidi="ar-SA"/>
                    </w:rPr>
                  </w:pPr>
                  <w:r>
                    <w:rPr>
                      <w:rFonts w:hint="eastAsia"/>
                      <w:color w:val="auto"/>
                      <w:szCs w:val="21"/>
                    </w:rPr>
                    <w:t>《</w:t>
                  </w:r>
                  <w:r>
                    <w:rPr>
                      <w:rFonts w:hint="default" w:ascii="Times New Roman" w:hAnsi="Times New Roman" w:eastAsia="宋体" w:cs="Times New Roman"/>
                      <w:color w:val="auto"/>
                      <w:sz w:val="21"/>
                      <w:szCs w:val="21"/>
                      <w:lang w:val="en-US" w:eastAsia="zh-CN"/>
                    </w:rPr>
                    <w:t>沣东</w:t>
                  </w:r>
                  <w:r>
                    <w:rPr>
                      <w:rFonts w:hint="default" w:ascii="Times New Roman" w:hAnsi="Times New Roman" w:eastAsia="宋体" w:cs="Times New Roman"/>
                      <w:color w:val="auto"/>
                      <w:sz w:val="21"/>
                      <w:szCs w:val="21"/>
                    </w:rPr>
                    <w:t>新城大气污染治理专项行动方案</w:t>
                  </w:r>
                  <w:r>
                    <w:rPr>
                      <w:rFonts w:hint="eastAsia"/>
                      <w:color w:val="auto"/>
                      <w:szCs w:val="21"/>
                    </w:rPr>
                    <w:t>（2023-2027年）》（西咸沣东党发〔2023〕29号）</w:t>
                  </w:r>
                </w:p>
              </w:tc>
              <w:tc>
                <w:tcPr>
                  <w:tcW w:w="3263" w:type="dxa"/>
                  <w:shd w:val="clear" w:color="auto" w:fill="auto"/>
                  <w:noWrap w:val="0"/>
                  <w:vAlign w:val="center"/>
                </w:tcPr>
                <w:p w14:paraId="6D57E163">
                  <w:pPr>
                    <w:autoSpaceDE w:val="0"/>
                    <w:autoSpaceDN w:val="0"/>
                    <w:adjustRightInd w:val="0"/>
                    <w:snapToGrid w:val="0"/>
                    <w:ind w:firstLine="420" w:firstLineChars="200"/>
                    <w:rPr>
                      <w:rFonts w:hint="eastAsia"/>
                      <w:color w:val="auto"/>
                      <w:szCs w:val="21"/>
                    </w:rPr>
                  </w:pPr>
                  <w:r>
                    <w:rPr>
                      <w:rFonts w:hint="eastAsia"/>
                      <w:color w:val="auto"/>
                      <w:szCs w:val="21"/>
                    </w:rPr>
                    <w:t>3.产业发展结构调整</w:t>
                  </w:r>
                </w:p>
                <w:p w14:paraId="3BFF048F">
                  <w:pPr>
                    <w:autoSpaceDE w:val="0"/>
                    <w:autoSpaceDN w:val="0"/>
                    <w:adjustRightInd w:val="0"/>
                    <w:snapToGrid w:val="0"/>
                    <w:ind w:firstLine="420" w:firstLineChars="200"/>
                    <w:rPr>
                      <w:rFonts w:hint="eastAsia"/>
                      <w:color w:val="auto"/>
                      <w:kern w:val="2"/>
                      <w:sz w:val="21"/>
                      <w:szCs w:val="21"/>
                      <w:lang w:val="en-US" w:eastAsia="zh-CN" w:bidi="ar-SA"/>
                    </w:rPr>
                  </w:pPr>
                  <w:r>
                    <w:rPr>
                      <w:rFonts w:hint="eastAsia"/>
                      <w:color w:val="auto"/>
                      <w:szCs w:val="21"/>
                    </w:rPr>
                    <w:t>（1）强化源头管控。严格落实国家、省、市、新区及新城产业规划、产业政策、</w:t>
                  </w:r>
                  <w:r>
                    <w:rPr>
                      <w:rFonts w:hint="eastAsia"/>
                      <w:color w:val="auto"/>
                      <w:szCs w:val="21"/>
                      <w:lang w:eastAsia="zh-CN"/>
                    </w:rPr>
                    <w:t>“</w:t>
                  </w:r>
                  <w:r>
                    <w:rPr>
                      <w:rFonts w:hint="eastAsia"/>
                      <w:color w:val="auto"/>
                      <w:szCs w:val="21"/>
                    </w:rPr>
                    <w:t>三线一单</w:t>
                  </w:r>
                  <w:r>
                    <w:rPr>
                      <w:rFonts w:hint="eastAsia"/>
                      <w:color w:val="auto"/>
                      <w:szCs w:val="21"/>
                      <w:lang w:eastAsia="zh-CN"/>
                    </w:rPr>
                    <w:t>”</w:t>
                  </w:r>
                  <w:r>
                    <w:rPr>
                      <w:rFonts w:hint="eastAsia"/>
                      <w:color w:val="auto"/>
                      <w:szCs w:val="21"/>
                    </w:rPr>
                    <w:t>、规划环评等要求，配合新区开展区域空间生态环境评价工作，积极推行区域、规划环境影响评价，新、改、扩建化工、石化、建材、有色等项目的环境影响评价应满足区域、规划环评要求。</w:t>
                  </w:r>
                </w:p>
              </w:tc>
              <w:tc>
                <w:tcPr>
                  <w:tcW w:w="2119" w:type="dxa"/>
                  <w:shd w:val="clear" w:color="auto" w:fill="auto"/>
                  <w:noWrap w:val="0"/>
                  <w:vAlign w:val="center"/>
                </w:tcPr>
                <w:p w14:paraId="2F44BBAC">
                  <w:pPr>
                    <w:autoSpaceDE w:val="0"/>
                    <w:autoSpaceDN w:val="0"/>
                    <w:adjustRightInd w:val="0"/>
                    <w:snapToGrid w:val="0"/>
                    <w:rPr>
                      <w:rFonts w:hint="eastAsia" w:eastAsia="宋体"/>
                      <w:color w:val="auto"/>
                      <w:kern w:val="21"/>
                      <w:sz w:val="21"/>
                      <w:szCs w:val="21"/>
                      <w:lang w:val="en-US" w:eastAsia="zh-CN" w:bidi="ar-SA"/>
                    </w:rPr>
                  </w:pPr>
                  <w:r>
                    <w:rPr>
                      <w:rFonts w:hint="eastAsia"/>
                      <w:color w:val="auto"/>
                      <w:szCs w:val="21"/>
                    </w:rPr>
                    <w:t>本项目为</w:t>
                  </w:r>
                  <w:r>
                    <w:rPr>
                      <w:rFonts w:hint="eastAsia"/>
                      <w:color w:val="auto"/>
                      <w:szCs w:val="21"/>
                      <w:lang w:val="en-US" w:eastAsia="zh-CN"/>
                    </w:rPr>
                    <w:t>新建</w:t>
                  </w:r>
                  <w:r>
                    <w:rPr>
                      <w:rFonts w:hint="eastAsia"/>
                      <w:color w:val="auto"/>
                      <w:szCs w:val="21"/>
                    </w:rPr>
                    <w:t>项目，属于</w:t>
                  </w:r>
                  <w:r>
                    <w:rPr>
                      <w:rFonts w:hint="eastAsia"/>
                      <w:color w:val="auto"/>
                      <w:szCs w:val="21"/>
                      <w:lang w:eastAsia="zh-CN"/>
                    </w:rPr>
                    <w:t>汽车修理与维护</w:t>
                  </w:r>
                  <w:r>
                    <w:rPr>
                      <w:rFonts w:hint="eastAsia"/>
                      <w:color w:val="auto"/>
                      <w:szCs w:val="21"/>
                      <w:lang w:val="en-US" w:eastAsia="zh-CN"/>
                    </w:rPr>
                    <w:t>业</w:t>
                  </w:r>
                  <w:r>
                    <w:rPr>
                      <w:rFonts w:hint="eastAsia"/>
                      <w:color w:val="auto"/>
                      <w:szCs w:val="21"/>
                    </w:rPr>
                    <w:t>，不属于新改扩建化工、石化、建材、有色等项目</w:t>
                  </w:r>
                  <w:r>
                    <w:rPr>
                      <w:rFonts w:hint="eastAsia"/>
                      <w:color w:val="auto"/>
                      <w:szCs w:val="21"/>
                      <w:lang w:eastAsia="zh-CN"/>
                    </w:rPr>
                    <w:t>。</w:t>
                  </w:r>
                  <w:r>
                    <w:rPr>
                      <w:rFonts w:hint="eastAsia"/>
                      <w:color w:val="auto"/>
                      <w:szCs w:val="21"/>
                    </w:rPr>
                    <w:t>符合国家、省、市及新区产业规划、产业政策、</w:t>
                  </w:r>
                  <w:r>
                    <w:rPr>
                      <w:rFonts w:hint="eastAsia"/>
                      <w:color w:val="auto"/>
                      <w:szCs w:val="21"/>
                      <w:lang w:eastAsia="zh-CN"/>
                    </w:rPr>
                    <w:t>“</w:t>
                  </w:r>
                  <w:r>
                    <w:rPr>
                      <w:rFonts w:hint="eastAsia"/>
                      <w:color w:val="auto"/>
                      <w:szCs w:val="21"/>
                    </w:rPr>
                    <w:t>三线一单</w:t>
                  </w:r>
                  <w:r>
                    <w:rPr>
                      <w:rFonts w:hint="eastAsia"/>
                      <w:color w:val="auto"/>
                      <w:szCs w:val="21"/>
                      <w:lang w:eastAsia="zh-CN"/>
                    </w:rPr>
                    <w:t>”</w:t>
                  </w:r>
                  <w:r>
                    <w:rPr>
                      <w:rFonts w:hint="eastAsia"/>
                      <w:color w:val="auto"/>
                      <w:szCs w:val="21"/>
                    </w:rPr>
                    <w:t>等相关要求</w:t>
                  </w:r>
                  <w:r>
                    <w:rPr>
                      <w:rFonts w:hint="eastAsia"/>
                      <w:color w:val="auto"/>
                      <w:szCs w:val="21"/>
                      <w:lang w:eastAsia="zh-CN"/>
                    </w:rPr>
                    <w:t>。</w:t>
                  </w:r>
                </w:p>
              </w:tc>
              <w:tc>
                <w:tcPr>
                  <w:tcW w:w="433" w:type="dxa"/>
                  <w:shd w:val="clear" w:color="auto" w:fill="auto"/>
                  <w:noWrap w:val="0"/>
                  <w:vAlign w:val="center"/>
                </w:tcPr>
                <w:p w14:paraId="7692B046">
                  <w:pPr>
                    <w:autoSpaceDE w:val="0"/>
                    <w:autoSpaceDN w:val="0"/>
                    <w:adjustRightInd w:val="0"/>
                    <w:snapToGrid w:val="0"/>
                    <w:jc w:val="center"/>
                    <w:rPr>
                      <w:rFonts w:hint="eastAsia"/>
                      <w:color w:val="auto"/>
                      <w:kern w:val="2"/>
                      <w:sz w:val="21"/>
                      <w:szCs w:val="21"/>
                      <w:lang w:val="en-US" w:eastAsia="zh-CN" w:bidi="ar-SA"/>
                    </w:rPr>
                  </w:pPr>
                  <w:r>
                    <w:rPr>
                      <w:rFonts w:hint="eastAsia"/>
                      <w:color w:val="auto"/>
                      <w:szCs w:val="21"/>
                    </w:rPr>
                    <w:t>符合</w:t>
                  </w:r>
                </w:p>
              </w:tc>
            </w:tr>
            <w:tr w14:paraId="14CA79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436" w:type="dxa"/>
                  <w:vMerge w:val="continue"/>
                  <w:noWrap w:val="0"/>
                  <w:vAlign w:val="center"/>
                </w:tcPr>
                <w:p w14:paraId="5ED92519">
                  <w:pPr>
                    <w:autoSpaceDE w:val="0"/>
                    <w:autoSpaceDN w:val="0"/>
                    <w:adjustRightInd w:val="0"/>
                    <w:snapToGrid w:val="0"/>
                    <w:jc w:val="center"/>
                    <w:rPr>
                      <w:rFonts w:hint="eastAsia"/>
                      <w:color w:val="auto"/>
                      <w:kern w:val="2"/>
                      <w:sz w:val="21"/>
                      <w:szCs w:val="21"/>
                      <w:lang w:val="en-US" w:eastAsia="zh-CN" w:bidi="ar-SA"/>
                    </w:rPr>
                  </w:pPr>
                </w:p>
              </w:tc>
              <w:tc>
                <w:tcPr>
                  <w:tcW w:w="3263" w:type="dxa"/>
                  <w:noWrap w:val="0"/>
                  <w:vAlign w:val="center"/>
                </w:tcPr>
                <w:p w14:paraId="1A1DBACF">
                  <w:pPr>
                    <w:autoSpaceDE w:val="0"/>
                    <w:autoSpaceDN w:val="0"/>
                    <w:adjustRightInd w:val="0"/>
                    <w:snapToGrid w:val="0"/>
                    <w:ind w:firstLine="420" w:firstLineChars="200"/>
                    <w:rPr>
                      <w:rFonts w:hint="eastAsia"/>
                      <w:color w:val="auto"/>
                      <w:kern w:val="2"/>
                      <w:sz w:val="21"/>
                      <w:szCs w:val="21"/>
                      <w:lang w:val="en-US" w:eastAsia="zh-CN" w:bidi="ar-SA"/>
                    </w:rPr>
                  </w:pPr>
                  <w:r>
                    <w:rPr>
                      <w:rFonts w:hint="eastAsia"/>
                      <w:color w:val="auto"/>
                      <w:kern w:val="2"/>
                      <w:sz w:val="21"/>
                      <w:szCs w:val="21"/>
                      <w:lang w:val="en-US" w:eastAsia="zh-CN" w:bidi="ar-SA"/>
                    </w:rPr>
                    <w:t>强化VOCs末端处理工艺治理。动态更新挥发性有机物治理设施台账，开展简易低效挥发性有机物治理设施清理整治、涉活性炭挥发性有机物处理工艺专项整治行动，强化挥发性有机物无组织排放整治，确保达到相关标准要求。新建项目不再采用低温等离子、光氧化、光催化等处理方式，非水溶性VOCs废气不再采用喷淋吸收方式处理。</w:t>
                  </w:r>
                </w:p>
              </w:tc>
              <w:tc>
                <w:tcPr>
                  <w:tcW w:w="2119" w:type="dxa"/>
                  <w:noWrap w:val="0"/>
                  <w:vAlign w:val="center"/>
                </w:tcPr>
                <w:p w14:paraId="3ACB7EB9">
                  <w:pPr>
                    <w:autoSpaceDE w:val="0"/>
                    <w:autoSpaceDN w:val="0"/>
                    <w:adjustRightInd w:val="0"/>
                    <w:snapToGrid w:val="0"/>
                    <w:rPr>
                      <w:rFonts w:hint="eastAsia" w:eastAsia="宋体"/>
                      <w:color w:val="auto"/>
                      <w:kern w:val="21"/>
                      <w:sz w:val="21"/>
                      <w:szCs w:val="21"/>
                      <w:lang w:val="en-US" w:eastAsia="zh-CN" w:bidi="ar-SA"/>
                    </w:rPr>
                  </w:pPr>
                  <w:r>
                    <w:rPr>
                      <w:rFonts w:hint="eastAsia"/>
                      <w:color w:val="auto"/>
                      <w:szCs w:val="21"/>
                      <w:lang w:val="en-US" w:eastAsia="zh-CN"/>
                    </w:rPr>
                    <w:t>本项目喷烤漆房1</w:t>
                  </w:r>
                  <w:r>
                    <w:rPr>
                      <w:rFonts w:hint="eastAsia" w:ascii="Times New Roman" w:hAnsi="Times New Roman" w:cs="Times New Roman"/>
                      <w:color w:val="auto"/>
                      <w:szCs w:val="21"/>
                      <w:lang w:val="en-US" w:eastAsia="zh-CN"/>
                    </w:rPr>
                    <w:t>#</w:t>
                  </w:r>
                  <w:r>
                    <w:rPr>
                      <w:rFonts w:hint="eastAsia"/>
                      <w:color w:val="auto"/>
                      <w:szCs w:val="21"/>
                      <w:lang w:val="en-US" w:eastAsia="zh-CN"/>
                    </w:rPr>
                    <w:t>、2</w:t>
                  </w:r>
                  <w:r>
                    <w:rPr>
                      <w:rFonts w:hint="eastAsia" w:ascii="Times New Roman" w:hAnsi="Times New Roman" w:cs="Times New Roman"/>
                      <w:color w:val="auto"/>
                      <w:szCs w:val="21"/>
                      <w:lang w:val="en-US" w:eastAsia="zh-CN"/>
                    </w:rPr>
                    <w:t>#</w:t>
                  </w:r>
                  <w:r>
                    <w:rPr>
                      <w:rFonts w:hint="eastAsia"/>
                      <w:color w:val="auto"/>
                      <w:szCs w:val="21"/>
                      <w:lang w:val="en-US" w:eastAsia="zh-CN"/>
                    </w:rPr>
                    <w:t>产生的废气经过滤棉+二级活性炭吸附设施处理后，尾气经2根（DA001、DA002）16m高的排气筒排放；中涂房产生的废气经过滤棉+二级活性炭吸附设施处理后，尾气经1根（DA003）16m高的排气筒排放；喷烤漆房3</w:t>
                  </w:r>
                  <w:r>
                    <w:rPr>
                      <w:rFonts w:hint="eastAsia" w:ascii="Times New Roman" w:hAnsi="Times New Roman" w:cs="Times New Roman"/>
                      <w:color w:val="auto"/>
                      <w:szCs w:val="21"/>
                      <w:lang w:val="en-US" w:eastAsia="zh-CN"/>
                    </w:rPr>
                    <w:t>#</w:t>
                  </w:r>
                  <w:r>
                    <w:rPr>
                      <w:rFonts w:hint="eastAsia"/>
                      <w:color w:val="auto"/>
                      <w:szCs w:val="21"/>
                      <w:lang w:val="en-US" w:eastAsia="zh-CN"/>
                    </w:rPr>
                    <w:t>、调漆、危废贮存库2#产生的废气经过滤棉+二级活性炭吸附设施处理后，尾气并入DA003排气筒排放。</w:t>
                  </w:r>
                </w:p>
              </w:tc>
              <w:tc>
                <w:tcPr>
                  <w:tcW w:w="433" w:type="dxa"/>
                  <w:noWrap w:val="0"/>
                  <w:vAlign w:val="center"/>
                </w:tcPr>
                <w:p w14:paraId="7D1C1D5D">
                  <w:pPr>
                    <w:autoSpaceDE w:val="0"/>
                    <w:autoSpaceDN w:val="0"/>
                    <w:adjustRightInd w:val="0"/>
                    <w:snapToGrid w:val="0"/>
                    <w:jc w:val="center"/>
                    <w:rPr>
                      <w:rFonts w:hint="default"/>
                      <w:color w:val="auto"/>
                      <w:kern w:val="2"/>
                      <w:sz w:val="21"/>
                      <w:szCs w:val="21"/>
                      <w:lang w:val="en-US" w:eastAsia="zh-CN" w:bidi="ar-SA"/>
                    </w:rPr>
                  </w:pPr>
                  <w:r>
                    <w:rPr>
                      <w:rFonts w:hint="eastAsia"/>
                      <w:color w:val="auto"/>
                      <w:kern w:val="2"/>
                      <w:sz w:val="21"/>
                      <w:szCs w:val="21"/>
                      <w:lang w:val="en-US" w:eastAsia="zh-CN" w:bidi="ar-SA"/>
                    </w:rPr>
                    <w:t>符合</w:t>
                  </w:r>
                </w:p>
              </w:tc>
            </w:tr>
            <w:tr w14:paraId="07FBE0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436" w:type="dxa"/>
                  <w:vMerge w:val="restart"/>
                  <w:noWrap w:val="0"/>
                  <w:vAlign w:val="center"/>
                </w:tcPr>
                <w:p w14:paraId="31F0B559">
                  <w:pPr>
                    <w:autoSpaceDE w:val="0"/>
                    <w:autoSpaceDN w:val="0"/>
                    <w:adjustRightInd w:val="0"/>
                    <w:snapToGrid w:val="0"/>
                    <w:jc w:val="center"/>
                    <w:rPr>
                      <w:rFonts w:hint="eastAsia"/>
                      <w:color w:val="auto"/>
                      <w:szCs w:val="21"/>
                    </w:rPr>
                  </w:pPr>
                  <w:r>
                    <w:rPr>
                      <w:color w:val="auto"/>
                      <w:szCs w:val="21"/>
                    </w:rPr>
                    <w:t>《挥发性有机物无组织排放控制标准》（GB 37822</w:t>
                  </w:r>
                  <w:r>
                    <w:rPr>
                      <w:rFonts w:hint="eastAsia"/>
                      <w:color w:val="auto"/>
                      <w:szCs w:val="21"/>
                      <w:lang w:val="en-US" w:eastAsia="zh-CN"/>
                    </w:rPr>
                    <w:t>-</w:t>
                  </w:r>
                  <w:r>
                    <w:rPr>
                      <w:color w:val="auto"/>
                      <w:szCs w:val="21"/>
                    </w:rPr>
                    <w:t>2019）</w:t>
                  </w:r>
                </w:p>
              </w:tc>
              <w:tc>
                <w:tcPr>
                  <w:tcW w:w="3263" w:type="dxa"/>
                  <w:noWrap w:val="0"/>
                  <w:vAlign w:val="top"/>
                </w:tcPr>
                <w:p w14:paraId="26FDDBFD">
                  <w:pPr>
                    <w:autoSpaceDE w:val="0"/>
                    <w:autoSpaceDN w:val="0"/>
                    <w:adjustRightInd w:val="0"/>
                    <w:snapToGrid w:val="0"/>
                    <w:ind w:firstLine="420" w:firstLineChars="200"/>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rPr>
                    <w:t>排气筒高度不低于15m（因安全考虑或有特殊工艺要求的除外），具体高度以及与周围建筑物的相对高度关系应根据环境影响评价文件确定。</w:t>
                  </w:r>
                </w:p>
              </w:tc>
              <w:tc>
                <w:tcPr>
                  <w:tcW w:w="2119" w:type="dxa"/>
                  <w:noWrap w:val="0"/>
                  <w:vAlign w:val="center"/>
                </w:tcPr>
                <w:p w14:paraId="60283094">
                  <w:pPr>
                    <w:autoSpaceDE w:val="0"/>
                    <w:autoSpaceDN w:val="0"/>
                    <w:adjustRightInd w:val="0"/>
                    <w:snapToGrid w:val="0"/>
                    <w:rPr>
                      <w:rFonts w:hint="eastAsia" w:eastAsia="宋体"/>
                      <w:color w:val="auto"/>
                      <w:kern w:val="2"/>
                      <w:sz w:val="21"/>
                      <w:szCs w:val="21"/>
                      <w:lang w:val="en-US" w:eastAsia="zh-CN" w:bidi="ar-SA"/>
                    </w:rPr>
                  </w:pPr>
                  <w:r>
                    <w:rPr>
                      <w:rFonts w:hint="eastAsia" w:cs="Times New Roman"/>
                      <w:color w:val="auto"/>
                      <w:szCs w:val="21"/>
                      <w:lang w:val="en-US" w:eastAsia="zh-CN"/>
                    </w:rPr>
                    <w:t>根据后文分析，本项目DA001~DA005排气筒高度为16m，满足不低于15m的要求</w:t>
                  </w:r>
                  <w:r>
                    <w:rPr>
                      <w:rFonts w:hint="eastAsia"/>
                      <w:color w:val="auto"/>
                      <w:szCs w:val="21"/>
                      <w:lang w:eastAsia="zh-CN"/>
                    </w:rPr>
                    <w:t>。</w:t>
                  </w:r>
                </w:p>
              </w:tc>
              <w:tc>
                <w:tcPr>
                  <w:tcW w:w="433" w:type="dxa"/>
                  <w:noWrap w:val="0"/>
                  <w:vAlign w:val="center"/>
                </w:tcPr>
                <w:p w14:paraId="29EF8D76">
                  <w:pPr>
                    <w:autoSpaceDE w:val="0"/>
                    <w:autoSpaceDN w:val="0"/>
                    <w:adjustRightInd w:val="0"/>
                    <w:snapToGrid w:val="0"/>
                    <w:jc w:val="center"/>
                    <w:rPr>
                      <w:color w:val="auto"/>
                      <w:szCs w:val="21"/>
                    </w:rPr>
                  </w:pPr>
                  <w:r>
                    <w:rPr>
                      <w:rFonts w:hint="eastAsia"/>
                      <w:color w:val="auto"/>
                      <w:szCs w:val="21"/>
                    </w:rPr>
                    <w:t>符合</w:t>
                  </w:r>
                </w:p>
              </w:tc>
            </w:tr>
            <w:tr w14:paraId="775F71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436" w:type="dxa"/>
                  <w:vMerge w:val="continue"/>
                  <w:noWrap w:val="0"/>
                  <w:vAlign w:val="center"/>
                </w:tcPr>
                <w:p w14:paraId="6110421F">
                  <w:pPr>
                    <w:autoSpaceDE w:val="0"/>
                    <w:autoSpaceDN w:val="0"/>
                    <w:adjustRightInd w:val="0"/>
                    <w:snapToGrid w:val="0"/>
                    <w:jc w:val="center"/>
                    <w:rPr>
                      <w:rFonts w:hint="eastAsia"/>
                      <w:color w:val="auto"/>
                      <w:szCs w:val="21"/>
                    </w:rPr>
                  </w:pPr>
                </w:p>
              </w:tc>
              <w:tc>
                <w:tcPr>
                  <w:tcW w:w="3263" w:type="dxa"/>
                  <w:noWrap w:val="0"/>
                  <w:vAlign w:val="top"/>
                </w:tcPr>
                <w:p w14:paraId="268C553D">
                  <w:pPr>
                    <w:autoSpaceDE w:val="0"/>
                    <w:autoSpaceDN w:val="0"/>
                    <w:adjustRightInd w:val="0"/>
                    <w:snapToGrid w:val="0"/>
                    <w:ind w:firstLine="420" w:firstLineChars="200"/>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rPr>
                    <w:t>盛装VOCs物料的容器或包装袋应存放于室内，或存放于设置有雨棚、遮阳和防渗设施的专用场地。盛装VOCs物料的容器或包装袋在非取用状态时应加盖、封口，保持密闭。</w:t>
                  </w:r>
                </w:p>
              </w:tc>
              <w:tc>
                <w:tcPr>
                  <w:tcW w:w="2119" w:type="dxa"/>
                  <w:noWrap w:val="0"/>
                  <w:vAlign w:val="center"/>
                </w:tcPr>
                <w:p w14:paraId="229871CE">
                  <w:pPr>
                    <w:autoSpaceDE w:val="0"/>
                    <w:autoSpaceDN w:val="0"/>
                    <w:adjustRightInd w:val="0"/>
                    <w:snapToGrid w:val="0"/>
                    <w:rPr>
                      <w:rFonts w:hint="eastAsia" w:eastAsia="宋体"/>
                      <w:color w:val="auto"/>
                      <w:kern w:val="2"/>
                      <w:sz w:val="21"/>
                      <w:szCs w:val="21"/>
                      <w:lang w:val="en-US" w:eastAsia="zh-CN" w:bidi="ar-SA"/>
                    </w:rPr>
                  </w:pPr>
                  <w:r>
                    <w:rPr>
                      <w:color w:val="auto"/>
                      <w:szCs w:val="21"/>
                    </w:rPr>
                    <w:t>本项目</w:t>
                  </w:r>
                  <w:r>
                    <w:rPr>
                      <w:rFonts w:hint="eastAsia"/>
                      <w:color w:val="auto"/>
                      <w:szCs w:val="21"/>
                      <w:lang w:val="en-US" w:eastAsia="zh-CN"/>
                    </w:rPr>
                    <w:t>各主漆、稀释剂、固化剂、底色漆为桶装，</w:t>
                  </w:r>
                  <w:r>
                    <w:rPr>
                      <w:rFonts w:hint="eastAsia"/>
                      <w:color w:val="auto"/>
                      <w:szCs w:val="21"/>
                    </w:rPr>
                    <w:t>在非取用状态时应加盖、封口，保持密闭</w:t>
                  </w:r>
                  <w:r>
                    <w:rPr>
                      <w:rFonts w:hint="eastAsia"/>
                      <w:color w:val="auto"/>
                      <w:szCs w:val="21"/>
                      <w:lang w:eastAsia="zh-CN"/>
                    </w:rPr>
                    <w:t>。</w:t>
                  </w:r>
                </w:p>
              </w:tc>
              <w:tc>
                <w:tcPr>
                  <w:tcW w:w="433" w:type="dxa"/>
                  <w:noWrap w:val="0"/>
                  <w:vAlign w:val="center"/>
                </w:tcPr>
                <w:p w14:paraId="1B088905">
                  <w:pPr>
                    <w:autoSpaceDE w:val="0"/>
                    <w:autoSpaceDN w:val="0"/>
                    <w:adjustRightInd w:val="0"/>
                    <w:snapToGrid w:val="0"/>
                    <w:jc w:val="center"/>
                    <w:rPr>
                      <w:color w:val="auto"/>
                      <w:szCs w:val="21"/>
                    </w:rPr>
                  </w:pPr>
                  <w:r>
                    <w:rPr>
                      <w:rFonts w:hint="eastAsia"/>
                      <w:color w:val="auto"/>
                      <w:szCs w:val="21"/>
                    </w:rPr>
                    <w:t>符合</w:t>
                  </w:r>
                </w:p>
              </w:tc>
            </w:tr>
            <w:tr w14:paraId="576663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436" w:type="dxa"/>
                  <w:noWrap w:val="0"/>
                  <w:vAlign w:val="center"/>
                </w:tcPr>
                <w:p w14:paraId="291A1E2F">
                  <w:pPr>
                    <w:autoSpaceDE w:val="0"/>
                    <w:autoSpaceDN w:val="0"/>
                    <w:adjustRightInd w:val="0"/>
                    <w:snapToGrid w:val="0"/>
                    <w:jc w:val="center"/>
                    <w:rPr>
                      <w:rFonts w:hint="eastAsia"/>
                      <w:color w:val="auto"/>
                      <w:szCs w:val="21"/>
                      <w:lang w:val="en-US" w:eastAsia="zh-CN"/>
                    </w:rPr>
                  </w:pPr>
                  <w:r>
                    <w:rPr>
                      <w:rFonts w:ascii="Times New Roman" w:hAnsi="Times New Roman" w:cs="Times New Roman"/>
                      <w:color w:val="auto"/>
                      <w:szCs w:val="21"/>
                    </w:rPr>
                    <w:t>《低挥发性有机化合物含量涂料产品技术要求》（GB/T38597-2020）</w:t>
                  </w:r>
                </w:p>
              </w:tc>
              <w:tc>
                <w:tcPr>
                  <w:tcW w:w="3263" w:type="dxa"/>
                  <w:noWrap w:val="0"/>
                  <w:vAlign w:val="center"/>
                </w:tcPr>
                <w:p w14:paraId="3BB2EE09">
                  <w:pPr>
                    <w:autoSpaceDE w:val="0"/>
                    <w:autoSpaceDN w:val="0"/>
                    <w:adjustRightInd w:val="0"/>
                    <w:snapToGrid w:val="0"/>
                    <w:ind w:firstLine="420" w:firstLineChars="200"/>
                    <w:rPr>
                      <w:rFonts w:hint="eastAsia" w:eastAsia="宋体"/>
                      <w:color w:val="auto"/>
                      <w:szCs w:val="21"/>
                      <w:lang w:val="en-US" w:eastAsia="zh-CN"/>
                    </w:rPr>
                  </w:pPr>
                  <w:r>
                    <w:rPr>
                      <w:rFonts w:ascii="Times New Roman" w:hAnsi="Times New Roman" w:cs="Times New Roman"/>
                      <w:color w:val="auto"/>
                    </w:rPr>
                    <w:t>溶剂型涂料中VOC的限量应符合</w:t>
                  </w:r>
                  <w:r>
                    <w:rPr>
                      <w:rFonts w:hint="eastAsia"/>
                      <w:color w:val="auto"/>
                      <w:sz w:val="21"/>
                      <w:szCs w:val="21"/>
                      <w:highlight w:val="none"/>
                    </w:rPr>
                    <w:t>表2中</w:t>
                  </w:r>
                  <w:r>
                    <w:rPr>
                      <w:rFonts w:hint="eastAsia"/>
                      <w:color w:val="auto"/>
                      <w:sz w:val="21"/>
                      <w:szCs w:val="21"/>
                      <w:highlight w:val="none"/>
                      <w:lang w:eastAsia="zh-CN"/>
                    </w:rPr>
                    <w:t>“</w:t>
                  </w:r>
                  <w:r>
                    <w:rPr>
                      <w:rFonts w:hint="eastAsia"/>
                      <w:color w:val="auto"/>
                      <w:sz w:val="21"/>
                      <w:szCs w:val="21"/>
                      <w:highlight w:val="none"/>
                      <w:lang w:val="en-US" w:eastAsia="zh-CN"/>
                    </w:rPr>
                    <w:t>车辆涂料-汽车修补用涂料-中涂的</w:t>
                  </w:r>
                  <w:r>
                    <w:rPr>
                      <w:rFonts w:hint="eastAsia"/>
                      <w:color w:val="auto"/>
                      <w:sz w:val="21"/>
                      <w:szCs w:val="21"/>
                      <w:highlight w:val="none"/>
                    </w:rPr>
                    <w:t>限值≤</w:t>
                  </w:r>
                  <w:r>
                    <w:rPr>
                      <w:rFonts w:hint="eastAsia"/>
                      <w:color w:val="auto"/>
                      <w:sz w:val="21"/>
                      <w:szCs w:val="21"/>
                      <w:highlight w:val="none"/>
                      <w:lang w:val="en-US" w:eastAsia="zh-CN"/>
                    </w:rPr>
                    <w:t>540</w:t>
                  </w:r>
                  <w:r>
                    <w:rPr>
                      <w:rFonts w:hint="eastAsia"/>
                      <w:color w:val="auto"/>
                      <w:sz w:val="21"/>
                      <w:szCs w:val="21"/>
                      <w:highlight w:val="none"/>
                    </w:rPr>
                    <w:t>g/L”</w:t>
                  </w:r>
                  <w:r>
                    <w:rPr>
                      <w:rFonts w:hint="eastAsia"/>
                      <w:color w:val="auto"/>
                      <w:sz w:val="21"/>
                      <w:szCs w:val="21"/>
                      <w:highlight w:val="none"/>
                      <w:lang w:val="en-US" w:eastAsia="zh-CN"/>
                    </w:rPr>
                    <w:t>及</w:t>
                  </w:r>
                  <w:r>
                    <w:rPr>
                      <w:rFonts w:hint="eastAsia"/>
                      <w:color w:val="auto"/>
                      <w:sz w:val="21"/>
                      <w:szCs w:val="21"/>
                      <w:highlight w:val="none"/>
                    </w:rPr>
                    <w:t>表2中</w:t>
                  </w:r>
                  <w:r>
                    <w:rPr>
                      <w:rFonts w:hint="eastAsia"/>
                      <w:color w:val="auto"/>
                      <w:sz w:val="21"/>
                      <w:szCs w:val="21"/>
                      <w:highlight w:val="none"/>
                      <w:lang w:eastAsia="zh-CN"/>
                    </w:rPr>
                    <w:t>“</w:t>
                  </w:r>
                  <w:r>
                    <w:rPr>
                      <w:rFonts w:hint="eastAsia"/>
                      <w:color w:val="auto"/>
                      <w:sz w:val="21"/>
                      <w:szCs w:val="21"/>
                      <w:highlight w:val="none"/>
                      <w:lang w:val="en-US" w:eastAsia="zh-CN"/>
                    </w:rPr>
                    <w:t>车辆涂料-汽车修补用涂料-清漆的</w:t>
                  </w:r>
                  <w:r>
                    <w:rPr>
                      <w:rFonts w:hint="eastAsia"/>
                      <w:color w:val="auto"/>
                      <w:sz w:val="21"/>
                      <w:szCs w:val="21"/>
                      <w:highlight w:val="none"/>
                    </w:rPr>
                    <w:t>限值≤</w:t>
                  </w:r>
                  <w:r>
                    <w:rPr>
                      <w:rFonts w:hint="eastAsia"/>
                      <w:color w:val="auto"/>
                      <w:sz w:val="21"/>
                      <w:szCs w:val="21"/>
                      <w:highlight w:val="none"/>
                      <w:lang w:val="en-US" w:eastAsia="zh-CN"/>
                    </w:rPr>
                    <w:t>420</w:t>
                  </w:r>
                  <w:r>
                    <w:rPr>
                      <w:rFonts w:hint="eastAsia"/>
                      <w:color w:val="auto"/>
                      <w:sz w:val="21"/>
                      <w:szCs w:val="21"/>
                      <w:highlight w:val="none"/>
                    </w:rPr>
                    <w:t>g/L”</w:t>
                  </w:r>
                  <w:r>
                    <w:rPr>
                      <w:rFonts w:hint="eastAsia"/>
                      <w:color w:val="auto"/>
                      <w:sz w:val="21"/>
                      <w:szCs w:val="21"/>
                      <w:highlight w:val="none"/>
                      <w:lang w:eastAsia="zh-CN"/>
                    </w:rPr>
                    <w:t>；</w:t>
                  </w:r>
                  <w:r>
                    <w:rPr>
                      <w:rFonts w:hint="eastAsia" w:ascii="Times New Roman" w:hAnsi="Times New Roman" w:cs="Times New Roman"/>
                      <w:color w:val="auto"/>
                      <w:lang w:val="en-US" w:eastAsia="zh-CN"/>
                    </w:rPr>
                    <w:t>水性</w:t>
                  </w:r>
                  <w:r>
                    <w:rPr>
                      <w:rFonts w:ascii="Times New Roman" w:hAnsi="Times New Roman" w:cs="Times New Roman"/>
                      <w:color w:val="auto"/>
                    </w:rPr>
                    <w:t>涂料中VOC的限量应符合</w:t>
                  </w:r>
                  <w:r>
                    <w:rPr>
                      <w:rFonts w:hint="eastAsia"/>
                      <w:color w:val="auto"/>
                      <w:sz w:val="21"/>
                      <w:szCs w:val="21"/>
                      <w:highlight w:val="none"/>
                    </w:rPr>
                    <w:t>表</w:t>
                  </w:r>
                  <w:r>
                    <w:rPr>
                      <w:rFonts w:hint="eastAsia"/>
                      <w:color w:val="auto"/>
                      <w:sz w:val="21"/>
                      <w:szCs w:val="21"/>
                      <w:highlight w:val="none"/>
                      <w:lang w:val="en-US" w:eastAsia="zh-CN"/>
                    </w:rPr>
                    <w:t>1</w:t>
                  </w:r>
                  <w:r>
                    <w:rPr>
                      <w:rFonts w:hint="eastAsia"/>
                      <w:color w:val="auto"/>
                      <w:sz w:val="21"/>
                      <w:szCs w:val="21"/>
                      <w:highlight w:val="none"/>
                    </w:rPr>
                    <w:t>中</w:t>
                  </w:r>
                  <w:r>
                    <w:rPr>
                      <w:rFonts w:hint="eastAsia"/>
                      <w:color w:val="auto"/>
                      <w:sz w:val="21"/>
                      <w:szCs w:val="21"/>
                      <w:highlight w:val="none"/>
                      <w:lang w:eastAsia="zh-CN"/>
                    </w:rPr>
                    <w:t>“</w:t>
                  </w:r>
                  <w:r>
                    <w:rPr>
                      <w:rFonts w:hint="eastAsia"/>
                      <w:color w:val="auto"/>
                      <w:sz w:val="21"/>
                      <w:szCs w:val="21"/>
                      <w:highlight w:val="none"/>
                      <w:lang w:val="en-US" w:eastAsia="zh-CN"/>
                    </w:rPr>
                    <w:t>车辆涂料-汽车修补用涂料-底色漆的</w:t>
                  </w:r>
                  <w:r>
                    <w:rPr>
                      <w:rFonts w:hint="eastAsia"/>
                      <w:color w:val="auto"/>
                      <w:sz w:val="21"/>
                      <w:szCs w:val="21"/>
                      <w:highlight w:val="none"/>
                    </w:rPr>
                    <w:t>限值≤</w:t>
                  </w:r>
                  <w:r>
                    <w:rPr>
                      <w:rFonts w:hint="eastAsia"/>
                      <w:color w:val="auto"/>
                      <w:sz w:val="21"/>
                      <w:szCs w:val="21"/>
                      <w:highlight w:val="none"/>
                      <w:lang w:val="en-US" w:eastAsia="zh-CN"/>
                    </w:rPr>
                    <w:t>380</w:t>
                  </w:r>
                  <w:r>
                    <w:rPr>
                      <w:rFonts w:hint="eastAsia"/>
                      <w:color w:val="auto"/>
                      <w:sz w:val="21"/>
                      <w:szCs w:val="21"/>
                      <w:highlight w:val="none"/>
                    </w:rPr>
                    <w:t>g/L”</w:t>
                  </w:r>
                  <w:r>
                    <w:rPr>
                      <w:rFonts w:hint="eastAsia"/>
                      <w:color w:val="auto"/>
                      <w:sz w:val="21"/>
                      <w:szCs w:val="21"/>
                      <w:highlight w:val="none"/>
                      <w:lang w:eastAsia="zh-CN"/>
                    </w:rPr>
                    <w:t>。</w:t>
                  </w:r>
                </w:p>
              </w:tc>
              <w:tc>
                <w:tcPr>
                  <w:tcW w:w="2119" w:type="dxa"/>
                  <w:noWrap w:val="0"/>
                  <w:vAlign w:val="center"/>
                </w:tcPr>
                <w:p w14:paraId="44E1016F">
                  <w:pPr>
                    <w:autoSpaceDE w:val="0"/>
                    <w:autoSpaceDN w:val="0"/>
                    <w:adjustRightInd w:val="0"/>
                    <w:snapToGrid w:val="0"/>
                    <w:rPr>
                      <w:rFonts w:hint="eastAsia" w:eastAsia="宋体"/>
                      <w:color w:val="auto"/>
                      <w:kern w:val="0"/>
                      <w:szCs w:val="21"/>
                      <w:lang w:val="en-US" w:eastAsia="zh-CN"/>
                    </w:rPr>
                  </w:pPr>
                  <w:r>
                    <w:rPr>
                      <w:rFonts w:hint="eastAsia" w:cs="Times New Roman"/>
                      <w:color w:val="auto"/>
                      <w:lang w:val="en-US" w:eastAsia="zh-CN"/>
                    </w:rPr>
                    <w:t>项目</w:t>
                  </w:r>
                  <w:r>
                    <w:rPr>
                      <w:rFonts w:ascii="Times New Roman" w:hAnsi="Times New Roman" w:cs="Times New Roman"/>
                      <w:color w:val="auto"/>
                    </w:rPr>
                    <w:t>涉及的VOCs物料主要为</w:t>
                  </w:r>
                  <w:r>
                    <w:rPr>
                      <w:rFonts w:hint="eastAsia" w:cs="Times New Roman"/>
                      <w:color w:val="auto"/>
                      <w:lang w:val="en-US" w:eastAsia="zh-CN"/>
                    </w:rPr>
                    <w:t>溶剂型</w:t>
                  </w:r>
                  <w:r>
                    <w:rPr>
                      <w:rFonts w:hint="eastAsia" w:ascii="Times New Roman" w:hAnsi="Times New Roman" w:cs="Times New Roman"/>
                      <w:color w:val="auto"/>
                      <w:lang w:val="en-US" w:eastAsia="zh-CN"/>
                    </w:rPr>
                    <w:t>中涂漆、清漆和水性底色漆，</w:t>
                  </w:r>
                  <w:r>
                    <w:rPr>
                      <w:rFonts w:hint="eastAsia" w:cs="Times New Roman"/>
                      <w:color w:val="auto"/>
                      <w:lang w:val="en-US" w:eastAsia="zh-CN"/>
                    </w:rPr>
                    <w:t>溶剂型</w:t>
                  </w:r>
                  <w:r>
                    <w:rPr>
                      <w:rFonts w:hint="eastAsia"/>
                      <w:color w:val="auto"/>
                      <w:kern w:val="0"/>
                      <w:szCs w:val="21"/>
                      <w:lang w:val="en-US" w:eastAsia="zh-CN"/>
                    </w:rPr>
                    <w:t>中涂漆VOC含量为508g/L，</w:t>
                  </w:r>
                  <w:r>
                    <w:rPr>
                      <w:rFonts w:hint="eastAsia" w:cs="Times New Roman"/>
                      <w:color w:val="auto"/>
                      <w:lang w:val="en-US" w:eastAsia="zh-CN"/>
                    </w:rPr>
                    <w:t>溶剂型</w:t>
                  </w:r>
                  <w:r>
                    <w:rPr>
                      <w:rFonts w:hint="eastAsia"/>
                      <w:color w:val="auto"/>
                      <w:kern w:val="0"/>
                      <w:szCs w:val="21"/>
                      <w:lang w:val="en-US" w:eastAsia="zh-CN"/>
                    </w:rPr>
                    <w:t>清漆</w:t>
                  </w:r>
                  <w:r>
                    <w:rPr>
                      <w:rFonts w:hint="eastAsia"/>
                      <w:color w:val="auto"/>
                      <w:sz w:val="21"/>
                      <w:szCs w:val="21"/>
                      <w:highlight w:val="none"/>
                    </w:rPr>
                    <w:t>VOC含量为</w:t>
                  </w:r>
                  <w:r>
                    <w:rPr>
                      <w:rFonts w:hint="eastAsia"/>
                      <w:color w:val="auto"/>
                      <w:sz w:val="21"/>
                      <w:szCs w:val="21"/>
                      <w:highlight w:val="none"/>
                      <w:lang w:val="en-US" w:eastAsia="zh-CN"/>
                    </w:rPr>
                    <w:t>412</w:t>
                  </w:r>
                  <w:r>
                    <w:rPr>
                      <w:rFonts w:hint="eastAsia"/>
                      <w:color w:val="auto"/>
                      <w:sz w:val="21"/>
                      <w:szCs w:val="21"/>
                      <w:highlight w:val="none"/>
                    </w:rPr>
                    <w:t>g/L</w:t>
                  </w:r>
                  <w:r>
                    <w:rPr>
                      <w:rFonts w:hint="eastAsia"/>
                      <w:color w:val="auto"/>
                      <w:sz w:val="21"/>
                      <w:szCs w:val="21"/>
                      <w:highlight w:val="none"/>
                      <w:lang w:eastAsia="zh-CN"/>
                    </w:rPr>
                    <w:t>，</w:t>
                  </w:r>
                  <w:r>
                    <w:rPr>
                      <w:rFonts w:hint="eastAsia"/>
                      <w:color w:val="auto"/>
                      <w:sz w:val="21"/>
                      <w:szCs w:val="21"/>
                      <w:highlight w:val="none"/>
                      <w:lang w:val="en-US" w:eastAsia="zh-CN"/>
                    </w:rPr>
                    <w:t>水性底色漆</w:t>
                  </w:r>
                  <w:r>
                    <w:rPr>
                      <w:rFonts w:hint="eastAsia"/>
                      <w:color w:val="auto"/>
                      <w:sz w:val="21"/>
                      <w:szCs w:val="21"/>
                      <w:highlight w:val="none"/>
                    </w:rPr>
                    <w:t>VOC含量为</w:t>
                  </w:r>
                  <w:r>
                    <w:rPr>
                      <w:rFonts w:hint="eastAsia"/>
                      <w:color w:val="auto"/>
                      <w:sz w:val="21"/>
                      <w:szCs w:val="21"/>
                      <w:highlight w:val="none"/>
                      <w:lang w:val="en-US" w:eastAsia="zh-CN"/>
                    </w:rPr>
                    <w:t>294</w:t>
                  </w:r>
                  <w:r>
                    <w:rPr>
                      <w:rFonts w:hint="eastAsia"/>
                      <w:color w:val="auto"/>
                      <w:sz w:val="21"/>
                      <w:szCs w:val="21"/>
                      <w:highlight w:val="none"/>
                    </w:rPr>
                    <w:t>g/L</w:t>
                  </w:r>
                  <w:r>
                    <w:rPr>
                      <w:rFonts w:hint="eastAsia"/>
                      <w:color w:val="auto"/>
                      <w:sz w:val="21"/>
                      <w:szCs w:val="21"/>
                      <w:highlight w:val="none"/>
                      <w:lang w:eastAsia="zh-CN"/>
                    </w:rPr>
                    <w:t>。</w:t>
                  </w:r>
                </w:p>
              </w:tc>
              <w:tc>
                <w:tcPr>
                  <w:tcW w:w="433" w:type="dxa"/>
                  <w:noWrap w:val="0"/>
                  <w:vAlign w:val="center"/>
                </w:tcPr>
                <w:p w14:paraId="07354F4A">
                  <w:pPr>
                    <w:autoSpaceDE w:val="0"/>
                    <w:autoSpaceDN w:val="0"/>
                    <w:adjustRightInd w:val="0"/>
                    <w:snapToGrid w:val="0"/>
                    <w:jc w:val="center"/>
                    <w:rPr>
                      <w:rFonts w:hint="default"/>
                      <w:color w:val="auto"/>
                      <w:szCs w:val="21"/>
                      <w:lang w:val="en-US" w:eastAsia="zh-CN"/>
                    </w:rPr>
                  </w:pPr>
                  <w:r>
                    <w:rPr>
                      <w:rFonts w:hint="eastAsia"/>
                      <w:color w:val="auto"/>
                      <w:szCs w:val="21"/>
                      <w:lang w:val="en-US" w:eastAsia="zh-CN"/>
                    </w:rPr>
                    <w:t>符合</w:t>
                  </w:r>
                </w:p>
              </w:tc>
            </w:tr>
            <w:tr w14:paraId="60611B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436" w:type="dxa"/>
                  <w:vMerge w:val="restart"/>
                  <w:noWrap w:val="0"/>
                  <w:vAlign w:val="center"/>
                </w:tcPr>
                <w:p w14:paraId="34352A83">
                  <w:pPr>
                    <w:autoSpaceDE w:val="0"/>
                    <w:autoSpaceDN w:val="0"/>
                    <w:adjustRightInd w:val="0"/>
                    <w:snapToGrid w:val="0"/>
                    <w:jc w:val="center"/>
                    <w:rPr>
                      <w:rFonts w:hint="eastAsia"/>
                      <w:color w:val="auto"/>
                      <w:kern w:val="2"/>
                      <w:sz w:val="21"/>
                      <w:szCs w:val="21"/>
                      <w:lang w:val="en-US" w:eastAsia="zh-CN" w:bidi="ar-SA"/>
                    </w:rPr>
                  </w:pPr>
                  <w:r>
                    <w:rPr>
                      <w:rFonts w:hint="eastAsia"/>
                      <w:color w:val="auto"/>
                      <w:szCs w:val="21"/>
                      <w:lang w:val="en-US" w:eastAsia="zh-CN"/>
                    </w:rPr>
                    <w:t>关于印发《西安市挥发性有机物污染整治专项实施方案》的通知</w:t>
                  </w:r>
                </w:p>
              </w:tc>
              <w:tc>
                <w:tcPr>
                  <w:tcW w:w="3263" w:type="dxa"/>
                  <w:noWrap w:val="0"/>
                  <w:vAlign w:val="center"/>
                </w:tcPr>
                <w:p w14:paraId="2E710A49">
                  <w:pPr>
                    <w:autoSpaceDE w:val="0"/>
                    <w:autoSpaceDN w:val="0"/>
                    <w:adjustRightInd w:val="0"/>
                    <w:snapToGrid w:val="0"/>
                    <w:ind w:firstLine="420" w:firstLineChars="200"/>
                    <w:rPr>
                      <w:rFonts w:hint="eastAsia" w:ascii="Times New Roman" w:hAnsi="Times New Roman" w:eastAsia="宋体" w:cs="Times New Roman"/>
                      <w:color w:val="auto"/>
                      <w:kern w:val="2"/>
                      <w:sz w:val="21"/>
                      <w:szCs w:val="21"/>
                      <w:lang w:val="en-US" w:eastAsia="zh-CN" w:bidi="ar-SA"/>
                    </w:rPr>
                  </w:pPr>
                  <w:r>
                    <w:rPr>
                      <w:rFonts w:hint="eastAsia"/>
                      <w:color w:val="auto"/>
                      <w:szCs w:val="21"/>
                    </w:rPr>
                    <w:t>低效治理</w:t>
                  </w:r>
                  <w:r>
                    <w:rPr>
                      <w:rFonts w:hint="eastAsia"/>
                      <w:color w:val="auto"/>
                      <w:szCs w:val="21"/>
                      <w:lang w:eastAsia="zh-CN"/>
                    </w:rPr>
                    <w:t>设施</w:t>
                  </w:r>
                  <w:r>
                    <w:rPr>
                      <w:rFonts w:hint="eastAsia"/>
                      <w:color w:val="auto"/>
                      <w:szCs w:val="21"/>
                    </w:rPr>
                    <w:t>升级改造行动。组织开展企业VOCs治理设施排</w:t>
                  </w:r>
                  <w:r>
                    <w:rPr>
                      <w:rFonts w:hint="eastAsia"/>
                      <w:color w:val="auto"/>
                      <w:szCs w:val="21"/>
                      <w:lang w:eastAsia="zh-CN"/>
                    </w:rPr>
                    <w:t>查</w:t>
                  </w:r>
                  <w:r>
                    <w:rPr>
                      <w:rFonts w:hint="eastAsia"/>
                      <w:color w:val="auto"/>
                      <w:szCs w:val="21"/>
                    </w:rPr>
                    <w:t>，对涉及使用低温等离子、光氧化、光催化技术的废气治理设施，</w:t>
                  </w:r>
                  <w:r>
                    <w:rPr>
                      <w:rFonts w:hint="eastAsia"/>
                      <w:color w:val="auto"/>
                      <w:szCs w:val="21"/>
                      <w:lang w:val="en-US" w:eastAsia="zh-CN"/>
                    </w:rPr>
                    <w:t>非水溶</w:t>
                  </w:r>
                  <w:r>
                    <w:rPr>
                      <w:rFonts w:hint="eastAsia"/>
                      <w:color w:val="auto"/>
                      <w:szCs w:val="21"/>
                    </w:rPr>
                    <w:t>性VOC</w:t>
                  </w:r>
                  <w:r>
                    <w:rPr>
                      <w:rFonts w:hint="eastAsia"/>
                      <w:color w:val="auto"/>
                      <w:szCs w:val="21"/>
                      <w:lang w:val="en-US" w:eastAsia="zh-CN"/>
                    </w:rPr>
                    <w:t>s</w:t>
                  </w:r>
                  <w:r>
                    <w:rPr>
                      <w:rFonts w:hint="eastAsia"/>
                      <w:color w:val="auto"/>
                      <w:szCs w:val="21"/>
                    </w:rPr>
                    <w:t>废气采用单一</w:t>
                  </w:r>
                  <w:r>
                    <w:rPr>
                      <w:rFonts w:hint="eastAsia"/>
                      <w:color w:val="auto"/>
                      <w:szCs w:val="21"/>
                      <w:lang w:val="en-US" w:eastAsia="zh-CN"/>
                    </w:rPr>
                    <w:t>喷</w:t>
                  </w:r>
                  <w:r>
                    <w:rPr>
                      <w:rFonts w:hint="eastAsia"/>
                      <w:color w:val="auto"/>
                      <w:szCs w:val="21"/>
                    </w:rPr>
                    <w:t>淋吸收等治理技术，以及有机化工生产企业使用简易低效污染治理设施的，逐一进行</w:t>
                  </w:r>
                  <w:r>
                    <w:rPr>
                      <w:rFonts w:hint="eastAsia"/>
                      <w:color w:val="auto"/>
                      <w:szCs w:val="21"/>
                      <w:lang w:val="en-US" w:eastAsia="zh-CN"/>
                    </w:rPr>
                    <w:t>排查</w:t>
                  </w:r>
                  <w:r>
                    <w:rPr>
                      <w:rFonts w:hint="eastAsia"/>
                      <w:color w:val="auto"/>
                      <w:szCs w:val="21"/>
                    </w:rPr>
                    <w:t>，2023年6月底前基本</w:t>
                  </w:r>
                  <w:r>
                    <w:rPr>
                      <w:rFonts w:hint="eastAsia"/>
                      <w:color w:val="auto"/>
                      <w:szCs w:val="21"/>
                      <w:lang w:val="en-US" w:eastAsia="zh-CN"/>
                    </w:rPr>
                    <w:t>完</w:t>
                  </w:r>
                  <w:r>
                    <w:rPr>
                      <w:rFonts w:hint="eastAsia"/>
                      <w:color w:val="auto"/>
                      <w:szCs w:val="21"/>
                    </w:rPr>
                    <w:t>成VOC</w:t>
                  </w:r>
                  <w:r>
                    <w:rPr>
                      <w:rFonts w:hint="eastAsia"/>
                      <w:color w:val="auto"/>
                      <w:szCs w:val="21"/>
                      <w:lang w:val="en-US" w:eastAsia="zh-CN"/>
                    </w:rPr>
                    <w:t>s</w:t>
                  </w:r>
                  <w:r>
                    <w:rPr>
                      <w:rFonts w:hint="eastAsia"/>
                      <w:color w:val="auto"/>
                      <w:szCs w:val="21"/>
                    </w:rPr>
                    <w:t>治理低效设施升级改造</w:t>
                  </w:r>
                  <w:r>
                    <w:rPr>
                      <w:rFonts w:hint="eastAsia"/>
                      <w:color w:val="auto"/>
                      <w:szCs w:val="21"/>
                      <w:lang w:eastAsia="zh-CN"/>
                    </w:rPr>
                    <w:t>。</w:t>
                  </w:r>
                </w:p>
              </w:tc>
              <w:tc>
                <w:tcPr>
                  <w:tcW w:w="2119" w:type="dxa"/>
                  <w:noWrap w:val="0"/>
                  <w:vAlign w:val="center"/>
                </w:tcPr>
                <w:p w14:paraId="32E4B2EC">
                  <w:pPr>
                    <w:autoSpaceDE w:val="0"/>
                    <w:autoSpaceDN w:val="0"/>
                    <w:adjustRightInd w:val="0"/>
                    <w:snapToGrid w:val="0"/>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本项目有机废气采用“</w:t>
                  </w:r>
                  <w:r>
                    <w:rPr>
                      <w:rFonts w:hint="eastAsia" w:cs="Times New Roman"/>
                      <w:color w:val="auto"/>
                      <w:szCs w:val="21"/>
                      <w:lang w:eastAsia="zh-CN"/>
                    </w:rPr>
                    <w:t>过滤棉+二级活性炭吸附</w:t>
                  </w:r>
                  <w:r>
                    <w:rPr>
                      <w:rFonts w:hint="eastAsia"/>
                      <w:color w:val="auto"/>
                      <w:kern w:val="0"/>
                      <w:szCs w:val="21"/>
                      <w:lang w:val="en-US" w:eastAsia="zh-CN"/>
                    </w:rPr>
                    <w:t>”工艺，不属于低效处理工艺。</w:t>
                  </w:r>
                </w:p>
              </w:tc>
              <w:tc>
                <w:tcPr>
                  <w:tcW w:w="433" w:type="dxa"/>
                  <w:noWrap w:val="0"/>
                  <w:vAlign w:val="center"/>
                </w:tcPr>
                <w:p w14:paraId="04C37D09">
                  <w:pPr>
                    <w:autoSpaceDE w:val="0"/>
                    <w:autoSpaceDN w:val="0"/>
                    <w:adjustRightInd w:val="0"/>
                    <w:snapToGrid w:val="0"/>
                    <w:jc w:val="center"/>
                    <w:rPr>
                      <w:rFonts w:hint="eastAsia"/>
                      <w:color w:val="auto"/>
                      <w:kern w:val="2"/>
                      <w:sz w:val="21"/>
                      <w:szCs w:val="21"/>
                      <w:lang w:val="en-US" w:eastAsia="zh-CN" w:bidi="ar-SA"/>
                    </w:rPr>
                  </w:pPr>
                  <w:r>
                    <w:rPr>
                      <w:rFonts w:hint="eastAsia"/>
                      <w:color w:val="auto"/>
                      <w:szCs w:val="21"/>
                      <w:lang w:val="en-US" w:eastAsia="zh-CN"/>
                    </w:rPr>
                    <w:t>符合</w:t>
                  </w:r>
                </w:p>
              </w:tc>
            </w:tr>
            <w:tr w14:paraId="1A4449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436" w:type="dxa"/>
                  <w:vMerge w:val="continue"/>
                  <w:noWrap w:val="0"/>
                  <w:vAlign w:val="center"/>
                </w:tcPr>
                <w:p w14:paraId="4B23C68A">
                  <w:pPr>
                    <w:autoSpaceDE w:val="0"/>
                    <w:autoSpaceDN w:val="0"/>
                    <w:adjustRightInd w:val="0"/>
                    <w:snapToGrid w:val="0"/>
                    <w:jc w:val="center"/>
                    <w:rPr>
                      <w:rFonts w:hint="eastAsia"/>
                      <w:color w:val="auto"/>
                      <w:szCs w:val="21"/>
                    </w:rPr>
                  </w:pPr>
                </w:p>
              </w:tc>
              <w:tc>
                <w:tcPr>
                  <w:tcW w:w="3263" w:type="dxa"/>
                  <w:noWrap w:val="0"/>
                  <w:vAlign w:val="center"/>
                </w:tcPr>
                <w:p w14:paraId="40F522BF">
                  <w:pPr>
                    <w:autoSpaceDE w:val="0"/>
                    <w:autoSpaceDN w:val="0"/>
                    <w:adjustRightInd w:val="0"/>
                    <w:snapToGrid w:val="0"/>
                    <w:ind w:firstLine="420" w:firstLineChars="200"/>
                    <w:rPr>
                      <w:rFonts w:hint="eastAsia" w:ascii="Times New Roman" w:hAnsi="Times New Roman" w:eastAsia="宋体" w:cs="Times New Roman"/>
                      <w:color w:val="auto"/>
                      <w:kern w:val="2"/>
                      <w:sz w:val="21"/>
                      <w:szCs w:val="21"/>
                      <w:lang w:val="en-US" w:eastAsia="zh-CN" w:bidi="ar-SA"/>
                    </w:rPr>
                  </w:pPr>
                  <w:r>
                    <w:rPr>
                      <w:rFonts w:hint="eastAsia"/>
                      <w:color w:val="auto"/>
                      <w:szCs w:val="21"/>
                    </w:rPr>
                    <w:t>强化涉活性炭VOC</w:t>
                  </w:r>
                  <w:r>
                    <w:rPr>
                      <w:rFonts w:hint="eastAsia"/>
                      <w:color w:val="auto"/>
                      <w:szCs w:val="21"/>
                      <w:lang w:val="en-US" w:eastAsia="zh-CN"/>
                    </w:rPr>
                    <w:t>s</w:t>
                  </w:r>
                  <w:r>
                    <w:rPr>
                      <w:rFonts w:hint="eastAsia"/>
                      <w:color w:val="auto"/>
                      <w:szCs w:val="21"/>
                    </w:rPr>
                    <w:t>处理工艺治理。采用活性</w:t>
                  </w:r>
                  <w:r>
                    <w:rPr>
                      <w:rFonts w:hint="eastAsia"/>
                      <w:color w:val="auto"/>
                      <w:szCs w:val="21"/>
                      <w:lang w:val="en-US" w:eastAsia="zh-CN"/>
                    </w:rPr>
                    <w:t>炭</w:t>
                  </w:r>
                  <w:r>
                    <w:rPr>
                      <w:rFonts w:hint="eastAsia"/>
                      <w:color w:val="auto"/>
                      <w:szCs w:val="21"/>
                    </w:rPr>
                    <w:t>吸附技术的，其中</w:t>
                  </w:r>
                  <w:r>
                    <w:rPr>
                      <w:rFonts w:hint="eastAsia"/>
                      <w:color w:val="auto"/>
                      <w:szCs w:val="21"/>
                      <w:lang w:val="en-US" w:eastAsia="zh-CN"/>
                    </w:rPr>
                    <w:t>颗粒碳</w:t>
                  </w:r>
                  <w:r>
                    <w:rPr>
                      <w:rFonts w:hint="eastAsia"/>
                      <w:color w:val="auto"/>
                      <w:szCs w:val="21"/>
                    </w:rPr>
                    <w:t>碘吸附值不低于800mg</w:t>
                  </w:r>
                  <w:r>
                    <w:rPr>
                      <w:rFonts w:hint="eastAsia"/>
                      <w:color w:val="auto"/>
                      <w:szCs w:val="21"/>
                      <w:lang w:val="en-US" w:eastAsia="zh-CN"/>
                    </w:rPr>
                    <w:t>/</w:t>
                  </w:r>
                  <w:r>
                    <w:rPr>
                      <w:rFonts w:hint="eastAsia"/>
                      <w:color w:val="auto"/>
                      <w:szCs w:val="21"/>
                    </w:rPr>
                    <w:t>g或</w:t>
                  </w:r>
                  <w:r>
                    <w:rPr>
                      <w:rFonts w:hint="eastAsia"/>
                      <w:color w:val="auto"/>
                      <w:szCs w:val="21"/>
                      <w:lang w:val="en-US" w:eastAsia="zh-CN"/>
                    </w:rPr>
                    <w:t>四氯化碳吸附</w:t>
                  </w:r>
                  <w:r>
                    <w:rPr>
                      <w:rFonts w:hint="eastAsia"/>
                      <w:color w:val="auto"/>
                      <w:szCs w:val="21"/>
                    </w:rPr>
                    <w:t>率不低于60%，</w:t>
                  </w:r>
                  <w:r>
                    <w:rPr>
                      <w:rFonts w:hint="eastAsia"/>
                      <w:color w:val="auto"/>
                      <w:szCs w:val="21"/>
                      <w:lang w:val="en-US" w:eastAsia="zh-CN"/>
                    </w:rPr>
                    <w:t>蜂窝</w:t>
                  </w:r>
                  <w:r>
                    <w:rPr>
                      <w:rFonts w:hint="eastAsia"/>
                      <w:color w:val="auto"/>
                      <w:szCs w:val="21"/>
                    </w:rPr>
                    <w:t>活性炭碘吸附值不低于600m</w:t>
                  </w:r>
                  <w:r>
                    <w:rPr>
                      <w:rFonts w:hint="eastAsia"/>
                      <w:color w:val="auto"/>
                      <w:szCs w:val="21"/>
                      <w:lang w:val="en-US" w:eastAsia="zh-CN"/>
                    </w:rPr>
                    <w:t>g/g</w:t>
                  </w:r>
                  <w:r>
                    <w:rPr>
                      <w:rFonts w:hint="eastAsia"/>
                      <w:color w:val="auto"/>
                      <w:szCs w:val="21"/>
                    </w:rPr>
                    <w:t>或</w:t>
                  </w:r>
                  <w:r>
                    <w:rPr>
                      <w:rFonts w:hint="eastAsia"/>
                      <w:color w:val="auto"/>
                      <w:szCs w:val="21"/>
                      <w:lang w:val="en-US" w:eastAsia="zh-CN"/>
                    </w:rPr>
                    <w:t>四氯化碳</w:t>
                  </w:r>
                  <w:r>
                    <w:rPr>
                      <w:rFonts w:hint="eastAsia"/>
                      <w:color w:val="auto"/>
                      <w:szCs w:val="21"/>
                    </w:rPr>
                    <w:t>吸附</w:t>
                  </w:r>
                  <w:r>
                    <w:rPr>
                      <w:rFonts w:hint="eastAsia"/>
                      <w:color w:val="auto"/>
                      <w:szCs w:val="21"/>
                      <w:lang w:val="en-US" w:eastAsia="zh-CN"/>
                    </w:rPr>
                    <w:t>率</w:t>
                  </w:r>
                  <w:r>
                    <w:rPr>
                      <w:rFonts w:hint="eastAsia"/>
                      <w:color w:val="auto"/>
                      <w:szCs w:val="21"/>
                    </w:rPr>
                    <w:t>不低于30%，按设计要求足量添加、定期更换，动态更新挥发性有机物治理设施</w:t>
                  </w:r>
                  <w:r>
                    <w:rPr>
                      <w:rFonts w:hint="eastAsia"/>
                      <w:color w:val="auto"/>
                      <w:szCs w:val="21"/>
                      <w:lang w:eastAsia="zh-CN"/>
                    </w:rPr>
                    <w:t>台账。</w:t>
                  </w:r>
                </w:p>
              </w:tc>
              <w:tc>
                <w:tcPr>
                  <w:tcW w:w="2119" w:type="dxa"/>
                  <w:noWrap w:val="0"/>
                  <w:vAlign w:val="center"/>
                </w:tcPr>
                <w:p w14:paraId="69FCB552">
                  <w:pPr>
                    <w:autoSpaceDE w:val="0"/>
                    <w:autoSpaceDN w:val="0"/>
                    <w:adjustRightInd w:val="0"/>
                    <w:snapToGrid w:val="0"/>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建设单位采用的</w:t>
                  </w:r>
                  <w:r>
                    <w:rPr>
                      <w:rFonts w:hint="eastAsia"/>
                      <w:color w:val="auto"/>
                      <w:szCs w:val="21"/>
                      <w:lang w:val="en-US" w:eastAsia="zh-CN"/>
                    </w:rPr>
                    <w:t>蜂窝</w:t>
                  </w:r>
                  <w:r>
                    <w:rPr>
                      <w:rFonts w:hint="eastAsia"/>
                      <w:color w:val="auto"/>
                      <w:szCs w:val="21"/>
                    </w:rPr>
                    <w:t>活性炭</w:t>
                  </w:r>
                  <w:r>
                    <w:rPr>
                      <w:rFonts w:hint="eastAsia"/>
                      <w:color w:val="auto"/>
                      <w:kern w:val="0"/>
                      <w:szCs w:val="21"/>
                      <w:lang w:val="en-US" w:eastAsia="zh-CN"/>
                    </w:rPr>
                    <w:t>碘吸附值为600mg/g，并按要求足量添加、定期更换，动态更新挥发性有机物治理设施台账。</w:t>
                  </w:r>
                </w:p>
              </w:tc>
              <w:tc>
                <w:tcPr>
                  <w:tcW w:w="433" w:type="dxa"/>
                  <w:noWrap w:val="0"/>
                  <w:vAlign w:val="center"/>
                </w:tcPr>
                <w:p w14:paraId="1BA66F42">
                  <w:pPr>
                    <w:autoSpaceDE w:val="0"/>
                    <w:autoSpaceDN w:val="0"/>
                    <w:adjustRightInd w:val="0"/>
                    <w:snapToGrid w:val="0"/>
                    <w:jc w:val="center"/>
                    <w:rPr>
                      <w:rFonts w:hint="eastAsia"/>
                      <w:color w:val="auto"/>
                      <w:kern w:val="2"/>
                      <w:sz w:val="21"/>
                      <w:szCs w:val="21"/>
                      <w:lang w:val="en-US" w:eastAsia="zh-CN" w:bidi="ar-SA"/>
                    </w:rPr>
                  </w:pPr>
                  <w:r>
                    <w:rPr>
                      <w:rFonts w:hint="eastAsia"/>
                      <w:color w:val="auto"/>
                      <w:szCs w:val="21"/>
                      <w:lang w:val="en-US" w:eastAsia="zh-CN"/>
                    </w:rPr>
                    <w:t>符合</w:t>
                  </w:r>
                </w:p>
              </w:tc>
            </w:tr>
            <w:tr w14:paraId="45C7C2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436" w:type="dxa"/>
                  <w:noWrap w:val="0"/>
                  <w:vAlign w:val="center"/>
                </w:tcPr>
                <w:p w14:paraId="37402723">
                  <w:pPr>
                    <w:autoSpaceDE w:val="0"/>
                    <w:autoSpaceDN w:val="0"/>
                    <w:adjustRightInd w:val="0"/>
                    <w:snapToGrid w:val="0"/>
                    <w:jc w:val="center"/>
                    <w:rPr>
                      <w:rFonts w:hint="eastAsia" w:eastAsia="宋体"/>
                      <w:color w:val="auto"/>
                      <w:szCs w:val="21"/>
                      <w:lang w:eastAsia="zh-CN"/>
                    </w:rPr>
                  </w:pPr>
                  <w:r>
                    <w:rPr>
                      <w:rFonts w:hint="eastAsia"/>
                      <w:color w:val="auto"/>
                      <w:szCs w:val="21"/>
                      <w:lang w:val="en-US" w:eastAsia="zh-CN"/>
                    </w:rPr>
                    <w:t>2025年</w:t>
                  </w:r>
                  <w:r>
                    <w:rPr>
                      <w:rFonts w:hint="eastAsia"/>
                      <w:color w:val="auto"/>
                      <w:szCs w:val="21"/>
                    </w:rPr>
                    <w:t>《国家污染防治技术指导目录</w:t>
                  </w:r>
                  <w:r>
                    <w:rPr>
                      <w:rFonts w:hint="eastAsia"/>
                      <w:color w:val="auto"/>
                      <w:szCs w:val="21"/>
                      <w:lang w:eastAsia="zh-CN"/>
                    </w:rPr>
                    <w:t>》</w:t>
                  </w:r>
                </w:p>
              </w:tc>
              <w:tc>
                <w:tcPr>
                  <w:tcW w:w="3263" w:type="dxa"/>
                  <w:noWrap w:val="0"/>
                  <w:vAlign w:val="center"/>
                </w:tcPr>
                <w:p w14:paraId="4037F3AC">
                  <w:pPr>
                    <w:autoSpaceDE w:val="0"/>
                    <w:autoSpaceDN w:val="0"/>
                    <w:adjustRightInd w:val="0"/>
                    <w:snapToGrid w:val="0"/>
                    <w:ind w:firstLine="420" w:firstLineChars="200"/>
                    <w:rPr>
                      <w:rFonts w:hint="eastAsia" w:eastAsia="宋体"/>
                      <w:color w:val="auto"/>
                      <w:szCs w:val="21"/>
                      <w:lang w:eastAsia="zh-CN"/>
                    </w:rPr>
                  </w:pPr>
                  <w:r>
                    <w:rPr>
                      <w:rFonts w:hint="eastAsia"/>
                      <w:color w:val="auto"/>
                      <w:szCs w:val="21"/>
                    </w:rPr>
                    <w:t>低效类技术</w:t>
                  </w:r>
                  <w:r>
                    <w:rPr>
                      <w:rFonts w:hint="eastAsia"/>
                      <w:color w:val="auto"/>
                      <w:szCs w:val="21"/>
                      <w:lang w:eastAsia="zh-CN"/>
                    </w:rPr>
                    <w:t>：</w:t>
                  </w:r>
                  <w:r>
                    <w:rPr>
                      <w:rFonts w:hint="eastAsia"/>
                      <w:color w:val="auto"/>
                      <w:szCs w:val="21"/>
                    </w:rPr>
                    <w:t>VOCs(挥发性有机物)洗涤吸收净化技术、VOCs光催化及其组合净化技术、VOCs低温等离子体及其组合净化技术</w:t>
                  </w:r>
                  <w:r>
                    <w:rPr>
                      <w:rFonts w:hint="eastAsia"/>
                      <w:color w:val="auto"/>
                      <w:szCs w:val="21"/>
                      <w:lang w:eastAsia="zh-CN"/>
                    </w:rPr>
                    <w:t>、VOCs光解（光氧化）及其组合净化技术。</w:t>
                  </w:r>
                </w:p>
              </w:tc>
              <w:tc>
                <w:tcPr>
                  <w:tcW w:w="2119" w:type="dxa"/>
                  <w:noWrap w:val="0"/>
                  <w:vAlign w:val="center"/>
                </w:tcPr>
                <w:p w14:paraId="002EFBF1">
                  <w:pPr>
                    <w:autoSpaceDE w:val="0"/>
                    <w:autoSpaceDN w:val="0"/>
                    <w:adjustRightInd w:val="0"/>
                    <w:snapToGrid w:val="0"/>
                    <w:rPr>
                      <w:rFonts w:hint="default"/>
                      <w:color w:val="auto"/>
                      <w:kern w:val="0"/>
                      <w:szCs w:val="21"/>
                      <w:lang w:val="en-US" w:eastAsia="zh-CN"/>
                    </w:rPr>
                  </w:pPr>
                  <w:r>
                    <w:rPr>
                      <w:rFonts w:hint="eastAsia"/>
                      <w:color w:val="auto"/>
                      <w:kern w:val="0"/>
                      <w:szCs w:val="21"/>
                      <w:lang w:val="en-US" w:eastAsia="zh-CN"/>
                    </w:rPr>
                    <w:t>本项目有机废气采用“</w:t>
                  </w:r>
                  <w:r>
                    <w:rPr>
                      <w:rFonts w:hint="eastAsia" w:cs="Times New Roman"/>
                      <w:color w:val="auto"/>
                      <w:szCs w:val="21"/>
                      <w:lang w:eastAsia="zh-CN"/>
                    </w:rPr>
                    <w:t>过滤棉+二级活性炭吸附</w:t>
                  </w:r>
                  <w:r>
                    <w:rPr>
                      <w:rFonts w:hint="eastAsia"/>
                      <w:color w:val="auto"/>
                      <w:kern w:val="0"/>
                      <w:szCs w:val="21"/>
                      <w:lang w:val="en-US" w:eastAsia="zh-CN"/>
                    </w:rPr>
                    <w:t>”工艺，不属于低效处理工艺，不属于国家污染防治技术指导目录中</w:t>
                  </w:r>
                  <w:r>
                    <w:rPr>
                      <w:rFonts w:hint="eastAsia"/>
                      <w:color w:val="auto"/>
                      <w:szCs w:val="21"/>
                    </w:rPr>
                    <w:t>低效类技术</w:t>
                  </w:r>
                  <w:r>
                    <w:rPr>
                      <w:rFonts w:hint="eastAsia"/>
                      <w:color w:val="auto"/>
                      <w:kern w:val="0"/>
                      <w:szCs w:val="21"/>
                      <w:lang w:val="en-US" w:eastAsia="zh-CN"/>
                    </w:rPr>
                    <w:t>。</w:t>
                  </w:r>
                </w:p>
              </w:tc>
              <w:tc>
                <w:tcPr>
                  <w:tcW w:w="433" w:type="dxa"/>
                  <w:noWrap w:val="0"/>
                  <w:vAlign w:val="center"/>
                </w:tcPr>
                <w:p w14:paraId="09E734A8">
                  <w:pPr>
                    <w:autoSpaceDE w:val="0"/>
                    <w:autoSpaceDN w:val="0"/>
                    <w:adjustRightInd w:val="0"/>
                    <w:snapToGrid w:val="0"/>
                    <w:jc w:val="center"/>
                    <w:rPr>
                      <w:rFonts w:hint="default"/>
                      <w:color w:val="auto"/>
                      <w:szCs w:val="21"/>
                      <w:lang w:val="en-US" w:eastAsia="zh-CN"/>
                    </w:rPr>
                  </w:pPr>
                  <w:r>
                    <w:rPr>
                      <w:rFonts w:hint="eastAsia"/>
                      <w:color w:val="auto"/>
                      <w:szCs w:val="21"/>
                      <w:lang w:val="en-US" w:eastAsia="zh-CN"/>
                    </w:rPr>
                    <w:t>符合</w:t>
                  </w:r>
                </w:p>
              </w:tc>
            </w:tr>
          </w:tbl>
          <w:p w14:paraId="10729770">
            <w:pPr>
              <w:spacing w:before="120" w:beforeLines="50" w:line="360" w:lineRule="auto"/>
              <w:ind w:firstLine="482" w:firstLineChars="200"/>
              <w:rPr>
                <w:b/>
                <w:bCs/>
                <w:color w:val="auto"/>
                <w:sz w:val="24"/>
              </w:rPr>
            </w:pPr>
            <w:r>
              <w:rPr>
                <w:rFonts w:hint="eastAsia"/>
                <w:b/>
                <w:bCs/>
                <w:color w:val="auto"/>
                <w:sz w:val="24"/>
              </w:rPr>
              <w:t>5</w:t>
            </w:r>
            <w:r>
              <w:rPr>
                <w:b/>
                <w:bCs/>
                <w:color w:val="auto"/>
                <w:sz w:val="24"/>
              </w:rPr>
              <w:t>、选址合理性分析</w:t>
            </w:r>
          </w:p>
          <w:p w14:paraId="549E05C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lang w:eastAsia="zh-CN"/>
              </w:rPr>
            </w:pPr>
            <w:r>
              <w:rPr>
                <w:rFonts w:hint="eastAsia"/>
                <w:color w:val="auto"/>
                <w:sz w:val="24"/>
              </w:rPr>
              <w:t>本项目位于沣东新城天章大道与丰安路十字西北角，租用丰树沣东（西安）产业园</w:t>
            </w:r>
            <w:r>
              <w:rPr>
                <w:rFonts w:hint="eastAsia"/>
                <w:color w:val="auto"/>
                <w:sz w:val="24"/>
                <w:lang w:eastAsia="zh-CN"/>
              </w:rPr>
              <w:t>1号库1-1号</w:t>
            </w:r>
            <w:r>
              <w:rPr>
                <w:rFonts w:hint="eastAsia"/>
                <w:color w:val="auto"/>
                <w:sz w:val="24"/>
              </w:rPr>
              <w:t>，不新增用地</w:t>
            </w:r>
            <w:r>
              <w:rPr>
                <w:rFonts w:hint="eastAsia"/>
                <w:color w:val="auto"/>
                <w:sz w:val="24"/>
                <w:lang w:eastAsia="zh-CN"/>
              </w:rPr>
              <w:t>。</w:t>
            </w:r>
          </w:p>
          <w:p w14:paraId="2D946F6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auto"/>
                <w:kern w:val="0"/>
                <w:sz w:val="24"/>
                <w:highlight w:val="none"/>
                <w:lang w:val="en-US" w:eastAsia="zh-CN"/>
              </w:rPr>
            </w:pPr>
            <w:r>
              <w:rPr>
                <w:rFonts w:hint="eastAsia"/>
                <w:color w:val="auto"/>
                <w:kern w:val="0"/>
                <w:sz w:val="24"/>
                <w:highlight w:val="none"/>
                <w:lang w:val="en-US" w:eastAsia="zh-CN"/>
              </w:rPr>
              <w:t>沣航仓储开发（西安）有限公司于2014年6月26日取得了西安市环境保护局沣渭新区分局关于“沣航仓储开发（西安）有限公司丰树沣东（西安）产业园二期项目”环境影响报告表的批复（市环沣渭批复〔2014〕30号，见附件10）。该项目租赁厂区位于沣航仓储开发（西安）有限公司丰树沣东（西安）产业园二期项目内。</w:t>
            </w:r>
          </w:p>
          <w:p w14:paraId="5103CF80">
            <w:pPr>
              <w:spacing w:line="360" w:lineRule="auto"/>
              <w:ind w:firstLine="480" w:firstLineChars="200"/>
              <w:rPr>
                <w:rFonts w:hint="eastAsia"/>
                <w:color w:val="auto"/>
              </w:rPr>
            </w:pPr>
            <w:r>
              <w:rPr>
                <w:rFonts w:hint="eastAsia"/>
                <w:color w:val="auto"/>
                <w:sz w:val="24"/>
              </w:rPr>
              <w:t>评价范围内无《建设项目环境影响评价分类管理名录》中第三条规定的（一）、（二）类环境保护区，如自然保护区、风景名胜区、世界文化和自然遗产地、饮用水水源保护区等，不在国家、地方规划的重点生态功能区的敏感区域内。项目所在区域基础设施配套完全，水、电、通信等能满足项目建设以及运行需要。</w:t>
            </w:r>
          </w:p>
          <w:p w14:paraId="58D01049">
            <w:pPr>
              <w:spacing w:line="360" w:lineRule="auto"/>
              <w:ind w:firstLine="480" w:firstLineChars="200"/>
              <w:rPr>
                <w:color w:val="auto"/>
                <w:sz w:val="24"/>
              </w:rPr>
            </w:pPr>
            <w:r>
              <w:rPr>
                <w:rFonts w:hint="eastAsia"/>
                <w:color w:val="auto"/>
                <w:sz w:val="24"/>
                <w:lang w:val="en-US" w:eastAsia="zh-CN"/>
              </w:rPr>
              <w:t>厂区</w:t>
            </w:r>
            <w:r>
              <w:rPr>
                <w:rFonts w:hint="eastAsia"/>
                <w:color w:val="auto"/>
                <w:sz w:val="24"/>
              </w:rPr>
              <w:t>北侧</w:t>
            </w:r>
            <w:r>
              <w:rPr>
                <w:rFonts w:hint="eastAsia"/>
                <w:color w:val="auto"/>
                <w:sz w:val="24"/>
                <w:lang w:val="en-US" w:eastAsia="zh-CN"/>
              </w:rPr>
              <w:t>紧邻德邦物流</w:t>
            </w:r>
            <w:r>
              <w:rPr>
                <w:rFonts w:hint="eastAsia"/>
                <w:color w:val="auto"/>
                <w:sz w:val="24"/>
              </w:rPr>
              <w:t>，南侧</w:t>
            </w:r>
            <w:r>
              <w:rPr>
                <w:rFonts w:hint="eastAsia"/>
                <w:color w:val="auto"/>
                <w:sz w:val="24"/>
                <w:lang w:val="en-US" w:eastAsia="zh-CN"/>
              </w:rPr>
              <w:t>90m</w:t>
            </w:r>
            <w:r>
              <w:rPr>
                <w:rFonts w:hint="eastAsia"/>
                <w:color w:val="auto"/>
                <w:sz w:val="24"/>
              </w:rPr>
              <w:t>为</w:t>
            </w:r>
            <w:r>
              <w:rPr>
                <w:rFonts w:hint="eastAsia"/>
                <w:color w:val="auto"/>
                <w:sz w:val="24"/>
                <w:lang w:val="en-US" w:eastAsia="zh-CN"/>
              </w:rPr>
              <w:t>诚域集团</w:t>
            </w:r>
            <w:r>
              <w:rPr>
                <w:rFonts w:hint="eastAsia"/>
                <w:color w:val="auto"/>
                <w:sz w:val="24"/>
              </w:rPr>
              <w:t>，西侧</w:t>
            </w:r>
            <w:r>
              <w:rPr>
                <w:rFonts w:hint="eastAsia"/>
                <w:color w:val="auto"/>
                <w:sz w:val="24"/>
                <w:lang w:val="en-US" w:eastAsia="zh-CN"/>
              </w:rPr>
              <w:t>和东侧为空地</w:t>
            </w:r>
            <w:r>
              <w:rPr>
                <w:rFonts w:hint="eastAsia"/>
                <w:color w:val="auto"/>
                <w:sz w:val="24"/>
                <w:lang w:eastAsia="zh-CN"/>
              </w:rPr>
              <w:t>。</w:t>
            </w:r>
            <w:r>
              <w:rPr>
                <w:rFonts w:hint="eastAsia"/>
                <w:color w:val="auto"/>
                <w:sz w:val="24"/>
                <w:lang w:val="en-US" w:eastAsia="zh-CN"/>
              </w:rPr>
              <w:t>项目喷烤漆房1#、2#产生的废气经过滤棉+二级活性炭吸附设施处理后，尾气经2根（DA001、DA002）16m高的排气筒排放；中涂房产生的废气经过滤棉+二级活性炭吸附设施处理后，尾气经1根（DA003）16m高的排气筒排放；喷烤漆房3#、调漆、危废贮存库2#产生的废气经过滤棉+二级活性炭吸附设施处理后，尾气并入DA003排气筒排放；打磨房4#~5#打磨抛光废气和涂原子灰废气收集后采用“过滤棉+活性炭”处置后，尾气通过排气筒DA004排放；打磨房1#~3#内打磨焊接抛光废气和涂原子灰废气收集后采用“过滤棉+活性炭”处置后，尾气通过排气筒DA005排放；危废贮存库1#产生的有机废气采用活性炭吸附装置处理后，车间内无组织排放。生活污水经产业园化粪池处理后排入市政污水管网，最终进入西安净水处理有限责任公司第六再生水厂进行处理；维修区地面清洗废水和洗车废水经隔油池+沉淀池处理，经化粪池进入市政污水管网，最终进入西安净水处理有限责任公司第六再生水厂。通过选用低噪声设备、厂房隔声、合理布局等措施降噪，</w:t>
            </w:r>
            <w:r>
              <w:rPr>
                <w:rFonts w:ascii="Times New Roman" w:hAnsi="Times New Roman" w:eastAsia="宋体" w:cs="Times New Roman"/>
                <w:color w:val="auto"/>
                <w:sz w:val="24"/>
                <w:szCs w:val="24"/>
                <w:highlight w:val="none"/>
              </w:rPr>
              <w:t>对周围环境影响较小</w:t>
            </w:r>
            <w:r>
              <w:rPr>
                <w:rFonts w:hint="eastAsia"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eastAsia="zh-CN"/>
              </w:rPr>
              <w:t>生活垃圾分类收集后，由环卫部门统一清运；废零部件、废轮胎、废焊丝、废打磨片收集后定期外售处置；废锂电池集中收集后由厂家回收；</w:t>
            </w:r>
            <w:r>
              <w:rPr>
                <w:rFonts w:hint="eastAsia" w:cs="Times New Roman"/>
                <w:color w:val="auto"/>
                <w:sz w:val="24"/>
                <w:szCs w:val="24"/>
                <w:highlight w:val="none"/>
                <w:lang w:eastAsia="zh-CN"/>
              </w:rPr>
              <w:t>油泥</w:t>
            </w:r>
            <w:r>
              <w:rPr>
                <w:rFonts w:hint="eastAsia" w:ascii="Times New Roman" w:hAnsi="Times New Roman" w:eastAsia="宋体" w:cs="Times New Roman"/>
                <w:color w:val="auto"/>
                <w:sz w:val="24"/>
                <w:szCs w:val="24"/>
                <w:highlight w:val="none"/>
                <w:lang w:eastAsia="zh-CN"/>
              </w:rPr>
              <w:t>、废机滤、废矿物油（废机油、废刹车油、废变速箱油等）、废铅酸电池、废防冻液、废抹布、废油桶</w:t>
            </w:r>
            <w:r>
              <w:rPr>
                <w:rFonts w:hint="eastAsia" w:cs="Times New Roman"/>
                <w:color w:val="auto"/>
                <w:sz w:val="24"/>
                <w:szCs w:val="24"/>
                <w:highlight w:val="none"/>
                <w:lang w:val="en-US" w:eastAsia="zh-CN"/>
              </w:rPr>
              <w:t>和</w:t>
            </w:r>
            <w:r>
              <w:rPr>
                <w:rFonts w:hint="eastAsia" w:ascii="Times New Roman" w:hAnsi="Times New Roman" w:eastAsia="宋体" w:cs="Times New Roman"/>
                <w:color w:val="auto"/>
                <w:sz w:val="24"/>
                <w:szCs w:val="24"/>
                <w:highlight w:val="none"/>
                <w:lang w:eastAsia="zh-CN"/>
              </w:rPr>
              <w:t>废油漆桶在</w:t>
            </w:r>
            <w:r>
              <w:rPr>
                <w:rFonts w:hint="eastAsia" w:cs="Times New Roman"/>
                <w:color w:val="auto"/>
                <w:sz w:val="24"/>
                <w:szCs w:val="24"/>
                <w:highlight w:val="none"/>
                <w:lang w:eastAsia="zh-CN"/>
              </w:rPr>
              <w:t>危废贮存库1#</w:t>
            </w:r>
            <w:r>
              <w:rPr>
                <w:rFonts w:hint="eastAsia" w:ascii="Times New Roman" w:hAnsi="Times New Roman" w:eastAsia="宋体" w:cs="Times New Roman"/>
                <w:color w:val="auto"/>
                <w:sz w:val="24"/>
                <w:szCs w:val="24"/>
                <w:highlight w:val="none"/>
                <w:lang w:eastAsia="zh-CN"/>
              </w:rPr>
              <w:t>暂存后，定期交由有资质单位处置；废原子灰渣、废遮蔽纸、废过滤棉、废活性炭、废刹车片和废荧光灯管在</w:t>
            </w:r>
            <w:r>
              <w:rPr>
                <w:rFonts w:hint="eastAsia" w:cs="Times New Roman"/>
                <w:color w:val="auto"/>
                <w:sz w:val="24"/>
                <w:szCs w:val="24"/>
                <w:highlight w:val="none"/>
                <w:lang w:eastAsia="zh-CN"/>
              </w:rPr>
              <w:t>危废贮存库2#</w:t>
            </w:r>
            <w:r>
              <w:rPr>
                <w:rFonts w:hint="eastAsia" w:ascii="Times New Roman" w:hAnsi="Times New Roman" w:eastAsia="宋体" w:cs="Times New Roman"/>
                <w:color w:val="auto"/>
                <w:sz w:val="24"/>
                <w:szCs w:val="24"/>
                <w:highlight w:val="none"/>
                <w:lang w:eastAsia="zh-CN"/>
              </w:rPr>
              <w:t>暂存后，定期交由有资质单位处置</w:t>
            </w:r>
            <w:r>
              <w:rPr>
                <w:rFonts w:hint="eastAsia"/>
                <w:color w:val="auto"/>
                <w:sz w:val="24"/>
                <w:lang w:val="en-US" w:eastAsia="zh-CN"/>
              </w:rPr>
              <w:t>。</w:t>
            </w:r>
            <w:r>
              <w:rPr>
                <w:color w:val="auto"/>
                <w:sz w:val="24"/>
              </w:rPr>
              <w:t>项目</w:t>
            </w:r>
            <w:r>
              <w:rPr>
                <w:color w:val="auto"/>
                <w:kern w:val="0"/>
                <w:sz w:val="24"/>
              </w:rPr>
              <w:t>产生的污染物</w:t>
            </w:r>
            <w:r>
              <w:rPr>
                <w:color w:val="auto"/>
                <w:sz w:val="24"/>
              </w:rPr>
              <w:t>在采取本次环评提出的各项环保措施的前提下，项目污染物均能做到达标排放</w:t>
            </w:r>
            <w:r>
              <w:rPr>
                <w:rFonts w:hint="eastAsia"/>
                <w:color w:val="auto"/>
                <w:sz w:val="24"/>
              </w:rPr>
              <w:t>，</w:t>
            </w:r>
            <w:r>
              <w:rPr>
                <w:color w:val="auto"/>
                <w:sz w:val="24"/>
              </w:rPr>
              <w:t>对外环境影响较小。</w:t>
            </w:r>
          </w:p>
          <w:p w14:paraId="67F790DE">
            <w:pPr>
              <w:spacing w:line="360" w:lineRule="auto"/>
              <w:ind w:firstLine="480" w:firstLineChars="200"/>
              <w:rPr>
                <w:color w:val="auto"/>
              </w:rPr>
            </w:pPr>
            <w:r>
              <w:rPr>
                <w:rFonts w:hint="eastAsia"/>
                <w:color w:val="auto"/>
                <w:sz w:val="24"/>
              </w:rPr>
              <w:t>综上所述，本项目对各项污染物均采取了相应的环保措施，可做到达标排放或妥善处置，从环境保护角度分析，本项目选址合理。</w:t>
            </w:r>
          </w:p>
          <w:p w14:paraId="46F764E0">
            <w:pPr>
              <w:pStyle w:val="44"/>
              <w:spacing w:line="360" w:lineRule="auto"/>
              <w:rPr>
                <w:color w:val="auto"/>
              </w:rPr>
            </w:pPr>
          </w:p>
          <w:p w14:paraId="5BBD35F7">
            <w:pPr>
              <w:pStyle w:val="44"/>
              <w:rPr>
                <w:rFonts w:hint="eastAsia"/>
                <w:color w:val="auto"/>
              </w:rPr>
            </w:pPr>
          </w:p>
        </w:tc>
      </w:tr>
    </w:tbl>
    <w:p w14:paraId="4B189A41">
      <w:pPr>
        <w:rPr>
          <w:color w:val="auto"/>
        </w:rPr>
        <w:sectPr>
          <w:pgSz w:w="11906" w:h="16838"/>
          <w:pgMar w:top="1701" w:right="1531" w:bottom="1701" w:left="1531" w:header="851" w:footer="1077" w:gutter="0"/>
          <w:pgBorders>
            <w:top w:val="none" w:sz="0" w:space="0"/>
            <w:left w:val="none" w:sz="0" w:space="0"/>
            <w:bottom w:val="none" w:sz="0" w:space="0"/>
            <w:right w:val="none" w:sz="0" w:space="0"/>
          </w:pgBorders>
          <w:cols w:space="720" w:num="1"/>
          <w:docGrid w:linePitch="312" w:charSpace="0"/>
        </w:sectPr>
      </w:pPr>
    </w:p>
    <w:p w14:paraId="37AD46FE">
      <w:pPr>
        <w:pStyle w:val="22"/>
        <w:jc w:val="center"/>
        <w:outlineLvl w:val="0"/>
        <w:rPr>
          <w:rFonts w:ascii="黑体" w:hAnsi="黑体" w:eastAsia="黑体"/>
          <w:snapToGrid w:val="0"/>
          <w:color w:val="auto"/>
          <w:sz w:val="30"/>
          <w:szCs w:val="30"/>
        </w:rPr>
      </w:pPr>
      <w:r>
        <w:rPr>
          <w:rFonts w:hint="eastAsia" w:ascii="黑体" w:hAnsi="黑体" w:eastAsia="黑体"/>
          <w:snapToGrid w:val="0"/>
          <w:color w:val="auto"/>
          <w:sz w:val="30"/>
          <w:szCs w:val="30"/>
        </w:rPr>
        <w:t>二、建设项目工程分析</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8346"/>
      </w:tblGrid>
      <w:tr w14:paraId="7FE67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6" w:hRule="atLeast"/>
          <w:jc w:val="center"/>
        </w:trPr>
        <w:tc>
          <w:tcPr>
            <w:tcW w:w="714" w:type="dxa"/>
            <w:noWrap w:val="0"/>
            <w:vAlign w:val="center"/>
          </w:tcPr>
          <w:p w14:paraId="71F02506">
            <w:pPr>
              <w:pStyle w:val="22"/>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建设内容</w:t>
            </w:r>
          </w:p>
        </w:tc>
        <w:tc>
          <w:tcPr>
            <w:tcW w:w="8346" w:type="dxa"/>
            <w:noWrap w:val="0"/>
            <w:vAlign w:val="top"/>
          </w:tcPr>
          <w:p w14:paraId="3F159967">
            <w:pPr>
              <w:keepNext w:val="0"/>
              <w:keepLines w:val="0"/>
              <w:pageBreakBefore w:val="0"/>
              <w:widowControl w:val="0"/>
              <w:kinsoku/>
              <w:wordWrap/>
              <w:overflowPunct/>
              <w:topLinePunct w:val="0"/>
              <w:autoSpaceDE/>
              <w:autoSpaceDN/>
              <w:bidi w:val="0"/>
              <w:adjustRightInd/>
              <w:snapToGrid/>
              <w:spacing w:before="157" w:beforeLines="50" w:line="360" w:lineRule="auto"/>
              <w:ind w:firstLine="482" w:firstLineChars="200"/>
              <w:textAlignment w:val="auto"/>
              <w:rPr>
                <w:rFonts w:hint="eastAsia"/>
                <w:b/>
                <w:color w:val="auto"/>
                <w:sz w:val="24"/>
              </w:rPr>
            </w:pPr>
            <w:r>
              <w:rPr>
                <w:rFonts w:hint="eastAsia"/>
                <w:b/>
                <w:color w:val="auto"/>
                <w:sz w:val="24"/>
              </w:rPr>
              <w:t>1、项目概况</w:t>
            </w:r>
          </w:p>
          <w:p w14:paraId="26ED06C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bCs/>
                <w:color w:val="auto"/>
                <w:sz w:val="24"/>
                <w:lang w:val="en-US" w:eastAsia="zh-CN"/>
              </w:rPr>
            </w:pPr>
            <w:r>
              <w:rPr>
                <w:rFonts w:hint="eastAsia"/>
                <w:bCs/>
                <w:color w:val="auto"/>
                <w:sz w:val="24"/>
                <w:lang w:val="en-US" w:eastAsia="zh-CN"/>
              </w:rPr>
              <w:t>根据《建设项目环境影响评价分类管理目录》（2021年版）常见问题解答中—（十六）名录中“汽车、摩托车维修场所”相关规定的解答-121名录“121 汽车、摩托车维修场所”中维修场所的营业面积包括涂装、销售、洗车等配套设施所占的总面积。</w:t>
            </w:r>
            <w:r>
              <w:rPr>
                <w:rFonts w:hint="eastAsia"/>
                <w:bCs/>
                <w:color w:val="auto"/>
                <w:sz w:val="24"/>
              </w:rPr>
              <w:t>理行汽车销售服务（西安）有限公司第十八分公司于20</w:t>
            </w:r>
            <w:r>
              <w:rPr>
                <w:rFonts w:hint="eastAsia"/>
                <w:bCs/>
                <w:color w:val="auto"/>
                <w:sz w:val="24"/>
                <w:lang w:val="en-US" w:eastAsia="zh-CN"/>
              </w:rPr>
              <w:t>23</w:t>
            </w:r>
            <w:r>
              <w:rPr>
                <w:rFonts w:hint="eastAsia"/>
                <w:bCs/>
                <w:color w:val="auto"/>
                <w:sz w:val="24"/>
              </w:rPr>
              <w:t>年1</w:t>
            </w:r>
            <w:r>
              <w:rPr>
                <w:rFonts w:hint="eastAsia"/>
                <w:bCs/>
                <w:color w:val="auto"/>
                <w:sz w:val="24"/>
                <w:lang w:val="en-US" w:eastAsia="zh-CN"/>
              </w:rPr>
              <w:t>0</w:t>
            </w:r>
            <w:r>
              <w:rPr>
                <w:rFonts w:hint="eastAsia"/>
                <w:bCs/>
                <w:color w:val="auto"/>
                <w:sz w:val="24"/>
              </w:rPr>
              <w:t>月租赁</w:t>
            </w:r>
            <w:r>
              <w:rPr>
                <w:rFonts w:hint="eastAsia"/>
                <w:bCs/>
                <w:color w:val="auto"/>
                <w:sz w:val="24"/>
                <w:lang w:eastAsia="zh-CN"/>
              </w:rPr>
              <w:t>西咸新区沣东新城天章大道与丰安路十字西北角丰树沣东（西安）产业园1号库1-1号（</w:t>
            </w:r>
            <w:r>
              <w:rPr>
                <w:rFonts w:hint="eastAsia"/>
                <w:bCs/>
                <w:color w:val="auto"/>
                <w:sz w:val="24"/>
                <w:lang w:val="en-US" w:eastAsia="zh-CN"/>
              </w:rPr>
              <w:t>面积4956平方米</w:t>
            </w:r>
            <w:r>
              <w:rPr>
                <w:rFonts w:hint="eastAsia"/>
                <w:bCs/>
                <w:color w:val="auto"/>
                <w:sz w:val="24"/>
                <w:lang w:eastAsia="zh-CN"/>
              </w:rPr>
              <w:t>）</w:t>
            </w:r>
            <w:r>
              <w:rPr>
                <w:rFonts w:hint="eastAsia"/>
                <w:bCs/>
                <w:color w:val="auto"/>
                <w:sz w:val="24"/>
              </w:rPr>
              <w:t>进行</w:t>
            </w:r>
            <w:r>
              <w:rPr>
                <w:rFonts w:hint="eastAsia"/>
                <w:bCs/>
                <w:color w:val="auto"/>
                <w:sz w:val="24"/>
                <w:lang w:val="en-US" w:eastAsia="zh-CN"/>
              </w:rPr>
              <w:t>项目</w:t>
            </w:r>
            <w:r>
              <w:rPr>
                <w:rFonts w:hint="eastAsia"/>
                <w:bCs/>
                <w:color w:val="auto"/>
                <w:sz w:val="24"/>
              </w:rPr>
              <w:t>建设</w:t>
            </w:r>
            <w:r>
              <w:rPr>
                <w:rFonts w:hint="eastAsia"/>
                <w:bCs/>
                <w:color w:val="auto"/>
                <w:sz w:val="24"/>
                <w:lang w:eastAsia="zh-CN"/>
              </w:rPr>
              <w:t>，</w:t>
            </w:r>
            <w:r>
              <w:rPr>
                <w:rFonts w:hint="eastAsia"/>
                <w:bCs/>
                <w:color w:val="auto"/>
                <w:sz w:val="24"/>
                <w:lang w:val="en-US" w:eastAsia="zh-CN"/>
              </w:rPr>
              <w:t>建设服务中心和钣喷中心，于</w:t>
            </w:r>
            <w:r>
              <w:rPr>
                <w:rFonts w:hint="eastAsia"/>
                <w:bCs/>
                <w:color w:val="auto"/>
                <w:sz w:val="24"/>
              </w:rPr>
              <w:t>202</w:t>
            </w:r>
            <w:r>
              <w:rPr>
                <w:rFonts w:hint="eastAsia"/>
                <w:bCs/>
                <w:color w:val="auto"/>
                <w:sz w:val="24"/>
                <w:lang w:val="en-US" w:eastAsia="zh-CN"/>
              </w:rPr>
              <w:t>4</w:t>
            </w:r>
            <w:r>
              <w:rPr>
                <w:rFonts w:hint="eastAsia"/>
                <w:bCs/>
                <w:color w:val="auto"/>
                <w:sz w:val="24"/>
              </w:rPr>
              <w:t>年</w:t>
            </w:r>
            <w:r>
              <w:rPr>
                <w:rFonts w:hint="eastAsia"/>
                <w:bCs/>
                <w:color w:val="auto"/>
                <w:sz w:val="24"/>
                <w:lang w:val="en-US" w:eastAsia="zh-CN"/>
              </w:rPr>
              <w:t>1</w:t>
            </w:r>
            <w:r>
              <w:rPr>
                <w:rFonts w:hint="eastAsia"/>
                <w:bCs/>
                <w:color w:val="auto"/>
                <w:sz w:val="24"/>
              </w:rPr>
              <w:t>月投产运行</w:t>
            </w:r>
            <w:r>
              <w:rPr>
                <w:rFonts w:hint="eastAsia"/>
                <w:bCs/>
                <w:color w:val="auto"/>
                <w:sz w:val="24"/>
                <w:lang w:eastAsia="zh-CN"/>
              </w:rPr>
              <w:t>。</w:t>
            </w:r>
            <w:r>
              <w:rPr>
                <w:rFonts w:hint="eastAsia"/>
                <w:bCs/>
                <w:color w:val="auto"/>
                <w:sz w:val="24"/>
                <w:lang w:val="en-US" w:eastAsia="zh-CN"/>
              </w:rPr>
              <w:t>服务中心为接待客户区，钣喷中心为车辆维修保养区，建成后年维修车辆18000台、年喷漆车辆4000台</w:t>
            </w:r>
            <w:r>
              <w:rPr>
                <w:rFonts w:hint="eastAsia"/>
                <w:bCs/>
                <w:color w:val="auto"/>
                <w:sz w:val="24"/>
                <w:lang w:eastAsia="zh-CN"/>
              </w:rPr>
              <w:t>。</w:t>
            </w:r>
            <w:r>
              <w:rPr>
                <w:rFonts w:hint="eastAsia"/>
                <w:bCs/>
                <w:color w:val="auto"/>
                <w:sz w:val="24"/>
                <w:lang w:val="en-US" w:eastAsia="zh-CN"/>
              </w:rPr>
              <w:t>根据</w:t>
            </w:r>
            <w:r>
              <w:rPr>
                <w:rFonts w:hint="eastAsia" w:ascii="Times New Roman" w:hAnsi="Times New Roman" w:eastAsia="宋体" w:cs="Times New Roman"/>
                <w:bCs/>
                <w:color w:val="auto"/>
                <w:sz w:val="24"/>
                <w:lang w:val="en-US" w:eastAsia="zh-CN"/>
              </w:rPr>
              <w:t>《建设项目环境影响评价分类管理名录》（部令第16号）</w:t>
            </w:r>
            <w:r>
              <w:rPr>
                <w:rFonts w:hint="eastAsia" w:cs="Times New Roman"/>
                <w:bCs/>
                <w:color w:val="auto"/>
                <w:sz w:val="24"/>
                <w:lang w:val="en-US" w:eastAsia="zh-CN"/>
              </w:rPr>
              <w:t>，</w:t>
            </w:r>
            <w:r>
              <w:rPr>
                <w:rFonts w:hint="eastAsia"/>
                <w:bCs/>
                <w:color w:val="auto"/>
                <w:sz w:val="24"/>
                <w:lang w:val="en-US" w:eastAsia="zh-CN"/>
              </w:rPr>
              <w:t>项目属于“五十、社会事业与服务业-121、汽车、摩托车维修场所-营业面积5000平方米及以上且使用溶剂型涂料的</w:t>
            </w:r>
            <w:r>
              <w:rPr>
                <w:rFonts w:hint="eastAsia"/>
                <w:bCs/>
                <w:color w:val="auto"/>
                <w:sz w:val="24"/>
                <w:lang w:eastAsia="zh-CN"/>
              </w:rPr>
              <w:t>”</w:t>
            </w:r>
            <w:r>
              <w:rPr>
                <w:rFonts w:hint="eastAsia"/>
                <w:bCs/>
                <w:color w:val="auto"/>
                <w:sz w:val="24"/>
                <w:lang w:val="en-US" w:eastAsia="zh-CN"/>
              </w:rPr>
              <w:t>应编制环境影响报告表</w:t>
            </w:r>
            <w:r>
              <w:rPr>
                <w:rFonts w:hint="eastAsia"/>
                <w:bCs/>
                <w:color w:val="auto"/>
                <w:sz w:val="24"/>
                <w:lang w:eastAsia="zh-CN"/>
              </w:rPr>
              <w:t>，</w:t>
            </w:r>
            <w:r>
              <w:rPr>
                <w:rFonts w:hint="eastAsia"/>
                <w:bCs/>
                <w:color w:val="auto"/>
                <w:sz w:val="24"/>
                <w:lang w:val="en-US" w:eastAsia="zh-CN"/>
              </w:rPr>
              <w:t>项目租用4956平方米进行营业，小于5000平方米，因此不需要编制环境影响评价报告表。</w:t>
            </w:r>
          </w:p>
          <w:p w14:paraId="717A5F6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bCs/>
                <w:color w:val="auto"/>
                <w:sz w:val="24"/>
                <w:lang w:val="en-US" w:eastAsia="zh-CN"/>
              </w:rPr>
            </w:pPr>
            <w:r>
              <w:rPr>
                <w:rFonts w:hint="eastAsia"/>
                <w:bCs/>
                <w:color w:val="auto"/>
                <w:sz w:val="24"/>
                <w:lang w:val="en-US" w:eastAsia="zh-CN"/>
              </w:rPr>
              <w:t>企业现增加洗车房248.831平方米，洗车房建成后总营业面积为5204.831平方米，大于5000平方米，根据《建设项目环境影响评价分类管理目录》</w:t>
            </w:r>
            <w:r>
              <w:rPr>
                <w:rFonts w:hint="eastAsia" w:ascii="Times New Roman" w:hAnsi="Times New Roman" w:eastAsia="宋体" w:cs="Times New Roman"/>
                <w:bCs/>
                <w:color w:val="auto"/>
                <w:sz w:val="24"/>
                <w:lang w:val="en-US" w:eastAsia="zh-CN"/>
              </w:rPr>
              <w:t>（部令第16号）</w:t>
            </w:r>
            <w:r>
              <w:rPr>
                <w:rFonts w:hint="eastAsia"/>
                <w:bCs/>
                <w:color w:val="auto"/>
                <w:sz w:val="24"/>
                <w:lang w:val="en-US" w:eastAsia="zh-CN"/>
              </w:rPr>
              <w:t>，应当</w:t>
            </w:r>
            <w:r>
              <w:rPr>
                <w:rFonts w:hint="eastAsia" w:ascii="Times New Roman" w:hAnsi="Times New Roman" w:eastAsia="宋体" w:cs="Times New Roman"/>
                <w:bCs/>
                <w:color w:val="auto"/>
                <w:sz w:val="24"/>
                <w:lang w:val="en-US" w:eastAsia="zh-CN"/>
              </w:rPr>
              <w:t>编制环境影响报告表。</w:t>
            </w:r>
            <w:r>
              <w:rPr>
                <w:rFonts w:hint="eastAsia" w:cs="Times New Roman"/>
                <w:bCs/>
                <w:color w:val="auto"/>
                <w:sz w:val="24"/>
                <w:lang w:val="en-US" w:eastAsia="zh-CN"/>
              </w:rPr>
              <w:t>本次对理想汽车西咸服务中心项目进行整体性评价，评价内容包括服务中心、钣喷中心和洗车房等所有营业内容。</w:t>
            </w:r>
          </w:p>
          <w:p w14:paraId="608D0DB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bCs/>
                <w:color w:val="auto"/>
                <w:sz w:val="24"/>
                <w:lang w:val="en-US" w:eastAsia="zh-CN"/>
              </w:rPr>
            </w:pPr>
            <w:r>
              <w:rPr>
                <w:rFonts w:hint="eastAsia" w:cs="Times New Roman"/>
                <w:bCs/>
                <w:color w:val="auto"/>
                <w:sz w:val="24"/>
                <w:lang w:val="en-US" w:eastAsia="zh-CN"/>
              </w:rPr>
              <w:t>企业已编制《</w:t>
            </w:r>
            <w:r>
              <w:rPr>
                <w:rFonts w:hint="eastAsia"/>
                <w:bCs/>
                <w:color w:val="auto"/>
                <w:sz w:val="24"/>
              </w:rPr>
              <w:t>理行汽车销售服务（西安）有限公司第十八分公司</w:t>
            </w:r>
            <w:r>
              <w:rPr>
                <w:rFonts w:hint="eastAsia" w:cs="Times New Roman"/>
                <w:bCs/>
                <w:color w:val="auto"/>
                <w:sz w:val="24"/>
                <w:lang w:val="en-US" w:eastAsia="zh-CN"/>
              </w:rPr>
              <w:t>突发环境事件应急预案》，并于2024年8月9日取得陕西省西咸新区生态环境局（沣东）工作部下发的备案表，备案编号610163-2024-40-L。</w:t>
            </w:r>
          </w:p>
          <w:p w14:paraId="2A047E0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bCs/>
                <w:color w:val="auto"/>
                <w:sz w:val="24"/>
              </w:rPr>
            </w:pPr>
            <w:r>
              <w:rPr>
                <w:rFonts w:hint="eastAsia"/>
                <w:bCs/>
                <w:color w:val="auto"/>
                <w:sz w:val="24"/>
              </w:rPr>
              <w:t>（1）项目概况</w:t>
            </w:r>
          </w:p>
          <w:p w14:paraId="2986A98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b w:val="0"/>
                <w:bCs/>
                <w:color w:val="auto"/>
                <w:sz w:val="24"/>
                <w:lang w:val="en-US" w:eastAsia="zh-CN"/>
              </w:rPr>
            </w:pPr>
            <w:r>
              <w:rPr>
                <w:rFonts w:hint="eastAsia"/>
                <w:b w:val="0"/>
                <w:bCs/>
                <w:color w:val="auto"/>
                <w:sz w:val="24"/>
                <w:lang w:val="en-US" w:eastAsia="zh-CN"/>
              </w:rPr>
              <w:t>项目名称：理想汽车西咸服务中心项目</w:t>
            </w:r>
          </w:p>
          <w:p w14:paraId="3D3A6FE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bCs/>
                <w:color w:val="auto"/>
                <w:sz w:val="24"/>
                <w:lang w:val="en-US" w:eastAsia="zh-CN"/>
              </w:rPr>
            </w:pPr>
            <w:r>
              <w:rPr>
                <w:rFonts w:hint="eastAsia"/>
                <w:bCs/>
                <w:color w:val="auto"/>
                <w:sz w:val="24"/>
                <w:lang w:val="en-US" w:eastAsia="zh-CN"/>
              </w:rPr>
              <w:t>建设单位：理行汽车销售服务（西安）有限公司第十八分公司</w:t>
            </w:r>
          </w:p>
          <w:p w14:paraId="585A348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bCs/>
                <w:color w:val="auto"/>
                <w:sz w:val="24"/>
                <w:lang w:val="en-US" w:eastAsia="zh-CN"/>
              </w:rPr>
            </w:pPr>
            <w:r>
              <w:rPr>
                <w:rFonts w:hint="eastAsia"/>
                <w:bCs/>
                <w:color w:val="auto"/>
                <w:sz w:val="24"/>
                <w:lang w:val="en-US" w:eastAsia="zh-CN"/>
              </w:rPr>
              <w:t>建设性质：新建</w:t>
            </w:r>
          </w:p>
          <w:p w14:paraId="2E3617E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rPr>
            </w:pPr>
            <w:r>
              <w:rPr>
                <w:rFonts w:hint="eastAsia"/>
                <w:bCs/>
                <w:color w:val="auto"/>
                <w:sz w:val="24"/>
                <w:lang w:val="en-US" w:eastAsia="zh-CN"/>
              </w:rPr>
              <w:t>建设地点：</w:t>
            </w:r>
            <w:r>
              <w:rPr>
                <w:rFonts w:hint="eastAsia"/>
                <w:bCs/>
                <w:color w:val="auto"/>
                <w:sz w:val="24"/>
                <w:lang w:eastAsia="zh-CN"/>
              </w:rPr>
              <w:t>西咸新区沣东新城天章大道与丰安路十字西北角丰树沣东（西安）产业园1号库1-1号</w:t>
            </w:r>
            <w:r>
              <w:rPr>
                <w:rFonts w:hint="eastAsia"/>
                <w:bCs/>
                <w:color w:val="auto"/>
                <w:sz w:val="24"/>
              </w:rPr>
              <w:t>，详见附图1地理位置图。</w:t>
            </w:r>
            <w:bookmarkStart w:id="1" w:name="_Hlk111793073"/>
          </w:p>
          <w:p w14:paraId="5535BFC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lang w:eastAsia="zh-CN"/>
              </w:rPr>
            </w:pPr>
            <w:r>
              <w:rPr>
                <w:rFonts w:hint="eastAsia" w:ascii="Times New Roman" w:hAnsi="Times New Roman" w:eastAsia="宋体" w:cs="Times New Roman"/>
                <w:bCs/>
                <w:color w:val="auto"/>
                <w:sz w:val="24"/>
                <w:lang w:val="en-US" w:eastAsia="zh-CN"/>
              </w:rPr>
              <w:t>四邻关系：</w:t>
            </w:r>
            <w:r>
              <w:rPr>
                <w:rFonts w:hint="eastAsia"/>
                <w:color w:val="auto"/>
                <w:sz w:val="24"/>
              </w:rPr>
              <w:t>北侧为</w:t>
            </w:r>
            <w:r>
              <w:rPr>
                <w:rFonts w:hint="eastAsia"/>
                <w:color w:val="auto"/>
                <w:sz w:val="24"/>
                <w:lang w:val="en-US" w:eastAsia="zh-CN"/>
              </w:rPr>
              <w:t>德邦物流</w:t>
            </w:r>
            <w:r>
              <w:rPr>
                <w:rFonts w:hint="eastAsia"/>
                <w:color w:val="auto"/>
                <w:sz w:val="24"/>
              </w:rPr>
              <w:t>，南侧为</w:t>
            </w:r>
            <w:r>
              <w:rPr>
                <w:rFonts w:hint="eastAsia"/>
                <w:color w:val="auto"/>
                <w:sz w:val="24"/>
                <w:lang w:val="en-US" w:eastAsia="zh-CN"/>
              </w:rPr>
              <w:t>诚域集团</w:t>
            </w:r>
            <w:r>
              <w:rPr>
                <w:rFonts w:hint="eastAsia"/>
                <w:color w:val="auto"/>
                <w:sz w:val="24"/>
              </w:rPr>
              <w:t>，西侧</w:t>
            </w:r>
            <w:r>
              <w:rPr>
                <w:rFonts w:hint="eastAsia"/>
                <w:color w:val="auto"/>
                <w:sz w:val="24"/>
                <w:lang w:val="en-US" w:eastAsia="zh-CN"/>
              </w:rPr>
              <w:t>和东侧为空地</w:t>
            </w:r>
            <w:r>
              <w:rPr>
                <w:rFonts w:hint="eastAsia"/>
                <w:color w:val="auto"/>
                <w:sz w:val="24"/>
                <w:lang w:eastAsia="zh-CN"/>
              </w:rPr>
              <w:t>。</w:t>
            </w:r>
          </w:p>
          <w:bookmarkEnd w:id="1"/>
          <w:p w14:paraId="4AAD730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bCs/>
                <w:color w:val="auto"/>
                <w:sz w:val="24"/>
              </w:rPr>
            </w:pPr>
            <w:r>
              <w:rPr>
                <w:rFonts w:hint="eastAsia"/>
                <w:bCs/>
                <w:color w:val="auto"/>
                <w:sz w:val="24"/>
              </w:rPr>
              <w:t>（2）建设规模及建设内容</w:t>
            </w:r>
          </w:p>
          <w:p w14:paraId="0B6B357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rPr>
            </w:pPr>
            <w:r>
              <w:rPr>
                <w:rFonts w:hint="eastAsia"/>
                <w:color w:val="auto"/>
                <w:sz w:val="24"/>
              </w:rPr>
              <w:t>本项目</w:t>
            </w:r>
            <w:r>
              <w:rPr>
                <w:rFonts w:hint="eastAsia"/>
                <w:color w:val="auto"/>
                <w:sz w:val="24"/>
                <w:lang w:val="en-US" w:eastAsia="zh-CN"/>
              </w:rPr>
              <w:t>租用陕西格邦森实业有限公司</w:t>
            </w:r>
            <w:r>
              <w:rPr>
                <w:rFonts w:hint="eastAsia"/>
                <w:color w:val="auto"/>
                <w:sz w:val="24"/>
              </w:rPr>
              <w:t>西咸新区沣东新城天章大道与丰安路十字西北角丰树沣东（西安）产业园1号库1-1号</w:t>
            </w:r>
            <w:r>
              <w:rPr>
                <w:rFonts w:hint="eastAsia"/>
                <w:color w:val="auto"/>
                <w:sz w:val="24"/>
                <w:lang w:val="en-US" w:eastAsia="zh-CN"/>
              </w:rPr>
              <w:t>进行项目建设</w:t>
            </w:r>
            <w:r>
              <w:rPr>
                <w:rFonts w:hint="eastAsia"/>
                <w:color w:val="auto"/>
                <w:sz w:val="24"/>
                <w:lang w:eastAsia="zh-CN"/>
              </w:rPr>
              <w:t>。</w:t>
            </w:r>
            <w:r>
              <w:rPr>
                <w:rFonts w:hint="eastAsia"/>
                <w:bCs/>
                <w:color w:val="auto"/>
                <w:sz w:val="24"/>
                <w:lang w:val="en-US" w:eastAsia="zh-CN"/>
              </w:rPr>
              <w:t>总面积为5204.831平方米，</w:t>
            </w:r>
            <w:r>
              <w:rPr>
                <w:rFonts w:hint="eastAsia"/>
                <w:color w:val="auto"/>
                <w:sz w:val="24"/>
                <w:lang w:val="en-US" w:eastAsia="zh-CN"/>
              </w:rPr>
              <w:t>室内建筑</w:t>
            </w:r>
            <w:r>
              <w:rPr>
                <w:color w:val="auto"/>
                <w:sz w:val="24"/>
              </w:rPr>
              <w:t>面积</w:t>
            </w:r>
            <w:r>
              <w:rPr>
                <w:rFonts w:hint="eastAsia"/>
                <w:color w:val="auto"/>
                <w:sz w:val="24"/>
                <w:lang w:val="en-US" w:eastAsia="zh-CN"/>
              </w:rPr>
              <w:t>4956</w:t>
            </w:r>
            <w:r>
              <w:rPr>
                <w:color w:val="auto"/>
                <w:sz w:val="24"/>
              </w:rPr>
              <w:t>m</w:t>
            </w:r>
            <w:r>
              <w:rPr>
                <w:color w:val="auto"/>
                <w:sz w:val="24"/>
                <w:vertAlign w:val="superscript"/>
              </w:rPr>
              <w:t>2</w:t>
            </w:r>
            <w:r>
              <w:rPr>
                <w:rFonts w:hint="eastAsia"/>
                <w:bCs/>
                <w:color w:val="auto"/>
                <w:sz w:val="24"/>
                <w:lang w:eastAsia="zh-CN"/>
              </w:rPr>
              <w:t>（</w:t>
            </w:r>
            <w:r>
              <w:rPr>
                <w:rFonts w:hint="eastAsia"/>
                <w:bCs/>
                <w:color w:val="auto"/>
                <w:sz w:val="24"/>
                <w:lang w:val="en-US" w:eastAsia="zh-CN"/>
              </w:rPr>
              <w:t>其中服务中心一层面积2266m</w:t>
            </w:r>
            <w:r>
              <w:rPr>
                <w:rFonts w:hint="eastAsia"/>
                <w:bCs/>
                <w:color w:val="auto"/>
                <w:sz w:val="24"/>
                <w:vertAlign w:val="superscript"/>
                <w:lang w:val="en-US" w:eastAsia="zh-CN"/>
              </w:rPr>
              <w:t>2</w:t>
            </w:r>
            <w:r>
              <w:rPr>
                <w:rFonts w:hint="eastAsia"/>
                <w:bCs/>
                <w:color w:val="auto"/>
                <w:sz w:val="24"/>
                <w:lang w:val="en-US" w:eastAsia="zh-CN"/>
              </w:rPr>
              <w:t>，钣喷中心（钣喷车间、维修车间等）面积2690m</w:t>
            </w:r>
            <w:r>
              <w:rPr>
                <w:rFonts w:hint="eastAsia"/>
                <w:bCs/>
                <w:color w:val="auto"/>
                <w:sz w:val="24"/>
                <w:vertAlign w:val="superscript"/>
                <w:lang w:val="en-US" w:eastAsia="zh-CN"/>
              </w:rPr>
              <w:t>2</w:t>
            </w:r>
            <w:r>
              <w:rPr>
                <w:rFonts w:hint="eastAsia"/>
                <w:color w:val="auto"/>
                <w:sz w:val="24"/>
                <w:lang w:eastAsia="zh-CN"/>
              </w:rPr>
              <w:t>），</w:t>
            </w:r>
            <w:r>
              <w:rPr>
                <w:rFonts w:hint="eastAsia"/>
                <w:bCs/>
                <w:color w:val="auto"/>
                <w:sz w:val="24"/>
                <w:lang w:val="en-US" w:eastAsia="zh-CN"/>
              </w:rPr>
              <w:t>洗车房面积248.831m</w:t>
            </w:r>
            <w:r>
              <w:rPr>
                <w:rFonts w:hint="eastAsia"/>
                <w:bCs/>
                <w:color w:val="auto"/>
                <w:sz w:val="24"/>
                <w:vertAlign w:val="superscript"/>
                <w:lang w:val="en-US" w:eastAsia="zh-CN"/>
              </w:rPr>
              <w:t>2</w:t>
            </w:r>
            <w:r>
              <w:rPr>
                <w:rFonts w:hint="eastAsia"/>
                <w:color w:val="auto"/>
                <w:sz w:val="24"/>
                <w:lang w:eastAsia="zh-CN"/>
              </w:rPr>
              <w:t>，</w:t>
            </w:r>
            <w:r>
              <w:rPr>
                <w:rFonts w:hint="eastAsia"/>
                <w:color w:val="auto"/>
                <w:sz w:val="24"/>
                <w:lang w:val="en-US" w:eastAsia="zh-CN"/>
              </w:rPr>
              <w:t>各区域之间为砖混墙体和钢结构隔离</w:t>
            </w:r>
            <w:r>
              <w:rPr>
                <w:rFonts w:hint="eastAsia"/>
                <w:color w:val="auto"/>
                <w:sz w:val="24"/>
              </w:rPr>
              <w:t>。</w:t>
            </w:r>
            <w:r>
              <w:rPr>
                <w:color w:val="auto"/>
                <w:sz w:val="24"/>
              </w:rPr>
              <w:t>项目组成详见表</w:t>
            </w:r>
            <w:r>
              <w:rPr>
                <w:rFonts w:hint="eastAsia"/>
                <w:color w:val="auto"/>
                <w:sz w:val="24"/>
              </w:rPr>
              <w:t>2-1</w:t>
            </w:r>
            <w:r>
              <w:rPr>
                <w:color w:val="auto"/>
                <w:sz w:val="24"/>
              </w:rPr>
              <w:t>。</w:t>
            </w:r>
          </w:p>
          <w:p w14:paraId="40038271">
            <w:pPr>
              <w:pStyle w:val="64"/>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b/>
                <w:bCs/>
                <w:color w:val="auto"/>
                <w:szCs w:val="24"/>
              </w:rPr>
            </w:pPr>
            <w:r>
              <w:rPr>
                <w:rFonts w:ascii="Times New Roman" w:hAnsi="Times New Roman" w:eastAsia="宋体" w:cs="Times New Roman"/>
                <w:b/>
                <w:bCs/>
                <w:color w:val="auto"/>
                <w:szCs w:val="24"/>
              </w:rPr>
              <w:t>表</w:t>
            </w:r>
            <w:r>
              <w:rPr>
                <w:rFonts w:hint="eastAsia" w:ascii="Times New Roman" w:hAnsi="Times New Roman" w:eastAsia="宋体" w:cs="Times New Roman"/>
                <w:b/>
                <w:bCs/>
                <w:color w:val="auto"/>
                <w:szCs w:val="24"/>
              </w:rPr>
              <w:t>2-1</w:t>
            </w:r>
            <w:r>
              <w:rPr>
                <w:rFonts w:ascii="Times New Roman" w:hAnsi="Times New Roman" w:eastAsia="宋体" w:cs="Times New Roman"/>
                <w:b/>
                <w:bCs/>
                <w:color w:val="auto"/>
                <w:szCs w:val="24"/>
              </w:rPr>
              <w:t xml:space="preserve"> </w:t>
            </w:r>
            <w:r>
              <w:rPr>
                <w:rFonts w:hint="eastAsia" w:ascii="Times New Roman" w:hAnsi="Times New Roman" w:eastAsia="宋体" w:cs="Times New Roman"/>
                <w:b/>
                <w:bCs/>
                <w:color w:val="auto"/>
                <w:szCs w:val="24"/>
              </w:rPr>
              <w:t xml:space="preserve"> </w:t>
            </w:r>
            <w:r>
              <w:rPr>
                <w:rFonts w:ascii="Times New Roman" w:hAnsi="Times New Roman" w:eastAsia="宋体" w:cs="Times New Roman"/>
                <w:b/>
                <w:bCs/>
                <w:color w:val="auto"/>
                <w:szCs w:val="24"/>
              </w:rPr>
              <w:t>建设项目组成一览表</w:t>
            </w:r>
          </w:p>
          <w:tbl>
            <w:tblPr>
              <w:tblStyle w:val="25"/>
              <w:tblW w:w="504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5"/>
              <w:gridCol w:w="1076"/>
              <w:gridCol w:w="5489"/>
              <w:gridCol w:w="940"/>
            </w:tblGrid>
            <w:tr w14:paraId="5AE02D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9" w:type="pct"/>
                  <w:noWrap w:val="0"/>
                  <w:vAlign w:val="center"/>
                </w:tcPr>
                <w:p w14:paraId="09CD22E8">
                  <w:pPr>
                    <w:adjustRightInd w:val="0"/>
                    <w:snapToGrid w:val="0"/>
                    <w:jc w:val="center"/>
                    <w:rPr>
                      <w:b/>
                      <w:color w:val="auto"/>
                      <w:szCs w:val="21"/>
                    </w:rPr>
                  </w:pPr>
                  <w:bookmarkStart w:id="2" w:name="_Hlk521661023"/>
                  <w:r>
                    <w:rPr>
                      <w:b/>
                      <w:color w:val="auto"/>
                      <w:szCs w:val="21"/>
                    </w:rPr>
                    <w:t>工程类别</w:t>
                  </w:r>
                </w:p>
              </w:tc>
              <w:tc>
                <w:tcPr>
                  <w:tcW w:w="655" w:type="pct"/>
                  <w:noWrap w:val="0"/>
                  <w:vAlign w:val="center"/>
                </w:tcPr>
                <w:p w14:paraId="730D5F11">
                  <w:pPr>
                    <w:adjustRightInd w:val="0"/>
                    <w:snapToGrid w:val="0"/>
                    <w:jc w:val="center"/>
                    <w:rPr>
                      <w:b/>
                      <w:color w:val="auto"/>
                      <w:szCs w:val="21"/>
                    </w:rPr>
                  </w:pPr>
                  <w:r>
                    <w:rPr>
                      <w:b/>
                      <w:color w:val="auto"/>
                      <w:szCs w:val="21"/>
                    </w:rPr>
                    <w:t>主要项目</w:t>
                  </w:r>
                </w:p>
              </w:tc>
              <w:tc>
                <w:tcPr>
                  <w:tcW w:w="3343" w:type="pct"/>
                  <w:noWrap w:val="0"/>
                  <w:vAlign w:val="center"/>
                </w:tcPr>
                <w:p w14:paraId="2F21D769">
                  <w:pPr>
                    <w:adjustRightInd w:val="0"/>
                    <w:snapToGrid w:val="0"/>
                    <w:jc w:val="center"/>
                    <w:rPr>
                      <w:b/>
                      <w:color w:val="auto"/>
                      <w:szCs w:val="21"/>
                    </w:rPr>
                  </w:pPr>
                  <w:r>
                    <w:rPr>
                      <w:b/>
                      <w:color w:val="auto"/>
                      <w:szCs w:val="21"/>
                    </w:rPr>
                    <w:t>建设内容</w:t>
                  </w:r>
                </w:p>
              </w:tc>
              <w:tc>
                <w:tcPr>
                  <w:tcW w:w="572" w:type="pct"/>
                  <w:noWrap w:val="0"/>
                  <w:vAlign w:val="center"/>
                </w:tcPr>
                <w:p w14:paraId="67771015">
                  <w:pPr>
                    <w:adjustRightInd w:val="0"/>
                    <w:snapToGrid w:val="0"/>
                    <w:jc w:val="center"/>
                    <w:rPr>
                      <w:rFonts w:hint="eastAsia" w:eastAsia="宋体"/>
                      <w:b/>
                      <w:color w:val="auto"/>
                      <w:szCs w:val="21"/>
                      <w:lang w:val="en-US" w:eastAsia="zh-CN"/>
                    </w:rPr>
                  </w:pPr>
                  <w:r>
                    <w:rPr>
                      <w:rFonts w:hint="eastAsia"/>
                      <w:b/>
                      <w:color w:val="auto"/>
                      <w:szCs w:val="21"/>
                      <w:lang w:val="en-US" w:eastAsia="zh-CN"/>
                    </w:rPr>
                    <w:t>备注</w:t>
                  </w:r>
                </w:p>
              </w:tc>
            </w:tr>
            <w:tr w14:paraId="619A87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429" w:type="pct"/>
                  <w:vMerge w:val="restart"/>
                  <w:noWrap w:val="0"/>
                  <w:vAlign w:val="center"/>
                </w:tcPr>
                <w:p w14:paraId="4FC197B3">
                  <w:pPr>
                    <w:adjustRightInd w:val="0"/>
                    <w:snapToGrid w:val="0"/>
                    <w:jc w:val="center"/>
                    <w:rPr>
                      <w:color w:val="auto"/>
                      <w:szCs w:val="21"/>
                    </w:rPr>
                  </w:pPr>
                  <w:r>
                    <w:rPr>
                      <w:color w:val="auto"/>
                      <w:szCs w:val="21"/>
                    </w:rPr>
                    <w:t>主体工程</w:t>
                  </w:r>
                </w:p>
              </w:tc>
              <w:tc>
                <w:tcPr>
                  <w:tcW w:w="655" w:type="pct"/>
                  <w:noWrap w:val="0"/>
                  <w:vAlign w:val="center"/>
                </w:tcPr>
                <w:p w14:paraId="67AE9555">
                  <w:pPr>
                    <w:widowControl/>
                    <w:adjustRightInd w:val="0"/>
                    <w:snapToGrid w:val="0"/>
                    <w:jc w:val="center"/>
                    <w:rPr>
                      <w:rFonts w:hint="eastAsia" w:eastAsia="宋体"/>
                      <w:color w:val="auto"/>
                      <w:kern w:val="0"/>
                      <w:szCs w:val="21"/>
                      <w:lang w:eastAsia="zh-CN"/>
                    </w:rPr>
                  </w:pPr>
                  <w:r>
                    <w:rPr>
                      <w:rFonts w:hint="eastAsia"/>
                      <w:color w:val="auto"/>
                      <w:kern w:val="0"/>
                      <w:szCs w:val="21"/>
                      <w:lang w:val="en-US" w:eastAsia="zh-CN"/>
                    </w:rPr>
                    <w:t>服务中心</w:t>
                  </w:r>
                </w:p>
              </w:tc>
              <w:tc>
                <w:tcPr>
                  <w:tcW w:w="3343" w:type="pct"/>
                  <w:noWrap w:val="0"/>
                  <w:vAlign w:val="center"/>
                </w:tcPr>
                <w:p w14:paraId="0FDE6EA6">
                  <w:pPr>
                    <w:adjustRightInd w:val="0"/>
                    <w:snapToGrid w:val="0"/>
                    <w:rPr>
                      <w:rFonts w:hint="eastAsia"/>
                      <w:color w:val="auto"/>
                      <w:kern w:val="0"/>
                      <w:szCs w:val="21"/>
                    </w:rPr>
                  </w:pPr>
                  <w:r>
                    <w:rPr>
                      <w:rFonts w:hint="eastAsia"/>
                      <w:color w:val="auto"/>
                      <w:kern w:val="0"/>
                      <w:szCs w:val="21"/>
                    </w:rPr>
                    <w:t>面积</w:t>
                  </w:r>
                  <w:r>
                    <w:rPr>
                      <w:rFonts w:hint="eastAsia"/>
                      <w:color w:val="auto"/>
                      <w:kern w:val="0"/>
                      <w:szCs w:val="21"/>
                      <w:lang w:val="en-US" w:eastAsia="zh-CN"/>
                    </w:rPr>
                    <w:t>2266</w:t>
                  </w:r>
                  <w:r>
                    <w:rPr>
                      <w:rFonts w:hint="eastAsia"/>
                      <w:color w:val="auto"/>
                      <w:kern w:val="0"/>
                      <w:szCs w:val="21"/>
                    </w:rPr>
                    <w:t>m</w:t>
                  </w:r>
                  <w:r>
                    <w:rPr>
                      <w:rFonts w:hint="eastAsia"/>
                      <w:color w:val="auto"/>
                      <w:kern w:val="0"/>
                      <w:szCs w:val="21"/>
                      <w:vertAlign w:val="superscript"/>
                    </w:rPr>
                    <w:t>2</w:t>
                  </w:r>
                  <w:r>
                    <w:rPr>
                      <w:rFonts w:hint="eastAsia"/>
                      <w:color w:val="auto"/>
                      <w:kern w:val="0"/>
                      <w:szCs w:val="21"/>
                    </w:rPr>
                    <w:t>，</w:t>
                  </w:r>
                  <w:r>
                    <w:rPr>
                      <w:rFonts w:hint="eastAsia"/>
                      <w:color w:val="auto"/>
                      <w:kern w:val="0"/>
                      <w:szCs w:val="21"/>
                      <w:lang w:val="en-US" w:eastAsia="zh-CN"/>
                    </w:rPr>
                    <w:t>设客休区（位于厂区东南角）、售后办公室（位于厂区南侧）、配件库（位于厂区东侧）、接车区（位于厂区中部）、公共区（位于厂区南侧和东北侧）等。</w:t>
                  </w:r>
                </w:p>
              </w:tc>
              <w:tc>
                <w:tcPr>
                  <w:tcW w:w="572" w:type="pct"/>
                  <w:noWrap w:val="0"/>
                  <w:vAlign w:val="center"/>
                </w:tcPr>
                <w:p w14:paraId="5FE0E0C5">
                  <w:pPr>
                    <w:adjustRightInd w:val="0"/>
                    <w:snapToGrid w:val="0"/>
                    <w:jc w:val="center"/>
                    <w:rPr>
                      <w:rFonts w:hint="eastAsia" w:eastAsia="宋体"/>
                      <w:color w:val="auto"/>
                      <w:kern w:val="0"/>
                      <w:szCs w:val="21"/>
                      <w:lang w:val="en-US" w:eastAsia="zh-CN"/>
                    </w:rPr>
                  </w:pPr>
                  <w:r>
                    <w:rPr>
                      <w:rFonts w:hint="eastAsia"/>
                      <w:color w:val="auto"/>
                      <w:kern w:val="0"/>
                      <w:szCs w:val="21"/>
                      <w:lang w:val="en-US" w:eastAsia="zh-CN"/>
                    </w:rPr>
                    <w:t>已建</w:t>
                  </w:r>
                </w:p>
              </w:tc>
            </w:tr>
            <w:tr w14:paraId="2BA256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429" w:type="pct"/>
                  <w:vMerge w:val="continue"/>
                  <w:noWrap w:val="0"/>
                  <w:vAlign w:val="center"/>
                </w:tcPr>
                <w:p w14:paraId="5CBFA454">
                  <w:pPr>
                    <w:adjustRightInd w:val="0"/>
                    <w:snapToGrid w:val="0"/>
                    <w:jc w:val="center"/>
                    <w:rPr>
                      <w:color w:val="auto"/>
                      <w:szCs w:val="21"/>
                    </w:rPr>
                  </w:pPr>
                </w:p>
              </w:tc>
              <w:tc>
                <w:tcPr>
                  <w:tcW w:w="655" w:type="pct"/>
                  <w:noWrap w:val="0"/>
                  <w:vAlign w:val="center"/>
                </w:tcPr>
                <w:p w14:paraId="48846028">
                  <w:pPr>
                    <w:widowControl/>
                    <w:adjustRightInd w:val="0"/>
                    <w:snapToGrid w:val="0"/>
                    <w:jc w:val="center"/>
                    <w:rPr>
                      <w:rFonts w:hint="eastAsia"/>
                      <w:color w:val="auto"/>
                      <w:kern w:val="0"/>
                      <w:sz w:val="21"/>
                      <w:szCs w:val="21"/>
                      <w:lang w:val="en-US" w:eastAsia="zh-CN" w:bidi="ar-SA"/>
                    </w:rPr>
                  </w:pPr>
                  <w:r>
                    <w:rPr>
                      <w:rFonts w:hint="eastAsia"/>
                      <w:color w:val="auto"/>
                      <w:kern w:val="0"/>
                      <w:szCs w:val="21"/>
                      <w:lang w:val="en-US" w:eastAsia="zh-CN"/>
                    </w:rPr>
                    <w:t>钣喷中心</w:t>
                  </w:r>
                </w:p>
              </w:tc>
              <w:tc>
                <w:tcPr>
                  <w:tcW w:w="3343" w:type="pct"/>
                  <w:noWrap w:val="0"/>
                  <w:vAlign w:val="center"/>
                </w:tcPr>
                <w:p w14:paraId="68C85A8C">
                  <w:pPr>
                    <w:widowControl/>
                    <w:adjustRightInd w:val="0"/>
                    <w:snapToGrid w:val="0"/>
                    <w:jc w:val="both"/>
                    <w:rPr>
                      <w:rFonts w:hint="eastAsia"/>
                      <w:color w:val="auto"/>
                      <w:kern w:val="0"/>
                      <w:sz w:val="21"/>
                      <w:szCs w:val="21"/>
                      <w:lang w:val="en-US" w:eastAsia="zh-CN" w:bidi="ar-SA"/>
                    </w:rPr>
                  </w:pPr>
                  <w:r>
                    <w:rPr>
                      <w:rFonts w:hint="eastAsia"/>
                      <w:color w:val="auto"/>
                      <w:kern w:val="0"/>
                      <w:sz w:val="21"/>
                      <w:szCs w:val="21"/>
                      <w:lang w:val="en-US" w:eastAsia="zh-CN" w:bidi="ar-SA"/>
                    </w:rPr>
                    <w:t>面积2690m</w:t>
                  </w:r>
                  <w:r>
                    <w:rPr>
                      <w:rFonts w:hint="eastAsia"/>
                      <w:color w:val="auto"/>
                      <w:kern w:val="0"/>
                      <w:sz w:val="21"/>
                      <w:szCs w:val="21"/>
                      <w:vertAlign w:val="superscript"/>
                      <w:lang w:val="en-US" w:eastAsia="zh-CN" w:bidi="ar-SA"/>
                    </w:rPr>
                    <w:t>2</w:t>
                  </w:r>
                  <w:r>
                    <w:rPr>
                      <w:rFonts w:hint="eastAsia"/>
                      <w:color w:val="auto"/>
                      <w:kern w:val="0"/>
                      <w:sz w:val="21"/>
                      <w:szCs w:val="21"/>
                      <w:lang w:val="en-US" w:eastAsia="zh-CN" w:bidi="ar-SA"/>
                    </w:rPr>
                    <w:t>，包括维修车间和钣喷车间，维修车间（位于厂区北侧）设机修工位21个，用于车辆维修；钣喷区（位于厂区中部）设打磨房5间、中涂房1间、喷烤漆房3间，用于车辆工件打磨和喷漆。</w:t>
                  </w:r>
                </w:p>
              </w:tc>
              <w:tc>
                <w:tcPr>
                  <w:tcW w:w="572" w:type="pct"/>
                  <w:noWrap w:val="0"/>
                  <w:vAlign w:val="center"/>
                </w:tcPr>
                <w:p w14:paraId="689213D9">
                  <w:pPr>
                    <w:widowControl/>
                    <w:adjustRightInd w:val="0"/>
                    <w:snapToGrid w:val="0"/>
                    <w:jc w:val="center"/>
                    <w:rPr>
                      <w:rFonts w:hint="default"/>
                      <w:color w:val="auto"/>
                      <w:kern w:val="0"/>
                      <w:sz w:val="21"/>
                      <w:szCs w:val="21"/>
                      <w:lang w:val="en-US" w:eastAsia="zh-CN" w:bidi="ar-SA"/>
                    </w:rPr>
                  </w:pPr>
                  <w:r>
                    <w:rPr>
                      <w:rFonts w:hint="eastAsia"/>
                      <w:color w:val="auto"/>
                      <w:kern w:val="0"/>
                      <w:szCs w:val="21"/>
                      <w:lang w:val="en-US" w:eastAsia="zh-CN"/>
                    </w:rPr>
                    <w:t>喷烤漆房3#新建，其余已建</w:t>
                  </w:r>
                </w:p>
              </w:tc>
            </w:tr>
            <w:tr w14:paraId="58A0C0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9" w:type="pct"/>
                  <w:vMerge w:val="continue"/>
                  <w:noWrap w:val="0"/>
                  <w:vAlign w:val="center"/>
                </w:tcPr>
                <w:p w14:paraId="685E8C69">
                  <w:pPr>
                    <w:adjustRightInd w:val="0"/>
                    <w:snapToGrid w:val="0"/>
                    <w:jc w:val="center"/>
                    <w:rPr>
                      <w:color w:val="auto"/>
                      <w:szCs w:val="21"/>
                    </w:rPr>
                  </w:pPr>
                </w:p>
              </w:tc>
              <w:tc>
                <w:tcPr>
                  <w:tcW w:w="655" w:type="pct"/>
                  <w:noWrap w:val="0"/>
                  <w:vAlign w:val="center"/>
                </w:tcPr>
                <w:p w14:paraId="3A798CD3">
                  <w:pPr>
                    <w:widowControl/>
                    <w:adjustRightInd w:val="0"/>
                    <w:snapToGrid w:val="0"/>
                    <w:jc w:val="center"/>
                    <w:rPr>
                      <w:rFonts w:hint="eastAsia"/>
                      <w:color w:val="auto"/>
                      <w:kern w:val="0"/>
                      <w:sz w:val="21"/>
                      <w:szCs w:val="21"/>
                      <w:lang w:val="en-US" w:eastAsia="zh-CN" w:bidi="ar-SA"/>
                    </w:rPr>
                  </w:pPr>
                  <w:r>
                    <w:rPr>
                      <w:rFonts w:hint="eastAsia"/>
                      <w:color w:val="auto"/>
                      <w:kern w:val="0"/>
                      <w:sz w:val="21"/>
                      <w:szCs w:val="21"/>
                      <w:lang w:val="en-US" w:eastAsia="zh-CN" w:bidi="ar-SA"/>
                    </w:rPr>
                    <w:t>洗车房</w:t>
                  </w:r>
                </w:p>
              </w:tc>
              <w:tc>
                <w:tcPr>
                  <w:tcW w:w="3343" w:type="pct"/>
                  <w:noWrap w:val="0"/>
                  <w:vAlign w:val="center"/>
                </w:tcPr>
                <w:p w14:paraId="4201E81B">
                  <w:pPr>
                    <w:adjustRightInd w:val="0"/>
                    <w:snapToGrid w:val="0"/>
                    <w:rPr>
                      <w:rFonts w:hint="eastAsia"/>
                      <w:bCs/>
                      <w:snapToGrid w:val="0"/>
                      <w:color w:val="auto"/>
                      <w:kern w:val="2"/>
                      <w:sz w:val="21"/>
                      <w:szCs w:val="21"/>
                      <w:lang w:val="en-US" w:eastAsia="zh-CN" w:bidi="ar-SA"/>
                    </w:rPr>
                  </w:pPr>
                  <w:r>
                    <w:rPr>
                      <w:rFonts w:hint="eastAsia"/>
                      <w:bCs/>
                      <w:snapToGrid w:val="0"/>
                      <w:color w:val="auto"/>
                      <w:kern w:val="2"/>
                      <w:sz w:val="21"/>
                      <w:szCs w:val="21"/>
                      <w:lang w:val="en-US" w:eastAsia="zh-CN" w:bidi="ar-SA"/>
                    </w:rPr>
                    <w:t>洗车房位于厂外西南侧，设3个洗车位，面积248.831m</w:t>
                  </w:r>
                  <w:r>
                    <w:rPr>
                      <w:rFonts w:hint="eastAsia"/>
                      <w:bCs/>
                      <w:snapToGrid w:val="0"/>
                      <w:color w:val="auto"/>
                      <w:kern w:val="2"/>
                      <w:sz w:val="21"/>
                      <w:szCs w:val="21"/>
                      <w:vertAlign w:val="superscript"/>
                      <w:lang w:val="en-US" w:eastAsia="zh-CN" w:bidi="ar-SA"/>
                    </w:rPr>
                    <w:t>2</w:t>
                  </w:r>
                  <w:r>
                    <w:rPr>
                      <w:rFonts w:hint="eastAsia"/>
                      <w:bCs/>
                      <w:snapToGrid w:val="0"/>
                      <w:color w:val="auto"/>
                      <w:kern w:val="2"/>
                      <w:sz w:val="21"/>
                      <w:szCs w:val="21"/>
                      <w:vertAlign w:val="baseline"/>
                      <w:lang w:val="en-US" w:eastAsia="zh-CN" w:bidi="ar-SA"/>
                    </w:rPr>
                    <w:t>，用于车辆清洗。</w:t>
                  </w:r>
                </w:p>
              </w:tc>
              <w:tc>
                <w:tcPr>
                  <w:tcW w:w="572" w:type="pct"/>
                  <w:noWrap w:val="0"/>
                  <w:vAlign w:val="center"/>
                </w:tcPr>
                <w:p w14:paraId="5E1D924D">
                  <w:pPr>
                    <w:adjustRightInd w:val="0"/>
                    <w:snapToGrid w:val="0"/>
                    <w:jc w:val="center"/>
                    <w:rPr>
                      <w:rFonts w:hint="default"/>
                      <w:bCs/>
                      <w:snapToGrid w:val="0"/>
                      <w:color w:val="auto"/>
                      <w:kern w:val="2"/>
                      <w:sz w:val="21"/>
                      <w:szCs w:val="21"/>
                      <w:lang w:val="en-US" w:eastAsia="zh-CN" w:bidi="ar-SA"/>
                    </w:rPr>
                  </w:pPr>
                  <w:r>
                    <w:rPr>
                      <w:rFonts w:hint="eastAsia"/>
                      <w:bCs/>
                      <w:snapToGrid w:val="0"/>
                      <w:color w:val="auto"/>
                      <w:kern w:val="2"/>
                      <w:sz w:val="21"/>
                      <w:szCs w:val="21"/>
                      <w:lang w:val="en-US" w:eastAsia="zh-CN" w:bidi="ar-SA"/>
                    </w:rPr>
                    <w:t>新建</w:t>
                  </w:r>
                </w:p>
              </w:tc>
            </w:tr>
            <w:tr w14:paraId="61ED1F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9" w:type="pct"/>
                  <w:vMerge w:val="restart"/>
                  <w:noWrap w:val="0"/>
                  <w:vAlign w:val="center"/>
                </w:tcPr>
                <w:p w14:paraId="160F3654">
                  <w:pPr>
                    <w:adjustRightInd w:val="0"/>
                    <w:snapToGrid w:val="0"/>
                    <w:jc w:val="center"/>
                    <w:rPr>
                      <w:color w:val="auto"/>
                      <w:szCs w:val="21"/>
                    </w:rPr>
                  </w:pPr>
                  <w:r>
                    <w:rPr>
                      <w:color w:val="auto"/>
                      <w:szCs w:val="21"/>
                    </w:rPr>
                    <w:t>辅助工程</w:t>
                  </w:r>
                </w:p>
              </w:tc>
              <w:tc>
                <w:tcPr>
                  <w:tcW w:w="655" w:type="pct"/>
                  <w:noWrap w:val="0"/>
                  <w:vAlign w:val="center"/>
                </w:tcPr>
                <w:p w14:paraId="34A71655">
                  <w:pPr>
                    <w:widowControl/>
                    <w:adjustRightInd w:val="0"/>
                    <w:snapToGrid w:val="0"/>
                    <w:jc w:val="center"/>
                    <w:rPr>
                      <w:rFonts w:hint="default"/>
                      <w:color w:val="auto"/>
                      <w:kern w:val="0"/>
                      <w:sz w:val="21"/>
                      <w:szCs w:val="21"/>
                      <w:lang w:val="en-US" w:eastAsia="zh-CN" w:bidi="ar-SA"/>
                    </w:rPr>
                  </w:pPr>
                  <w:r>
                    <w:rPr>
                      <w:rFonts w:hint="eastAsia"/>
                      <w:color w:val="auto"/>
                      <w:kern w:val="0"/>
                      <w:sz w:val="21"/>
                      <w:szCs w:val="21"/>
                      <w:lang w:val="en-US" w:eastAsia="zh-CN" w:bidi="ar-SA"/>
                    </w:rPr>
                    <w:t>调漆室</w:t>
                  </w:r>
                </w:p>
              </w:tc>
              <w:tc>
                <w:tcPr>
                  <w:tcW w:w="3343" w:type="pct"/>
                  <w:noWrap w:val="0"/>
                  <w:vAlign w:val="center"/>
                </w:tcPr>
                <w:p w14:paraId="28003DBC">
                  <w:pPr>
                    <w:adjustRightInd w:val="0"/>
                    <w:snapToGrid w:val="0"/>
                    <w:rPr>
                      <w:rFonts w:hint="default"/>
                      <w:bCs/>
                      <w:snapToGrid w:val="0"/>
                      <w:color w:val="auto"/>
                      <w:kern w:val="2"/>
                      <w:sz w:val="21"/>
                      <w:szCs w:val="21"/>
                      <w:lang w:val="en-US" w:eastAsia="zh-CN" w:bidi="ar-SA"/>
                    </w:rPr>
                  </w:pPr>
                  <w:r>
                    <w:rPr>
                      <w:rFonts w:hint="eastAsia"/>
                      <w:bCs/>
                      <w:snapToGrid w:val="0"/>
                      <w:color w:val="auto"/>
                      <w:kern w:val="2"/>
                      <w:sz w:val="21"/>
                      <w:szCs w:val="21"/>
                      <w:lang w:val="en-US" w:eastAsia="zh-CN" w:bidi="ar-SA"/>
                    </w:rPr>
                    <w:t>位于西北侧，用于中涂、喷漆所用漆料的暂存和调漆。</w:t>
                  </w:r>
                </w:p>
              </w:tc>
              <w:tc>
                <w:tcPr>
                  <w:tcW w:w="572" w:type="pct"/>
                  <w:noWrap w:val="0"/>
                  <w:vAlign w:val="center"/>
                </w:tcPr>
                <w:p w14:paraId="135F9A80">
                  <w:pPr>
                    <w:adjustRightInd w:val="0"/>
                    <w:snapToGrid w:val="0"/>
                    <w:jc w:val="center"/>
                    <w:rPr>
                      <w:rFonts w:hint="eastAsia"/>
                      <w:bCs/>
                      <w:snapToGrid w:val="0"/>
                      <w:color w:val="auto"/>
                      <w:kern w:val="2"/>
                      <w:sz w:val="21"/>
                      <w:szCs w:val="21"/>
                      <w:lang w:val="en-US" w:eastAsia="zh-CN" w:bidi="ar-SA"/>
                    </w:rPr>
                  </w:pPr>
                  <w:r>
                    <w:rPr>
                      <w:rFonts w:hint="eastAsia"/>
                      <w:color w:val="auto"/>
                      <w:kern w:val="0"/>
                      <w:szCs w:val="21"/>
                      <w:lang w:val="en-US" w:eastAsia="zh-CN"/>
                    </w:rPr>
                    <w:t>已建</w:t>
                  </w:r>
                </w:p>
              </w:tc>
            </w:tr>
            <w:tr w14:paraId="04312C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9" w:type="pct"/>
                  <w:vMerge w:val="continue"/>
                  <w:noWrap w:val="0"/>
                  <w:vAlign w:val="center"/>
                </w:tcPr>
                <w:p w14:paraId="2046BE97">
                  <w:pPr>
                    <w:adjustRightInd w:val="0"/>
                    <w:snapToGrid w:val="0"/>
                    <w:jc w:val="center"/>
                    <w:rPr>
                      <w:color w:val="auto"/>
                      <w:szCs w:val="21"/>
                    </w:rPr>
                  </w:pPr>
                </w:p>
              </w:tc>
              <w:tc>
                <w:tcPr>
                  <w:tcW w:w="655" w:type="pct"/>
                  <w:noWrap w:val="0"/>
                  <w:vAlign w:val="center"/>
                </w:tcPr>
                <w:p w14:paraId="265B6FD6">
                  <w:pPr>
                    <w:widowControl/>
                    <w:adjustRightInd w:val="0"/>
                    <w:snapToGrid w:val="0"/>
                    <w:jc w:val="center"/>
                    <w:rPr>
                      <w:rFonts w:hint="default" w:eastAsia="宋体"/>
                      <w:color w:val="auto"/>
                      <w:kern w:val="0"/>
                      <w:sz w:val="21"/>
                      <w:szCs w:val="21"/>
                      <w:lang w:val="en-US" w:eastAsia="zh-CN" w:bidi="ar-SA"/>
                    </w:rPr>
                  </w:pPr>
                  <w:r>
                    <w:rPr>
                      <w:rFonts w:hint="eastAsia"/>
                      <w:color w:val="auto"/>
                      <w:kern w:val="0"/>
                      <w:szCs w:val="21"/>
                      <w:lang w:val="en-US" w:eastAsia="zh-CN"/>
                    </w:rPr>
                    <w:t>压缩机房</w:t>
                  </w:r>
                </w:p>
              </w:tc>
              <w:tc>
                <w:tcPr>
                  <w:tcW w:w="3343" w:type="pct"/>
                  <w:noWrap w:val="0"/>
                  <w:vAlign w:val="center"/>
                </w:tcPr>
                <w:p w14:paraId="7614672B">
                  <w:pPr>
                    <w:adjustRightInd w:val="0"/>
                    <w:snapToGrid w:val="0"/>
                    <w:rPr>
                      <w:rFonts w:hint="eastAsia"/>
                      <w:bCs/>
                      <w:snapToGrid w:val="0"/>
                      <w:color w:val="auto"/>
                      <w:szCs w:val="21"/>
                      <w:lang w:val="en-US" w:eastAsia="zh-CN"/>
                    </w:rPr>
                  </w:pPr>
                  <w:r>
                    <w:rPr>
                      <w:rFonts w:hint="eastAsia"/>
                      <w:bCs/>
                      <w:snapToGrid w:val="0"/>
                      <w:color w:val="auto"/>
                      <w:szCs w:val="21"/>
                      <w:lang w:val="en-US" w:eastAsia="zh-CN"/>
                    </w:rPr>
                    <w:t>位于西北侧，压缩机设备存放。</w:t>
                  </w:r>
                </w:p>
              </w:tc>
              <w:tc>
                <w:tcPr>
                  <w:tcW w:w="572" w:type="pct"/>
                  <w:noWrap w:val="0"/>
                  <w:vAlign w:val="center"/>
                </w:tcPr>
                <w:p w14:paraId="6E235527">
                  <w:pPr>
                    <w:adjustRightInd w:val="0"/>
                    <w:snapToGrid w:val="0"/>
                    <w:jc w:val="center"/>
                    <w:rPr>
                      <w:rFonts w:hint="eastAsia"/>
                      <w:bCs/>
                      <w:snapToGrid w:val="0"/>
                      <w:color w:val="auto"/>
                      <w:szCs w:val="21"/>
                      <w:lang w:val="en-US" w:eastAsia="zh-CN"/>
                    </w:rPr>
                  </w:pPr>
                  <w:r>
                    <w:rPr>
                      <w:rFonts w:hint="eastAsia"/>
                      <w:color w:val="auto"/>
                      <w:kern w:val="0"/>
                      <w:szCs w:val="21"/>
                      <w:lang w:val="en-US" w:eastAsia="zh-CN"/>
                    </w:rPr>
                    <w:t>已建</w:t>
                  </w:r>
                </w:p>
              </w:tc>
            </w:tr>
            <w:tr w14:paraId="2677D2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9" w:type="pct"/>
                  <w:vMerge w:val="continue"/>
                  <w:noWrap w:val="0"/>
                  <w:vAlign w:val="center"/>
                </w:tcPr>
                <w:p w14:paraId="30849F6D">
                  <w:pPr>
                    <w:adjustRightInd w:val="0"/>
                    <w:snapToGrid w:val="0"/>
                    <w:jc w:val="center"/>
                    <w:rPr>
                      <w:color w:val="auto"/>
                      <w:szCs w:val="21"/>
                    </w:rPr>
                  </w:pPr>
                </w:p>
              </w:tc>
              <w:tc>
                <w:tcPr>
                  <w:tcW w:w="655" w:type="pct"/>
                  <w:noWrap w:val="0"/>
                  <w:vAlign w:val="center"/>
                </w:tcPr>
                <w:p w14:paraId="5FEFAD5A">
                  <w:pPr>
                    <w:widowControl/>
                    <w:adjustRightInd w:val="0"/>
                    <w:snapToGrid w:val="0"/>
                    <w:jc w:val="center"/>
                    <w:rPr>
                      <w:rFonts w:hint="default"/>
                      <w:color w:val="auto"/>
                      <w:kern w:val="0"/>
                      <w:sz w:val="21"/>
                      <w:szCs w:val="21"/>
                      <w:lang w:val="en-US" w:eastAsia="zh-CN" w:bidi="ar-SA"/>
                    </w:rPr>
                  </w:pPr>
                  <w:r>
                    <w:rPr>
                      <w:rFonts w:hint="eastAsia"/>
                      <w:color w:val="auto"/>
                      <w:kern w:val="0"/>
                      <w:szCs w:val="21"/>
                      <w:lang w:val="en-US" w:eastAsia="zh-CN"/>
                    </w:rPr>
                    <w:t>储存室</w:t>
                  </w:r>
                </w:p>
              </w:tc>
              <w:tc>
                <w:tcPr>
                  <w:tcW w:w="3343" w:type="pct"/>
                  <w:noWrap w:val="0"/>
                  <w:vAlign w:val="center"/>
                </w:tcPr>
                <w:p w14:paraId="197A64F2">
                  <w:pPr>
                    <w:adjustRightInd w:val="0"/>
                    <w:snapToGrid w:val="0"/>
                    <w:rPr>
                      <w:rFonts w:hint="eastAsia"/>
                      <w:bCs/>
                      <w:snapToGrid w:val="0"/>
                      <w:color w:val="auto"/>
                      <w:kern w:val="2"/>
                      <w:sz w:val="21"/>
                      <w:szCs w:val="21"/>
                      <w:lang w:val="en-US" w:eastAsia="zh-CN" w:bidi="ar-SA"/>
                    </w:rPr>
                  </w:pPr>
                  <w:r>
                    <w:rPr>
                      <w:rFonts w:hint="eastAsia"/>
                      <w:bCs/>
                      <w:snapToGrid w:val="0"/>
                      <w:color w:val="auto"/>
                      <w:kern w:val="2"/>
                      <w:sz w:val="21"/>
                      <w:szCs w:val="21"/>
                      <w:lang w:val="en-US" w:eastAsia="zh-CN" w:bidi="ar-SA"/>
                    </w:rPr>
                    <w:t>钣喷专用工具室位于北侧，用于钣喷工序使用工具的存放；动力电池储存室位于西南侧，用于锂电池暂存；专用工具室位于西南侧，用于维修专业工具的存放；配件库位于东侧，用于机油、刹车油、机滤、空气滤、轮胎、前杠、玻璃、轮胎等存放；领料室位于东侧，储存电脑，柜子等。</w:t>
                  </w:r>
                </w:p>
              </w:tc>
              <w:tc>
                <w:tcPr>
                  <w:tcW w:w="572" w:type="pct"/>
                  <w:noWrap w:val="0"/>
                  <w:vAlign w:val="center"/>
                </w:tcPr>
                <w:p w14:paraId="318AFB66">
                  <w:pPr>
                    <w:adjustRightInd w:val="0"/>
                    <w:snapToGrid w:val="0"/>
                    <w:jc w:val="center"/>
                    <w:rPr>
                      <w:rFonts w:hint="eastAsia"/>
                      <w:bCs/>
                      <w:snapToGrid w:val="0"/>
                      <w:color w:val="auto"/>
                      <w:kern w:val="2"/>
                      <w:sz w:val="21"/>
                      <w:szCs w:val="21"/>
                      <w:lang w:val="en-US" w:eastAsia="zh-CN" w:bidi="ar-SA"/>
                    </w:rPr>
                  </w:pPr>
                  <w:r>
                    <w:rPr>
                      <w:rFonts w:hint="eastAsia"/>
                      <w:bCs/>
                      <w:snapToGrid w:val="0"/>
                      <w:color w:val="auto"/>
                      <w:szCs w:val="21"/>
                      <w:lang w:val="en-US" w:eastAsia="zh-CN"/>
                    </w:rPr>
                    <w:t>已建</w:t>
                  </w:r>
                </w:p>
              </w:tc>
            </w:tr>
            <w:tr w14:paraId="08A8DA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9" w:type="pct"/>
                  <w:vMerge w:val="continue"/>
                  <w:noWrap w:val="0"/>
                  <w:vAlign w:val="center"/>
                </w:tcPr>
                <w:p w14:paraId="38C58DA1">
                  <w:pPr>
                    <w:adjustRightInd w:val="0"/>
                    <w:snapToGrid w:val="0"/>
                    <w:jc w:val="center"/>
                    <w:rPr>
                      <w:color w:val="auto"/>
                      <w:szCs w:val="21"/>
                    </w:rPr>
                  </w:pPr>
                </w:p>
              </w:tc>
              <w:tc>
                <w:tcPr>
                  <w:tcW w:w="655" w:type="pct"/>
                  <w:noWrap w:val="0"/>
                  <w:vAlign w:val="center"/>
                </w:tcPr>
                <w:p w14:paraId="1D349BD0">
                  <w:pPr>
                    <w:widowControl/>
                    <w:adjustRightInd w:val="0"/>
                    <w:snapToGrid w:val="0"/>
                    <w:jc w:val="center"/>
                    <w:rPr>
                      <w:rFonts w:hint="default"/>
                      <w:color w:val="auto"/>
                      <w:kern w:val="0"/>
                      <w:szCs w:val="21"/>
                      <w:lang w:val="en-US" w:eastAsia="zh-CN"/>
                    </w:rPr>
                  </w:pPr>
                  <w:r>
                    <w:rPr>
                      <w:rFonts w:hint="eastAsia"/>
                      <w:color w:val="auto"/>
                      <w:kern w:val="0"/>
                      <w:szCs w:val="21"/>
                      <w:lang w:val="en-US" w:eastAsia="zh-CN"/>
                    </w:rPr>
                    <w:t>旧件储存室</w:t>
                  </w:r>
                </w:p>
              </w:tc>
              <w:tc>
                <w:tcPr>
                  <w:tcW w:w="3343" w:type="pct"/>
                  <w:noWrap w:val="0"/>
                  <w:vAlign w:val="center"/>
                </w:tcPr>
                <w:p w14:paraId="6B2DEC2F">
                  <w:pPr>
                    <w:adjustRightInd w:val="0"/>
                    <w:snapToGrid w:val="0"/>
                    <w:rPr>
                      <w:rFonts w:hint="eastAsia" w:eastAsia="宋体"/>
                      <w:color w:val="auto"/>
                      <w:kern w:val="0"/>
                      <w:szCs w:val="21"/>
                      <w:lang w:eastAsia="zh-CN"/>
                    </w:rPr>
                  </w:pPr>
                  <w:r>
                    <w:rPr>
                      <w:rFonts w:hint="eastAsia"/>
                      <w:bCs/>
                      <w:snapToGrid w:val="0"/>
                      <w:color w:val="auto"/>
                      <w:kern w:val="2"/>
                      <w:sz w:val="21"/>
                      <w:szCs w:val="21"/>
                      <w:lang w:val="en-US" w:eastAsia="zh-CN" w:bidi="ar-SA"/>
                    </w:rPr>
                    <w:t>储存室位于北侧，旧件储存；</w:t>
                  </w:r>
                  <w:r>
                    <w:rPr>
                      <w:rFonts w:hint="eastAsia"/>
                      <w:color w:val="auto"/>
                      <w:kern w:val="0"/>
                      <w:szCs w:val="21"/>
                    </w:rPr>
                    <w:t>保险旧件储存室2个，</w:t>
                  </w:r>
                  <w:r>
                    <w:rPr>
                      <w:rFonts w:hint="eastAsia"/>
                      <w:bCs/>
                      <w:snapToGrid w:val="0"/>
                      <w:color w:val="auto"/>
                      <w:szCs w:val="21"/>
                      <w:lang w:val="en-US" w:eastAsia="zh-CN"/>
                    </w:rPr>
                    <w:t>西南侧为</w:t>
                  </w:r>
                  <w:r>
                    <w:rPr>
                      <w:rFonts w:hint="eastAsia"/>
                      <w:color w:val="auto"/>
                      <w:kern w:val="0"/>
                      <w:szCs w:val="21"/>
                    </w:rPr>
                    <w:t>废旧前杠</w:t>
                  </w:r>
                  <w:r>
                    <w:rPr>
                      <w:rFonts w:hint="eastAsia"/>
                      <w:bCs/>
                      <w:snapToGrid w:val="0"/>
                      <w:color w:val="auto"/>
                      <w:szCs w:val="21"/>
                      <w:lang w:val="en-US" w:eastAsia="zh-CN"/>
                    </w:rPr>
                    <w:t>储存</w:t>
                  </w:r>
                  <w:r>
                    <w:rPr>
                      <w:rFonts w:hint="eastAsia"/>
                      <w:bCs/>
                      <w:snapToGrid w:val="0"/>
                      <w:color w:val="auto"/>
                      <w:szCs w:val="21"/>
                    </w:rPr>
                    <w:t>，南侧</w:t>
                  </w:r>
                  <w:r>
                    <w:rPr>
                      <w:rFonts w:hint="eastAsia"/>
                      <w:bCs/>
                      <w:snapToGrid w:val="0"/>
                      <w:color w:val="auto"/>
                      <w:szCs w:val="21"/>
                      <w:lang w:val="en-US" w:eastAsia="zh-CN"/>
                    </w:rPr>
                    <w:t>为</w:t>
                  </w:r>
                  <w:r>
                    <w:rPr>
                      <w:rFonts w:hint="eastAsia"/>
                      <w:bCs/>
                      <w:snapToGrid w:val="0"/>
                      <w:color w:val="auto"/>
                      <w:szCs w:val="21"/>
                    </w:rPr>
                    <w:t>废旧轮胎</w:t>
                  </w:r>
                  <w:r>
                    <w:rPr>
                      <w:rFonts w:hint="eastAsia"/>
                      <w:bCs/>
                      <w:snapToGrid w:val="0"/>
                      <w:color w:val="auto"/>
                      <w:szCs w:val="21"/>
                      <w:lang w:val="en-US" w:eastAsia="zh-CN"/>
                    </w:rPr>
                    <w:t>储存</w:t>
                  </w:r>
                  <w:r>
                    <w:rPr>
                      <w:rFonts w:hint="eastAsia"/>
                      <w:bCs/>
                      <w:snapToGrid w:val="0"/>
                      <w:color w:val="auto"/>
                      <w:szCs w:val="21"/>
                    </w:rPr>
                    <w:t>；</w:t>
                  </w:r>
                  <w:r>
                    <w:rPr>
                      <w:rFonts w:hint="eastAsia"/>
                      <w:color w:val="auto"/>
                      <w:kern w:val="0"/>
                      <w:szCs w:val="21"/>
                    </w:rPr>
                    <w:t>拆解旧件储存室</w:t>
                  </w:r>
                  <w:r>
                    <w:rPr>
                      <w:rFonts w:hint="eastAsia"/>
                      <w:bCs/>
                      <w:snapToGrid w:val="0"/>
                      <w:color w:val="auto"/>
                      <w:szCs w:val="21"/>
                    </w:rPr>
                    <w:t>位于北侧</w:t>
                  </w:r>
                  <w:r>
                    <w:rPr>
                      <w:rFonts w:hint="eastAsia"/>
                      <w:bCs/>
                      <w:snapToGrid w:val="0"/>
                      <w:color w:val="auto"/>
                      <w:szCs w:val="21"/>
                      <w:lang w:eastAsia="zh-CN"/>
                    </w:rPr>
                    <w:t>。</w:t>
                  </w:r>
                </w:p>
              </w:tc>
              <w:tc>
                <w:tcPr>
                  <w:tcW w:w="572" w:type="pct"/>
                  <w:noWrap w:val="0"/>
                  <w:vAlign w:val="center"/>
                </w:tcPr>
                <w:p w14:paraId="2132BC02">
                  <w:pPr>
                    <w:adjustRightInd w:val="0"/>
                    <w:snapToGrid w:val="0"/>
                    <w:jc w:val="center"/>
                    <w:rPr>
                      <w:rFonts w:hint="eastAsia"/>
                      <w:bCs/>
                      <w:snapToGrid w:val="0"/>
                      <w:color w:val="auto"/>
                      <w:kern w:val="2"/>
                      <w:sz w:val="21"/>
                      <w:szCs w:val="21"/>
                      <w:lang w:val="en-US" w:eastAsia="zh-CN" w:bidi="ar-SA"/>
                    </w:rPr>
                  </w:pPr>
                  <w:r>
                    <w:rPr>
                      <w:rFonts w:hint="eastAsia"/>
                      <w:bCs/>
                      <w:snapToGrid w:val="0"/>
                      <w:color w:val="auto"/>
                      <w:szCs w:val="21"/>
                      <w:lang w:val="en-US" w:eastAsia="zh-CN"/>
                    </w:rPr>
                    <w:t>已建</w:t>
                  </w:r>
                </w:p>
              </w:tc>
            </w:tr>
            <w:tr w14:paraId="2BFDE1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9" w:type="pct"/>
                  <w:vMerge w:val="continue"/>
                  <w:noWrap w:val="0"/>
                  <w:vAlign w:val="center"/>
                </w:tcPr>
                <w:p w14:paraId="63C7ED81">
                  <w:pPr>
                    <w:adjustRightInd w:val="0"/>
                    <w:snapToGrid w:val="0"/>
                    <w:jc w:val="center"/>
                    <w:rPr>
                      <w:color w:val="auto"/>
                      <w:szCs w:val="21"/>
                    </w:rPr>
                  </w:pPr>
                </w:p>
              </w:tc>
              <w:tc>
                <w:tcPr>
                  <w:tcW w:w="655" w:type="pct"/>
                  <w:noWrap w:val="0"/>
                  <w:vAlign w:val="center"/>
                </w:tcPr>
                <w:p w14:paraId="5C9504D8">
                  <w:pPr>
                    <w:widowControl/>
                    <w:adjustRightInd w:val="0"/>
                    <w:snapToGrid w:val="0"/>
                    <w:jc w:val="center"/>
                    <w:rPr>
                      <w:rFonts w:hint="default"/>
                      <w:color w:val="auto"/>
                      <w:kern w:val="0"/>
                      <w:sz w:val="21"/>
                      <w:szCs w:val="21"/>
                      <w:lang w:val="en-US" w:eastAsia="zh-CN" w:bidi="ar-SA"/>
                    </w:rPr>
                  </w:pPr>
                  <w:r>
                    <w:rPr>
                      <w:rFonts w:hint="eastAsia"/>
                      <w:color w:val="auto"/>
                      <w:kern w:val="0"/>
                      <w:szCs w:val="21"/>
                      <w:lang w:val="en-US" w:eastAsia="zh-CN"/>
                    </w:rPr>
                    <w:t>接车区</w:t>
                  </w:r>
                </w:p>
              </w:tc>
              <w:tc>
                <w:tcPr>
                  <w:tcW w:w="3343" w:type="pct"/>
                  <w:noWrap w:val="0"/>
                  <w:vAlign w:val="center"/>
                </w:tcPr>
                <w:p w14:paraId="3C1F7AE2">
                  <w:pPr>
                    <w:adjustRightInd w:val="0"/>
                    <w:snapToGrid w:val="0"/>
                    <w:rPr>
                      <w:rFonts w:hint="eastAsia"/>
                      <w:bCs/>
                      <w:snapToGrid w:val="0"/>
                      <w:color w:val="auto"/>
                      <w:kern w:val="2"/>
                      <w:sz w:val="21"/>
                      <w:szCs w:val="21"/>
                      <w:lang w:val="en-US" w:eastAsia="zh-CN" w:bidi="ar-SA"/>
                    </w:rPr>
                  </w:pPr>
                  <w:r>
                    <w:rPr>
                      <w:rFonts w:hint="eastAsia"/>
                      <w:bCs/>
                      <w:snapToGrid w:val="0"/>
                      <w:color w:val="auto"/>
                      <w:kern w:val="2"/>
                      <w:sz w:val="21"/>
                      <w:szCs w:val="21"/>
                      <w:lang w:val="en-US" w:eastAsia="zh-CN" w:bidi="ar-SA"/>
                    </w:rPr>
                    <w:t>位于中部，维修、喷漆车辆接车。</w:t>
                  </w:r>
                </w:p>
              </w:tc>
              <w:tc>
                <w:tcPr>
                  <w:tcW w:w="572" w:type="pct"/>
                  <w:noWrap w:val="0"/>
                  <w:vAlign w:val="center"/>
                </w:tcPr>
                <w:p w14:paraId="14FB6873">
                  <w:pPr>
                    <w:adjustRightInd w:val="0"/>
                    <w:snapToGrid w:val="0"/>
                    <w:jc w:val="center"/>
                    <w:rPr>
                      <w:rFonts w:hint="eastAsia"/>
                      <w:bCs/>
                      <w:snapToGrid w:val="0"/>
                      <w:color w:val="auto"/>
                      <w:kern w:val="2"/>
                      <w:sz w:val="21"/>
                      <w:szCs w:val="21"/>
                      <w:lang w:val="en-US" w:eastAsia="zh-CN" w:bidi="ar-SA"/>
                    </w:rPr>
                  </w:pPr>
                  <w:r>
                    <w:rPr>
                      <w:rFonts w:hint="eastAsia"/>
                      <w:bCs/>
                      <w:snapToGrid w:val="0"/>
                      <w:color w:val="auto"/>
                      <w:szCs w:val="21"/>
                      <w:lang w:val="en-US" w:eastAsia="zh-CN"/>
                    </w:rPr>
                    <w:t>已建</w:t>
                  </w:r>
                </w:p>
              </w:tc>
            </w:tr>
            <w:tr w14:paraId="4B33E7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9" w:type="pct"/>
                  <w:vMerge w:val="continue"/>
                  <w:noWrap w:val="0"/>
                  <w:vAlign w:val="center"/>
                </w:tcPr>
                <w:p w14:paraId="589E7DDF">
                  <w:pPr>
                    <w:adjustRightInd w:val="0"/>
                    <w:snapToGrid w:val="0"/>
                    <w:jc w:val="center"/>
                    <w:rPr>
                      <w:color w:val="auto"/>
                      <w:szCs w:val="21"/>
                    </w:rPr>
                  </w:pPr>
                </w:p>
              </w:tc>
              <w:tc>
                <w:tcPr>
                  <w:tcW w:w="655" w:type="pct"/>
                  <w:noWrap w:val="0"/>
                  <w:vAlign w:val="center"/>
                </w:tcPr>
                <w:p w14:paraId="08E453FD">
                  <w:pPr>
                    <w:widowControl/>
                    <w:adjustRightInd w:val="0"/>
                    <w:snapToGrid w:val="0"/>
                    <w:jc w:val="center"/>
                    <w:rPr>
                      <w:rFonts w:hint="eastAsia"/>
                      <w:color w:val="auto"/>
                      <w:kern w:val="0"/>
                      <w:sz w:val="21"/>
                      <w:szCs w:val="21"/>
                      <w:lang w:val="en-US" w:eastAsia="zh-CN" w:bidi="ar-SA"/>
                    </w:rPr>
                  </w:pPr>
                  <w:r>
                    <w:rPr>
                      <w:rFonts w:hint="eastAsia"/>
                      <w:color w:val="auto"/>
                      <w:kern w:val="0"/>
                      <w:sz w:val="21"/>
                      <w:szCs w:val="21"/>
                      <w:lang w:val="en-US" w:eastAsia="zh-CN" w:bidi="ar-SA"/>
                    </w:rPr>
                    <w:t>客休区</w:t>
                  </w:r>
                </w:p>
              </w:tc>
              <w:tc>
                <w:tcPr>
                  <w:tcW w:w="3343" w:type="pct"/>
                  <w:noWrap w:val="0"/>
                  <w:vAlign w:val="center"/>
                </w:tcPr>
                <w:p w14:paraId="19FC7C74">
                  <w:pPr>
                    <w:adjustRightInd w:val="0"/>
                    <w:snapToGrid w:val="0"/>
                    <w:rPr>
                      <w:rFonts w:hint="eastAsia"/>
                      <w:bCs/>
                      <w:snapToGrid w:val="0"/>
                      <w:color w:val="auto"/>
                      <w:kern w:val="2"/>
                      <w:sz w:val="21"/>
                      <w:szCs w:val="21"/>
                      <w:lang w:val="en-US" w:eastAsia="zh-CN" w:bidi="ar-SA"/>
                    </w:rPr>
                  </w:pPr>
                  <w:r>
                    <w:rPr>
                      <w:rFonts w:hint="eastAsia"/>
                      <w:bCs/>
                      <w:snapToGrid w:val="0"/>
                      <w:color w:val="auto"/>
                      <w:kern w:val="2"/>
                      <w:sz w:val="21"/>
                      <w:szCs w:val="21"/>
                      <w:lang w:val="en-US" w:eastAsia="zh-CN" w:bidi="ar-SA"/>
                    </w:rPr>
                    <w:t>位于东南侧，用于顾客休息。</w:t>
                  </w:r>
                </w:p>
              </w:tc>
              <w:tc>
                <w:tcPr>
                  <w:tcW w:w="572" w:type="pct"/>
                  <w:noWrap w:val="0"/>
                  <w:vAlign w:val="center"/>
                </w:tcPr>
                <w:p w14:paraId="2CCECCFC">
                  <w:pPr>
                    <w:adjustRightInd w:val="0"/>
                    <w:snapToGrid w:val="0"/>
                    <w:jc w:val="center"/>
                    <w:rPr>
                      <w:rFonts w:hint="eastAsia"/>
                      <w:bCs/>
                      <w:snapToGrid w:val="0"/>
                      <w:color w:val="auto"/>
                      <w:kern w:val="2"/>
                      <w:sz w:val="21"/>
                      <w:szCs w:val="21"/>
                      <w:lang w:val="en-US" w:eastAsia="zh-CN" w:bidi="ar-SA"/>
                    </w:rPr>
                  </w:pPr>
                  <w:r>
                    <w:rPr>
                      <w:rFonts w:hint="eastAsia"/>
                      <w:bCs/>
                      <w:snapToGrid w:val="0"/>
                      <w:color w:val="auto"/>
                      <w:szCs w:val="21"/>
                      <w:lang w:val="en-US" w:eastAsia="zh-CN"/>
                    </w:rPr>
                    <w:t>已建</w:t>
                  </w:r>
                </w:p>
              </w:tc>
            </w:tr>
            <w:tr w14:paraId="0B099D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9" w:type="pct"/>
                  <w:vMerge w:val="continue"/>
                  <w:noWrap w:val="0"/>
                  <w:vAlign w:val="center"/>
                </w:tcPr>
                <w:p w14:paraId="15278481">
                  <w:pPr>
                    <w:adjustRightInd w:val="0"/>
                    <w:snapToGrid w:val="0"/>
                    <w:jc w:val="center"/>
                    <w:rPr>
                      <w:color w:val="auto"/>
                      <w:szCs w:val="21"/>
                    </w:rPr>
                  </w:pPr>
                </w:p>
              </w:tc>
              <w:tc>
                <w:tcPr>
                  <w:tcW w:w="655" w:type="pct"/>
                  <w:noWrap w:val="0"/>
                  <w:vAlign w:val="center"/>
                </w:tcPr>
                <w:p w14:paraId="6CB23CB7">
                  <w:pPr>
                    <w:widowControl/>
                    <w:adjustRightInd w:val="0"/>
                    <w:snapToGrid w:val="0"/>
                    <w:jc w:val="center"/>
                    <w:rPr>
                      <w:rFonts w:hint="eastAsia" w:eastAsia="宋体"/>
                      <w:color w:val="auto"/>
                      <w:kern w:val="0"/>
                      <w:sz w:val="21"/>
                      <w:szCs w:val="21"/>
                      <w:lang w:val="en-US" w:eastAsia="zh-CN" w:bidi="ar-SA"/>
                    </w:rPr>
                  </w:pPr>
                  <w:r>
                    <w:rPr>
                      <w:rFonts w:hint="eastAsia"/>
                      <w:color w:val="auto"/>
                      <w:kern w:val="0"/>
                      <w:szCs w:val="21"/>
                      <w:lang w:val="en-US" w:eastAsia="zh-CN"/>
                    </w:rPr>
                    <w:t>办公室</w:t>
                  </w:r>
                </w:p>
              </w:tc>
              <w:tc>
                <w:tcPr>
                  <w:tcW w:w="3343" w:type="pct"/>
                  <w:noWrap w:val="0"/>
                  <w:vAlign w:val="center"/>
                </w:tcPr>
                <w:p w14:paraId="5AF3C6DA">
                  <w:pPr>
                    <w:adjustRightInd w:val="0"/>
                    <w:snapToGrid w:val="0"/>
                    <w:rPr>
                      <w:rFonts w:hint="eastAsia" w:eastAsia="宋体"/>
                      <w:bCs/>
                      <w:snapToGrid w:val="0"/>
                      <w:color w:val="auto"/>
                      <w:szCs w:val="21"/>
                      <w:lang w:val="en-US" w:eastAsia="zh-CN"/>
                    </w:rPr>
                  </w:pPr>
                  <w:r>
                    <w:rPr>
                      <w:rFonts w:hint="eastAsia" w:eastAsia="宋体"/>
                      <w:bCs/>
                      <w:snapToGrid w:val="0"/>
                      <w:color w:val="auto"/>
                      <w:szCs w:val="21"/>
                      <w:lang w:val="en-US" w:eastAsia="zh-CN"/>
                    </w:rPr>
                    <w:t>售后办公室位于南侧，钣喷办公室位于东北角，用于员工办公</w:t>
                  </w:r>
                  <w:r>
                    <w:rPr>
                      <w:rFonts w:hint="eastAsia"/>
                      <w:bCs/>
                      <w:snapToGrid w:val="0"/>
                      <w:color w:val="auto"/>
                      <w:szCs w:val="21"/>
                      <w:lang w:val="en-US" w:eastAsia="zh-CN"/>
                    </w:rPr>
                    <w:t>。</w:t>
                  </w:r>
                </w:p>
              </w:tc>
              <w:tc>
                <w:tcPr>
                  <w:tcW w:w="572" w:type="pct"/>
                  <w:noWrap w:val="0"/>
                  <w:vAlign w:val="center"/>
                </w:tcPr>
                <w:p w14:paraId="53D15AFB">
                  <w:pPr>
                    <w:adjustRightInd w:val="0"/>
                    <w:snapToGrid w:val="0"/>
                    <w:jc w:val="center"/>
                    <w:rPr>
                      <w:rFonts w:hint="eastAsia" w:eastAsia="宋体"/>
                      <w:bCs/>
                      <w:snapToGrid w:val="0"/>
                      <w:color w:val="auto"/>
                      <w:szCs w:val="21"/>
                      <w:lang w:val="en-US" w:eastAsia="zh-CN"/>
                    </w:rPr>
                  </w:pPr>
                  <w:r>
                    <w:rPr>
                      <w:rFonts w:hint="eastAsia"/>
                      <w:bCs/>
                      <w:snapToGrid w:val="0"/>
                      <w:color w:val="auto"/>
                      <w:szCs w:val="21"/>
                      <w:lang w:val="en-US" w:eastAsia="zh-CN"/>
                    </w:rPr>
                    <w:t>已建</w:t>
                  </w:r>
                </w:p>
              </w:tc>
            </w:tr>
            <w:tr w14:paraId="431DF8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9" w:type="pct"/>
                  <w:vMerge w:val="continue"/>
                  <w:noWrap w:val="0"/>
                  <w:vAlign w:val="center"/>
                </w:tcPr>
                <w:p w14:paraId="103CAD6F">
                  <w:pPr>
                    <w:adjustRightInd w:val="0"/>
                    <w:snapToGrid w:val="0"/>
                    <w:jc w:val="center"/>
                    <w:rPr>
                      <w:color w:val="auto"/>
                      <w:szCs w:val="21"/>
                    </w:rPr>
                  </w:pPr>
                </w:p>
              </w:tc>
              <w:tc>
                <w:tcPr>
                  <w:tcW w:w="655" w:type="pct"/>
                  <w:noWrap w:val="0"/>
                  <w:vAlign w:val="center"/>
                </w:tcPr>
                <w:p w14:paraId="761D6270">
                  <w:pPr>
                    <w:widowControl/>
                    <w:adjustRightInd w:val="0"/>
                    <w:snapToGrid w:val="0"/>
                    <w:jc w:val="center"/>
                    <w:rPr>
                      <w:rFonts w:hint="default" w:eastAsia="宋体"/>
                      <w:color w:val="auto"/>
                      <w:kern w:val="0"/>
                      <w:szCs w:val="21"/>
                      <w:lang w:val="en-US" w:eastAsia="zh-CN"/>
                    </w:rPr>
                  </w:pPr>
                  <w:r>
                    <w:rPr>
                      <w:rFonts w:hint="eastAsia"/>
                      <w:color w:val="auto"/>
                      <w:kern w:val="0"/>
                      <w:szCs w:val="21"/>
                      <w:lang w:val="en-US" w:eastAsia="zh-CN"/>
                    </w:rPr>
                    <w:t>生活区</w:t>
                  </w:r>
                </w:p>
              </w:tc>
              <w:tc>
                <w:tcPr>
                  <w:tcW w:w="3343" w:type="pct"/>
                  <w:noWrap w:val="0"/>
                  <w:vAlign w:val="center"/>
                </w:tcPr>
                <w:p w14:paraId="7D24F398">
                  <w:pPr>
                    <w:adjustRightInd w:val="0"/>
                    <w:snapToGrid w:val="0"/>
                    <w:rPr>
                      <w:rFonts w:hint="eastAsia" w:eastAsia="宋体"/>
                      <w:bCs/>
                      <w:snapToGrid w:val="0"/>
                      <w:color w:val="auto"/>
                      <w:szCs w:val="21"/>
                      <w:lang w:val="en-US" w:eastAsia="zh-CN"/>
                    </w:rPr>
                  </w:pPr>
                  <w:r>
                    <w:rPr>
                      <w:rFonts w:hint="eastAsia" w:eastAsia="宋体"/>
                      <w:bCs/>
                      <w:snapToGrid w:val="0"/>
                      <w:color w:val="auto"/>
                      <w:szCs w:val="21"/>
                      <w:lang w:val="en-US" w:eastAsia="zh-CN"/>
                    </w:rPr>
                    <w:t>北侧、西南、东南各一处，包含卫生间、清洁室、更衣室等</w:t>
                  </w:r>
                  <w:r>
                    <w:rPr>
                      <w:rFonts w:hint="eastAsia"/>
                      <w:bCs/>
                      <w:snapToGrid w:val="0"/>
                      <w:color w:val="auto"/>
                      <w:szCs w:val="21"/>
                      <w:lang w:val="en-US" w:eastAsia="zh-CN"/>
                    </w:rPr>
                    <w:t>。</w:t>
                  </w:r>
                </w:p>
              </w:tc>
              <w:tc>
                <w:tcPr>
                  <w:tcW w:w="572" w:type="pct"/>
                  <w:noWrap w:val="0"/>
                  <w:vAlign w:val="center"/>
                </w:tcPr>
                <w:p w14:paraId="521A6759">
                  <w:pPr>
                    <w:adjustRightInd w:val="0"/>
                    <w:snapToGrid w:val="0"/>
                    <w:jc w:val="center"/>
                    <w:rPr>
                      <w:rFonts w:hint="eastAsia" w:eastAsia="宋体"/>
                      <w:bCs/>
                      <w:snapToGrid w:val="0"/>
                      <w:color w:val="auto"/>
                      <w:szCs w:val="21"/>
                      <w:lang w:val="en-US" w:eastAsia="zh-CN"/>
                    </w:rPr>
                  </w:pPr>
                  <w:r>
                    <w:rPr>
                      <w:rFonts w:hint="eastAsia"/>
                      <w:bCs/>
                      <w:snapToGrid w:val="0"/>
                      <w:color w:val="auto"/>
                      <w:szCs w:val="21"/>
                      <w:lang w:val="en-US" w:eastAsia="zh-CN"/>
                    </w:rPr>
                    <w:t>已建</w:t>
                  </w:r>
                </w:p>
              </w:tc>
            </w:tr>
            <w:tr w14:paraId="26F0BB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9" w:type="pct"/>
                  <w:vMerge w:val="restart"/>
                  <w:noWrap w:val="0"/>
                  <w:vAlign w:val="center"/>
                </w:tcPr>
                <w:p w14:paraId="257984A9">
                  <w:pPr>
                    <w:adjustRightInd w:val="0"/>
                    <w:snapToGrid w:val="0"/>
                    <w:jc w:val="center"/>
                    <w:rPr>
                      <w:color w:val="auto"/>
                      <w:szCs w:val="21"/>
                    </w:rPr>
                  </w:pPr>
                  <w:r>
                    <w:rPr>
                      <w:color w:val="auto"/>
                      <w:szCs w:val="21"/>
                    </w:rPr>
                    <w:t>公用工程</w:t>
                  </w:r>
                </w:p>
              </w:tc>
              <w:tc>
                <w:tcPr>
                  <w:tcW w:w="655" w:type="pct"/>
                  <w:noWrap w:val="0"/>
                  <w:vAlign w:val="center"/>
                </w:tcPr>
                <w:p w14:paraId="22B17739">
                  <w:pPr>
                    <w:adjustRightInd w:val="0"/>
                    <w:snapToGrid w:val="0"/>
                    <w:jc w:val="center"/>
                    <w:rPr>
                      <w:color w:val="auto"/>
                      <w:szCs w:val="21"/>
                    </w:rPr>
                  </w:pPr>
                  <w:r>
                    <w:rPr>
                      <w:color w:val="auto"/>
                      <w:szCs w:val="21"/>
                    </w:rPr>
                    <w:t>给水</w:t>
                  </w:r>
                </w:p>
              </w:tc>
              <w:tc>
                <w:tcPr>
                  <w:tcW w:w="3343" w:type="pct"/>
                  <w:noWrap w:val="0"/>
                  <w:vAlign w:val="center"/>
                </w:tcPr>
                <w:p w14:paraId="6DD32630">
                  <w:pPr>
                    <w:adjustRightInd w:val="0"/>
                    <w:snapToGrid w:val="0"/>
                    <w:rPr>
                      <w:rFonts w:hint="eastAsia"/>
                      <w:color w:val="auto"/>
                      <w:szCs w:val="21"/>
                    </w:rPr>
                  </w:pPr>
                  <w:r>
                    <w:rPr>
                      <w:rFonts w:hint="eastAsia"/>
                      <w:color w:val="auto"/>
                      <w:szCs w:val="21"/>
                      <w:lang w:val="en-US" w:eastAsia="zh-CN"/>
                    </w:rPr>
                    <w:t>由</w:t>
                  </w:r>
                  <w:r>
                    <w:rPr>
                      <w:rFonts w:hint="eastAsia"/>
                      <w:color w:val="auto"/>
                      <w:szCs w:val="21"/>
                    </w:rPr>
                    <w:t>市政供水</w:t>
                  </w:r>
                  <w:r>
                    <w:rPr>
                      <w:rFonts w:hint="eastAsia"/>
                      <w:color w:val="auto"/>
                      <w:szCs w:val="21"/>
                      <w:lang w:val="en-US" w:eastAsia="zh-CN"/>
                    </w:rPr>
                    <w:t>管网供给。</w:t>
                  </w:r>
                </w:p>
              </w:tc>
              <w:tc>
                <w:tcPr>
                  <w:tcW w:w="572" w:type="pct"/>
                  <w:noWrap w:val="0"/>
                  <w:vAlign w:val="center"/>
                </w:tcPr>
                <w:p w14:paraId="53A9AFFE">
                  <w:pPr>
                    <w:adjustRightInd w:val="0"/>
                    <w:snapToGrid w:val="0"/>
                    <w:jc w:val="center"/>
                    <w:rPr>
                      <w:rFonts w:hint="default"/>
                      <w:color w:val="auto"/>
                      <w:szCs w:val="21"/>
                      <w:lang w:val="en-US" w:eastAsia="zh-CN"/>
                    </w:rPr>
                  </w:pPr>
                  <w:r>
                    <w:rPr>
                      <w:rFonts w:hint="eastAsia"/>
                      <w:color w:val="auto"/>
                      <w:szCs w:val="21"/>
                      <w:lang w:val="en-US" w:eastAsia="zh-CN"/>
                    </w:rPr>
                    <w:t>/</w:t>
                  </w:r>
                </w:p>
              </w:tc>
            </w:tr>
            <w:tr w14:paraId="2FB867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429" w:type="pct"/>
                  <w:vMerge w:val="continue"/>
                  <w:noWrap w:val="0"/>
                  <w:vAlign w:val="center"/>
                </w:tcPr>
                <w:p w14:paraId="7982E9FE">
                  <w:pPr>
                    <w:adjustRightInd w:val="0"/>
                    <w:snapToGrid w:val="0"/>
                    <w:jc w:val="center"/>
                    <w:rPr>
                      <w:color w:val="auto"/>
                      <w:szCs w:val="21"/>
                    </w:rPr>
                  </w:pPr>
                </w:p>
              </w:tc>
              <w:tc>
                <w:tcPr>
                  <w:tcW w:w="655" w:type="pct"/>
                  <w:vMerge w:val="restart"/>
                  <w:noWrap w:val="0"/>
                  <w:vAlign w:val="center"/>
                </w:tcPr>
                <w:p w14:paraId="34E3512F">
                  <w:pPr>
                    <w:adjustRightInd w:val="0"/>
                    <w:snapToGrid w:val="0"/>
                    <w:jc w:val="center"/>
                    <w:rPr>
                      <w:color w:val="auto"/>
                      <w:szCs w:val="21"/>
                    </w:rPr>
                  </w:pPr>
                  <w:r>
                    <w:rPr>
                      <w:color w:val="auto"/>
                      <w:szCs w:val="21"/>
                    </w:rPr>
                    <w:t>排水</w:t>
                  </w:r>
                </w:p>
              </w:tc>
              <w:tc>
                <w:tcPr>
                  <w:tcW w:w="3343" w:type="pct"/>
                  <w:noWrap w:val="0"/>
                  <w:vAlign w:val="center"/>
                </w:tcPr>
                <w:p w14:paraId="641B41A5">
                  <w:pPr>
                    <w:pStyle w:val="66"/>
                    <w:adjustRightInd w:val="0"/>
                    <w:spacing w:line="240" w:lineRule="auto"/>
                    <w:ind w:firstLine="0" w:firstLineChars="0"/>
                    <w:rPr>
                      <w:rFonts w:hint="eastAsia" w:ascii="Times New Roman" w:eastAsia="宋体" w:cs="Times New Roman"/>
                      <w:color w:val="auto"/>
                      <w:sz w:val="21"/>
                      <w:szCs w:val="21"/>
                      <w:lang w:eastAsia="zh-CN"/>
                    </w:rPr>
                  </w:pPr>
                  <w:r>
                    <w:rPr>
                      <w:rFonts w:hint="eastAsia" w:ascii="Times New Roman" w:cs="Times New Roman"/>
                      <w:color w:val="auto"/>
                      <w:sz w:val="21"/>
                      <w:szCs w:val="21"/>
                    </w:rPr>
                    <w:t>生活污水经</w:t>
                  </w:r>
                  <w:r>
                    <w:rPr>
                      <w:rFonts w:hint="eastAsia" w:ascii="Times New Roman" w:cs="Times New Roman"/>
                      <w:color w:val="auto"/>
                      <w:sz w:val="21"/>
                      <w:szCs w:val="21"/>
                      <w:lang w:val="en-US" w:eastAsia="zh-CN"/>
                    </w:rPr>
                    <w:t>产业园</w:t>
                  </w:r>
                  <w:r>
                    <w:rPr>
                      <w:rFonts w:hint="eastAsia" w:ascii="Times New Roman" w:cs="Times New Roman"/>
                      <w:color w:val="auto"/>
                      <w:sz w:val="21"/>
                      <w:szCs w:val="21"/>
                    </w:rPr>
                    <w:t>化粪池处理后排入市政污水管网，最终进入西安净水处理有限责任公司第六再生水厂进行处理</w:t>
                  </w:r>
                  <w:r>
                    <w:rPr>
                      <w:rFonts w:hint="eastAsia" w:ascii="Times New Roman" w:cs="Times New Roman"/>
                      <w:color w:val="auto"/>
                      <w:sz w:val="21"/>
                      <w:szCs w:val="21"/>
                      <w:lang w:eastAsia="zh-CN"/>
                    </w:rPr>
                    <w:t>。</w:t>
                  </w:r>
                </w:p>
              </w:tc>
              <w:tc>
                <w:tcPr>
                  <w:tcW w:w="572" w:type="pct"/>
                  <w:noWrap w:val="0"/>
                  <w:vAlign w:val="center"/>
                </w:tcPr>
                <w:p w14:paraId="4FE5A6D6">
                  <w:pPr>
                    <w:pStyle w:val="66"/>
                    <w:adjustRightInd w:val="0"/>
                    <w:spacing w:line="240" w:lineRule="auto"/>
                    <w:ind w:firstLine="0" w:firstLineChars="0"/>
                    <w:jc w:val="center"/>
                    <w:rPr>
                      <w:rFonts w:hint="eastAsia" w:ascii="Times New Roman" w:eastAsia="宋体" w:cs="Times New Roman"/>
                      <w:color w:val="auto"/>
                      <w:sz w:val="21"/>
                      <w:szCs w:val="21"/>
                      <w:lang w:val="en-US" w:eastAsia="zh-CN"/>
                    </w:rPr>
                  </w:pPr>
                  <w:r>
                    <w:rPr>
                      <w:rFonts w:hint="eastAsia" w:ascii="Times New Roman" w:cs="Times New Roman"/>
                      <w:color w:val="auto"/>
                      <w:sz w:val="21"/>
                      <w:szCs w:val="21"/>
                      <w:lang w:val="en-US" w:eastAsia="zh-CN"/>
                    </w:rPr>
                    <w:t>依托</w:t>
                  </w:r>
                </w:p>
              </w:tc>
            </w:tr>
            <w:tr w14:paraId="064CD3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429" w:type="pct"/>
                  <w:vMerge w:val="continue"/>
                  <w:noWrap w:val="0"/>
                  <w:vAlign w:val="center"/>
                </w:tcPr>
                <w:p w14:paraId="569ACBDD">
                  <w:pPr>
                    <w:pStyle w:val="66"/>
                    <w:adjustRightInd w:val="0"/>
                    <w:spacing w:line="240" w:lineRule="auto"/>
                    <w:ind w:firstLine="0" w:firstLineChars="0"/>
                    <w:rPr>
                      <w:color w:val="auto"/>
                    </w:rPr>
                  </w:pPr>
                </w:p>
              </w:tc>
              <w:tc>
                <w:tcPr>
                  <w:tcW w:w="655" w:type="pct"/>
                  <w:vMerge w:val="continue"/>
                  <w:noWrap w:val="0"/>
                  <w:vAlign w:val="center"/>
                </w:tcPr>
                <w:p w14:paraId="18FC415E">
                  <w:pPr>
                    <w:pStyle w:val="66"/>
                    <w:adjustRightInd w:val="0"/>
                    <w:spacing w:line="240" w:lineRule="auto"/>
                    <w:ind w:firstLine="0" w:firstLineChars="0"/>
                    <w:rPr>
                      <w:color w:val="auto"/>
                    </w:rPr>
                  </w:pPr>
                </w:p>
              </w:tc>
              <w:tc>
                <w:tcPr>
                  <w:tcW w:w="3343" w:type="pct"/>
                  <w:noWrap w:val="0"/>
                  <w:vAlign w:val="center"/>
                </w:tcPr>
                <w:p w14:paraId="2FC15099">
                  <w:pPr>
                    <w:adjustRightInd w:val="0"/>
                    <w:snapToGrid w:val="0"/>
                    <w:jc w:val="both"/>
                    <w:rPr>
                      <w:rFonts w:hint="eastAsia" w:eastAsia="宋体"/>
                      <w:color w:val="auto"/>
                      <w:kern w:val="2"/>
                      <w:sz w:val="21"/>
                      <w:szCs w:val="21"/>
                      <w:lang w:val="en-US" w:eastAsia="zh-CN" w:bidi="ar-SA"/>
                    </w:rPr>
                  </w:pPr>
                  <w:r>
                    <w:rPr>
                      <w:rFonts w:hint="eastAsia" w:ascii="Times New Roman" w:hAnsi="Times New Roman" w:eastAsia="宋体" w:cs="Times New Roman"/>
                      <w:color w:val="auto"/>
                      <w:sz w:val="21"/>
                      <w:szCs w:val="21"/>
                    </w:rPr>
                    <w:t>维修区地面清洗废水</w:t>
                  </w:r>
                  <w:r>
                    <w:rPr>
                      <w:rFonts w:hint="eastAsia" w:ascii="Times New Roman" w:hAnsi="Times New Roman" w:eastAsia="宋体" w:cs="Times New Roman"/>
                      <w:color w:val="auto"/>
                      <w:sz w:val="21"/>
                      <w:szCs w:val="21"/>
                      <w:lang w:val="en-US" w:eastAsia="zh-CN"/>
                    </w:rPr>
                    <w:t>和</w:t>
                  </w:r>
                  <w:r>
                    <w:rPr>
                      <w:rFonts w:hint="eastAsia" w:ascii="Times New Roman" w:hAnsi="Times New Roman" w:eastAsia="宋体" w:cs="Times New Roman"/>
                      <w:color w:val="auto"/>
                      <w:sz w:val="21"/>
                      <w:szCs w:val="21"/>
                    </w:rPr>
                    <w:t>洗车废水经隔油池+沉淀池处理</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通过化粪池后进入市政</w:t>
                  </w:r>
                  <w:r>
                    <w:rPr>
                      <w:rFonts w:hint="eastAsia" w:ascii="Times New Roman" w:hAnsi="Times New Roman" w:eastAsia="宋体" w:cs="Times New Roman"/>
                      <w:color w:val="auto"/>
                      <w:sz w:val="21"/>
                      <w:szCs w:val="21"/>
                    </w:rPr>
                    <w:t>污水管网，最终进入西安净水处理有限责任公司第六再生水厂</w:t>
                  </w:r>
                  <w:r>
                    <w:rPr>
                      <w:rFonts w:hint="eastAsia" w:cs="Times New Roman"/>
                      <w:color w:val="auto"/>
                      <w:sz w:val="21"/>
                      <w:szCs w:val="21"/>
                      <w:lang w:eastAsia="zh-CN"/>
                    </w:rPr>
                    <w:t>。</w:t>
                  </w:r>
                </w:p>
              </w:tc>
              <w:tc>
                <w:tcPr>
                  <w:tcW w:w="572" w:type="pct"/>
                  <w:noWrap w:val="0"/>
                  <w:vAlign w:val="center"/>
                </w:tcPr>
                <w:p w14:paraId="220C0AC3">
                  <w:pPr>
                    <w:adjustRightInd w:val="0"/>
                    <w:snapToGrid w:val="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新增</w:t>
                  </w:r>
                </w:p>
              </w:tc>
            </w:tr>
            <w:tr w14:paraId="2C709E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9" w:type="pct"/>
                  <w:vMerge w:val="continue"/>
                  <w:noWrap w:val="0"/>
                  <w:vAlign w:val="center"/>
                </w:tcPr>
                <w:p w14:paraId="12C1D734">
                  <w:pPr>
                    <w:adjustRightInd w:val="0"/>
                    <w:snapToGrid w:val="0"/>
                    <w:jc w:val="center"/>
                    <w:rPr>
                      <w:color w:val="auto"/>
                      <w:szCs w:val="21"/>
                    </w:rPr>
                  </w:pPr>
                </w:p>
              </w:tc>
              <w:tc>
                <w:tcPr>
                  <w:tcW w:w="655" w:type="pct"/>
                  <w:noWrap w:val="0"/>
                  <w:vAlign w:val="center"/>
                </w:tcPr>
                <w:p w14:paraId="6E71BB26">
                  <w:pPr>
                    <w:adjustRightInd w:val="0"/>
                    <w:snapToGrid w:val="0"/>
                    <w:jc w:val="center"/>
                    <w:rPr>
                      <w:color w:val="auto"/>
                      <w:szCs w:val="21"/>
                    </w:rPr>
                  </w:pPr>
                  <w:r>
                    <w:rPr>
                      <w:color w:val="auto"/>
                      <w:szCs w:val="21"/>
                    </w:rPr>
                    <w:t>供电</w:t>
                  </w:r>
                </w:p>
              </w:tc>
              <w:tc>
                <w:tcPr>
                  <w:tcW w:w="3343" w:type="pct"/>
                  <w:noWrap w:val="0"/>
                  <w:vAlign w:val="center"/>
                </w:tcPr>
                <w:p w14:paraId="1D6EF763">
                  <w:pPr>
                    <w:pStyle w:val="66"/>
                    <w:adjustRightInd w:val="0"/>
                    <w:spacing w:line="240" w:lineRule="auto"/>
                    <w:ind w:firstLine="0" w:firstLineChars="0"/>
                    <w:rPr>
                      <w:rFonts w:hint="eastAsia" w:ascii="Times New Roman" w:eastAsia="宋体" w:cs="Times New Roman"/>
                      <w:color w:val="auto"/>
                      <w:sz w:val="21"/>
                      <w:szCs w:val="21"/>
                      <w:lang w:eastAsia="zh-CN"/>
                    </w:rPr>
                  </w:pPr>
                  <w:r>
                    <w:rPr>
                      <w:rFonts w:ascii="Times New Roman" w:cs="Times New Roman"/>
                      <w:color w:val="auto"/>
                      <w:sz w:val="21"/>
                      <w:szCs w:val="21"/>
                    </w:rPr>
                    <w:t>由市政电网供给</w:t>
                  </w:r>
                  <w:r>
                    <w:rPr>
                      <w:rFonts w:hint="eastAsia" w:ascii="Times New Roman" w:cs="Times New Roman"/>
                      <w:color w:val="auto"/>
                      <w:sz w:val="21"/>
                      <w:szCs w:val="21"/>
                      <w:lang w:eastAsia="zh-CN"/>
                    </w:rPr>
                    <w:t>。</w:t>
                  </w:r>
                </w:p>
              </w:tc>
              <w:tc>
                <w:tcPr>
                  <w:tcW w:w="572" w:type="pct"/>
                  <w:noWrap w:val="0"/>
                  <w:vAlign w:val="center"/>
                </w:tcPr>
                <w:p w14:paraId="0095CD57">
                  <w:pPr>
                    <w:pStyle w:val="66"/>
                    <w:adjustRightInd w:val="0"/>
                    <w:spacing w:line="240" w:lineRule="auto"/>
                    <w:ind w:firstLine="0" w:firstLineChars="0"/>
                    <w:jc w:val="center"/>
                    <w:rPr>
                      <w:rFonts w:hint="eastAsia" w:ascii="Times New Roman" w:eastAsia="宋体" w:cs="Times New Roman"/>
                      <w:color w:val="auto"/>
                      <w:sz w:val="21"/>
                      <w:szCs w:val="21"/>
                      <w:lang w:val="en-US" w:eastAsia="zh-CN"/>
                    </w:rPr>
                  </w:pPr>
                  <w:r>
                    <w:rPr>
                      <w:rFonts w:hint="eastAsia" w:ascii="Times New Roman" w:cs="Times New Roman"/>
                      <w:color w:val="auto"/>
                      <w:sz w:val="21"/>
                      <w:szCs w:val="21"/>
                      <w:lang w:val="en-US" w:eastAsia="zh-CN"/>
                    </w:rPr>
                    <w:t>/</w:t>
                  </w:r>
                </w:p>
              </w:tc>
            </w:tr>
            <w:tr w14:paraId="6FAC26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29" w:type="pct"/>
                  <w:vMerge w:val="restart"/>
                  <w:noWrap w:val="0"/>
                  <w:vAlign w:val="center"/>
                </w:tcPr>
                <w:p w14:paraId="3937DADF">
                  <w:pPr>
                    <w:adjustRightInd w:val="0"/>
                    <w:snapToGrid w:val="0"/>
                    <w:jc w:val="center"/>
                    <w:rPr>
                      <w:color w:val="auto"/>
                      <w:szCs w:val="21"/>
                    </w:rPr>
                  </w:pPr>
                  <w:r>
                    <w:rPr>
                      <w:color w:val="auto"/>
                      <w:szCs w:val="21"/>
                    </w:rPr>
                    <w:t>环保工程</w:t>
                  </w:r>
                </w:p>
              </w:tc>
              <w:tc>
                <w:tcPr>
                  <w:tcW w:w="655" w:type="pct"/>
                  <w:vMerge w:val="restart"/>
                  <w:noWrap w:val="0"/>
                  <w:vAlign w:val="center"/>
                </w:tcPr>
                <w:p w14:paraId="7255C772">
                  <w:pPr>
                    <w:adjustRightInd w:val="0"/>
                    <w:snapToGrid w:val="0"/>
                    <w:jc w:val="center"/>
                    <w:rPr>
                      <w:color w:val="auto"/>
                      <w:szCs w:val="21"/>
                    </w:rPr>
                  </w:pPr>
                  <w:r>
                    <w:rPr>
                      <w:rFonts w:hint="eastAsia"/>
                      <w:color w:val="auto"/>
                      <w:szCs w:val="21"/>
                    </w:rPr>
                    <w:t>废气</w:t>
                  </w:r>
                </w:p>
              </w:tc>
              <w:tc>
                <w:tcPr>
                  <w:tcW w:w="3343" w:type="pct"/>
                  <w:noWrap w:val="0"/>
                  <w:vAlign w:val="center"/>
                </w:tcPr>
                <w:p w14:paraId="05971346">
                  <w:pPr>
                    <w:adjustRightInd w:val="0"/>
                    <w:snapToGrid w:val="0"/>
                    <w:rPr>
                      <w:rFonts w:hint="eastAsia"/>
                      <w:bCs/>
                      <w:color w:val="auto"/>
                      <w:kern w:val="2"/>
                      <w:sz w:val="21"/>
                      <w:szCs w:val="21"/>
                      <w:lang w:val="en-US" w:eastAsia="zh-CN" w:bidi="ar-SA"/>
                    </w:rPr>
                  </w:pPr>
                  <w:r>
                    <w:rPr>
                      <w:rFonts w:hint="eastAsia"/>
                      <w:bCs/>
                      <w:color w:val="auto"/>
                      <w:szCs w:val="21"/>
                      <w:lang w:val="en-US" w:eastAsia="zh-CN"/>
                    </w:rPr>
                    <w:t>喷烤漆房1</w:t>
                  </w:r>
                  <w:r>
                    <w:rPr>
                      <w:rFonts w:hint="eastAsia" w:ascii="Times New Roman" w:hAnsi="Times New Roman" w:cs="Times New Roman"/>
                      <w:color w:val="auto"/>
                      <w:szCs w:val="21"/>
                      <w:lang w:val="en-US" w:eastAsia="zh-CN"/>
                    </w:rPr>
                    <w:t>#</w:t>
                  </w:r>
                  <w:r>
                    <w:rPr>
                      <w:rFonts w:hint="eastAsia"/>
                      <w:bCs/>
                      <w:color w:val="auto"/>
                      <w:szCs w:val="21"/>
                      <w:lang w:val="en-US" w:eastAsia="zh-CN"/>
                    </w:rPr>
                    <w:t>、2</w:t>
                  </w:r>
                  <w:r>
                    <w:rPr>
                      <w:rFonts w:hint="eastAsia" w:ascii="Times New Roman" w:hAnsi="Times New Roman" w:cs="Times New Roman"/>
                      <w:color w:val="auto"/>
                      <w:szCs w:val="21"/>
                      <w:lang w:val="en-US" w:eastAsia="zh-CN"/>
                    </w:rPr>
                    <w:t>#</w:t>
                  </w:r>
                  <w:r>
                    <w:rPr>
                      <w:rFonts w:hint="eastAsia"/>
                      <w:bCs/>
                      <w:color w:val="auto"/>
                      <w:szCs w:val="21"/>
                      <w:lang w:val="en-US" w:eastAsia="zh-CN"/>
                    </w:rPr>
                    <w:t>产生的废气经过滤棉+二级活性炭吸附设施处理后，尾气经2根（DA001、DA002）16m高的排气筒排放。</w:t>
                  </w:r>
                </w:p>
              </w:tc>
              <w:tc>
                <w:tcPr>
                  <w:tcW w:w="572" w:type="pct"/>
                  <w:noWrap w:val="0"/>
                  <w:vAlign w:val="center"/>
                </w:tcPr>
                <w:p w14:paraId="470633A1">
                  <w:pPr>
                    <w:adjustRightInd w:val="0"/>
                    <w:snapToGrid w:val="0"/>
                    <w:jc w:val="center"/>
                    <w:rPr>
                      <w:rFonts w:hint="eastAsia"/>
                      <w:bCs/>
                      <w:color w:val="auto"/>
                      <w:szCs w:val="21"/>
                      <w:lang w:val="en-US" w:eastAsia="zh-CN"/>
                    </w:rPr>
                  </w:pPr>
                  <w:r>
                    <w:rPr>
                      <w:rFonts w:hint="eastAsia"/>
                      <w:color w:val="auto"/>
                      <w:kern w:val="0"/>
                      <w:szCs w:val="21"/>
                      <w:lang w:val="en-US" w:eastAsia="zh-CN"/>
                    </w:rPr>
                    <w:t>已建</w:t>
                  </w:r>
                </w:p>
              </w:tc>
            </w:tr>
            <w:tr w14:paraId="60D950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29" w:type="pct"/>
                  <w:vMerge w:val="continue"/>
                  <w:noWrap w:val="0"/>
                  <w:vAlign w:val="center"/>
                </w:tcPr>
                <w:p w14:paraId="47C4CF80">
                  <w:pPr>
                    <w:adjustRightInd w:val="0"/>
                    <w:snapToGrid w:val="0"/>
                    <w:jc w:val="center"/>
                    <w:rPr>
                      <w:color w:val="auto"/>
                      <w:szCs w:val="21"/>
                    </w:rPr>
                  </w:pPr>
                </w:p>
              </w:tc>
              <w:tc>
                <w:tcPr>
                  <w:tcW w:w="655" w:type="pct"/>
                  <w:vMerge w:val="continue"/>
                  <w:noWrap w:val="0"/>
                  <w:vAlign w:val="center"/>
                </w:tcPr>
                <w:p w14:paraId="108BB3B3">
                  <w:pPr>
                    <w:adjustRightInd w:val="0"/>
                    <w:snapToGrid w:val="0"/>
                    <w:jc w:val="center"/>
                    <w:rPr>
                      <w:rFonts w:hint="eastAsia"/>
                      <w:color w:val="auto"/>
                      <w:szCs w:val="21"/>
                    </w:rPr>
                  </w:pPr>
                </w:p>
              </w:tc>
              <w:tc>
                <w:tcPr>
                  <w:tcW w:w="3343" w:type="pct"/>
                  <w:noWrap w:val="0"/>
                  <w:vAlign w:val="center"/>
                </w:tcPr>
                <w:p w14:paraId="775BFC9F">
                  <w:pPr>
                    <w:adjustRightInd w:val="0"/>
                    <w:snapToGrid w:val="0"/>
                    <w:rPr>
                      <w:rFonts w:hint="eastAsia"/>
                      <w:bCs/>
                      <w:color w:val="auto"/>
                      <w:kern w:val="2"/>
                      <w:sz w:val="21"/>
                      <w:szCs w:val="21"/>
                      <w:lang w:val="en-US" w:eastAsia="zh-CN" w:bidi="ar-SA"/>
                    </w:rPr>
                  </w:pPr>
                  <w:r>
                    <w:rPr>
                      <w:rFonts w:hint="eastAsia"/>
                      <w:bCs/>
                      <w:color w:val="auto"/>
                      <w:szCs w:val="21"/>
                      <w:lang w:val="en-US" w:eastAsia="zh-CN"/>
                    </w:rPr>
                    <w:t>中涂房产生的废气经过滤棉+二级活性炭吸附设施处理后，尾气经1根（DA003）16m高的排气筒排放；喷烤漆房3</w:t>
                  </w:r>
                  <w:r>
                    <w:rPr>
                      <w:rFonts w:hint="eastAsia" w:ascii="Times New Roman" w:hAnsi="Times New Roman" w:cs="Times New Roman"/>
                      <w:color w:val="auto"/>
                      <w:szCs w:val="21"/>
                      <w:lang w:val="en-US" w:eastAsia="zh-CN"/>
                    </w:rPr>
                    <w:t>#</w:t>
                  </w:r>
                  <w:r>
                    <w:rPr>
                      <w:rFonts w:hint="eastAsia"/>
                      <w:bCs/>
                      <w:color w:val="auto"/>
                      <w:szCs w:val="21"/>
                      <w:lang w:val="en-US" w:eastAsia="zh-CN"/>
                    </w:rPr>
                    <w:t>、调漆、危废贮存库2#产生的废气经过滤棉+二级活性炭吸附设施处理后，尾气并入DA003排气筒排放。</w:t>
                  </w:r>
                </w:p>
              </w:tc>
              <w:tc>
                <w:tcPr>
                  <w:tcW w:w="572" w:type="pct"/>
                  <w:noWrap w:val="0"/>
                  <w:vAlign w:val="center"/>
                </w:tcPr>
                <w:p w14:paraId="07CE6E9C">
                  <w:pPr>
                    <w:adjustRightInd w:val="0"/>
                    <w:snapToGrid w:val="0"/>
                    <w:jc w:val="center"/>
                    <w:rPr>
                      <w:rFonts w:hint="eastAsia"/>
                      <w:bCs/>
                      <w:color w:val="auto"/>
                      <w:szCs w:val="21"/>
                      <w:lang w:val="en-US" w:eastAsia="zh-CN"/>
                    </w:rPr>
                  </w:pPr>
                  <w:r>
                    <w:rPr>
                      <w:rFonts w:hint="eastAsia"/>
                      <w:color w:val="auto"/>
                      <w:kern w:val="0"/>
                      <w:szCs w:val="21"/>
                      <w:lang w:val="en-US" w:eastAsia="zh-CN"/>
                    </w:rPr>
                    <w:t>中涂房已建，其余部分新建</w:t>
                  </w:r>
                </w:p>
              </w:tc>
            </w:tr>
            <w:tr w14:paraId="2A4925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29" w:type="pct"/>
                  <w:vMerge w:val="continue"/>
                  <w:noWrap w:val="0"/>
                  <w:vAlign w:val="center"/>
                </w:tcPr>
                <w:p w14:paraId="11B1B813">
                  <w:pPr>
                    <w:adjustRightInd w:val="0"/>
                    <w:snapToGrid w:val="0"/>
                    <w:jc w:val="center"/>
                    <w:rPr>
                      <w:color w:val="auto"/>
                      <w:szCs w:val="21"/>
                    </w:rPr>
                  </w:pPr>
                </w:p>
              </w:tc>
              <w:tc>
                <w:tcPr>
                  <w:tcW w:w="655" w:type="pct"/>
                  <w:vMerge w:val="continue"/>
                  <w:noWrap w:val="0"/>
                  <w:vAlign w:val="center"/>
                </w:tcPr>
                <w:p w14:paraId="3A19DD66">
                  <w:pPr>
                    <w:adjustRightInd w:val="0"/>
                    <w:snapToGrid w:val="0"/>
                    <w:jc w:val="center"/>
                    <w:rPr>
                      <w:rFonts w:hint="eastAsia"/>
                      <w:color w:val="auto"/>
                      <w:szCs w:val="21"/>
                    </w:rPr>
                  </w:pPr>
                </w:p>
              </w:tc>
              <w:tc>
                <w:tcPr>
                  <w:tcW w:w="3343" w:type="pct"/>
                  <w:shd w:val="clear" w:color="auto" w:fill="auto"/>
                  <w:noWrap w:val="0"/>
                  <w:vAlign w:val="center"/>
                </w:tcPr>
                <w:p w14:paraId="0921BEEE">
                  <w:pPr>
                    <w:adjustRightInd w:val="0"/>
                    <w:snapToGrid w:val="0"/>
                    <w:rPr>
                      <w:rFonts w:hint="eastAsia" w:ascii="Times New Roman" w:hAnsi="Times New Roman" w:eastAsia="宋体" w:cs="Times New Roman"/>
                      <w:bCs/>
                      <w:color w:val="auto"/>
                      <w:kern w:val="2"/>
                      <w:sz w:val="21"/>
                      <w:szCs w:val="21"/>
                      <w:lang w:val="en-US" w:eastAsia="zh-CN" w:bidi="ar-SA"/>
                    </w:rPr>
                  </w:pPr>
                  <w:r>
                    <w:rPr>
                      <w:rFonts w:hint="eastAsia"/>
                      <w:bCs/>
                      <w:color w:val="auto"/>
                      <w:szCs w:val="21"/>
                    </w:rPr>
                    <w:t>打磨房</w:t>
                  </w:r>
                  <w:r>
                    <w:rPr>
                      <w:rFonts w:hint="eastAsia"/>
                      <w:bCs/>
                      <w:color w:val="auto"/>
                      <w:szCs w:val="21"/>
                      <w:lang w:val="en-US" w:eastAsia="zh-CN"/>
                    </w:rPr>
                    <w:t>4</w:t>
                  </w:r>
                  <w:r>
                    <w:rPr>
                      <w:rFonts w:hint="eastAsia" w:ascii="Times New Roman" w:hAnsi="Times New Roman" w:cs="Times New Roman"/>
                      <w:color w:val="auto"/>
                      <w:szCs w:val="21"/>
                      <w:lang w:val="en-US" w:eastAsia="zh-CN"/>
                    </w:rPr>
                    <w:t>#</w:t>
                  </w:r>
                  <w:r>
                    <w:rPr>
                      <w:rFonts w:hint="eastAsia"/>
                      <w:bCs/>
                      <w:color w:val="auto"/>
                      <w:szCs w:val="21"/>
                    </w:rPr>
                    <w:t>~</w:t>
                  </w:r>
                  <w:r>
                    <w:rPr>
                      <w:rFonts w:hint="eastAsia"/>
                      <w:bCs/>
                      <w:color w:val="auto"/>
                      <w:szCs w:val="21"/>
                      <w:lang w:val="en-US" w:eastAsia="zh-CN"/>
                    </w:rPr>
                    <w:t>5</w:t>
                  </w:r>
                  <w:r>
                    <w:rPr>
                      <w:rFonts w:hint="eastAsia" w:ascii="Times New Roman" w:hAnsi="Times New Roman" w:cs="Times New Roman"/>
                      <w:color w:val="auto"/>
                      <w:szCs w:val="21"/>
                      <w:lang w:val="en-US" w:eastAsia="zh-CN"/>
                    </w:rPr>
                    <w:t>#</w:t>
                  </w:r>
                  <w:r>
                    <w:rPr>
                      <w:rFonts w:hint="eastAsia"/>
                      <w:bCs/>
                      <w:color w:val="auto"/>
                      <w:szCs w:val="21"/>
                    </w:rPr>
                    <w:t>打磨</w:t>
                  </w:r>
                  <w:r>
                    <w:rPr>
                      <w:rFonts w:hint="eastAsia"/>
                      <w:bCs/>
                      <w:color w:val="auto"/>
                      <w:szCs w:val="21"/>
                      <w:lang w:val="en-US" w:eastAsia="zh-CN"/>
                    </w:rPr>
                    <w:t>抛光</w:t>
                  </w:r>
                  <w:r>
                    <w:rPr>
                      <w:rFonts w:hint="eastAsia"/>
                      <w:bCs/>
                      <w:color w:val="auto"/>
                      <w:szCs w:val="21"/>
                    </w:rPr>
                    <w:t>废气</w:t>
                  </w:r>
                  <w:r>
                    <w:rPr>
                      <w:rFonts w:hint="eastAsia"/>
                      <w:bCs/>
                      <w:color w:val="auto"/>
                      <w:szCs w:val="21"/>
                      <w:lang w:val="en-US" w:eastAsia="zh-CN"/>
                    </w:rPr>
                    <w:t>和</w:t>
                  </w:r>
                  <w:r>
                    <w:rPr>
                      <w:rFonts w:hint="eastAsia"/>
                      <w:bCs/>
                      <w:color w:val="auto"/>
                      <w:szCs w:val="21"/>
                    </w:rPr>
                    <w:t>涂原子灰废气收集后采用“过滤棉</w:t>
                  </w:r>
                  <w:r>
                    <w:rPr>
                      <w:rFonts w:hint="eastAsia"/>
                      <w:bCs/>
                      <w:color w:val="auto"/>
                      <w:szCs w:val="21"/>
                      <w:lang w:val="en-US" w:eastAsia="zh-CN"/>
                    </w:rPr>
                    <w:t>+活性炭</w:t>
                  </w:r>
                  <w:r>
                    <w:rPr>
                      <w:rFonts w:hint="eastAsia"/>
                      <w:bCs/>
                      <w:color w:val="auto"/>
                      <w:szCs w:val="21"/>
                    </w:rPr>
                    <w:t>”处置后，尾气通过排气筒DA004排放</w:t>
                  </w:r>
                  <w:r>
                    <w:rPr>
                      <w:rFonts w:hint="eastAsia"/>
                      <w:bCs/>
                      <w:color w:val="auto"/>
                      <w:szCs w:val="21"/>
                      <w:lang w:eastAsia="zh-CN"/>
                    </w:rPr>
                    <w:t>；打磨房</w:t>
                  </w:r>
                  <w:r>
                    <w:rPr>
                      <w:rFonts w:hint="eastAsia"/>
                      <w:bCs/>
                      <w:color w:val="auto"/>
                      <w:szCs w:val="21"/>
                      <w:lang w:val="en-US" w:eastAsia="zh-CN"/>
                    </w:rPr>
                    <w:t>1</w:t>
                  </w:r>
                  <w:r>
                    <w:rPr>
                      <w:rFonts w:hint="eastAsia" w:ascii="Times New Roman" w:hAnsi="Times New Roman" w:cs="Times New Roman"/>
                      <w:color w:val="auto"/>
                      <w:szCs w:val="21"/>
                      <w:lang w:val="en-US" w:eastAsia="zh-CN"/>
                    </w:rPr>
                    <w:t>#</w:t>
                  </w:r>
                  <w:r>
                    <w:rPr>
                      <w:rFonts w:hint="eastAsia"/>
                      <w:bCs/>
                      <w:color w:val="auto"/>
                      <w:szCs w:val="21"/>
                      <w:lang w:eastAsia="zh-CN"/>
                    </w:rPr>
                    <w:t>~</w:t>
                  </w:r>
                  <w:r>
                    <w:rPr>
                      <w:rFonts w:hint="eastAsia"/>
                      <w:bCs/>
                      <w:color w:val="auto"/>
                      <w:szCs w:val="21"/>
                      <w:lang w:val="en-US" w:eastAsia="zh-CN"/>
                    </w:rPr>
                    <w:t>3</w:t>
                  </w:r>
                  <w:r>
                    <w:rPr>
                      <w:rFonts w:hint="eastAsia" w:ascii="Times New Roman" w:hAnsi="Times New Roman" w:cs="Times New Roman"/>
                      <w:color w:val="auto"/>
                      <w:szCs w:val="21"/>
                      <w:lang w:val="en-US" w:eastAsia="zh-CN"/>
                    </w:rPr>
                    <w:t>#</w:t>
                  </w:r>
                  <w:r>
                    <w:rPr>
                      <w:rFonts w:hint="eastAsia"/>
                      <w:bCs/>
                      <w:color w:val="auto"/>
                      <w:szCs w:val="21"/>
                      <w:lang w:eastAsia="zh-CN"/>
                    </w:rPr>
                    <w:t>内打磨焊接抛光</w:t>
                  </w:r>
                  <w:r>
                    <w:rPr>
                      <w:rFonts w:hint="eastAsia"/>
                      <w:bCs/>
                      <w:color w:val="auto"/>
                      <w:szCs w:val="21"/>
                      <w:lang w:val="en-US" w:eastAsia="zh-CN"/>
                    </w:rPr>
                    <w:t>废气和</w:t>
                  </w:r>
                  <w:r>
                    <w:rPr>
                      <w:rFonts w:hint="eastAsia"/>
                      <w:bCs/>
                      <w:color w:val="auto"/>
                      <w:szCs w:val="21"/>
                    </w:rPr>
                    <w:t>涂原子灰废气</w:t>
                  </w:r>
                  <w:r>
                    <w:rPr>
                      <w:rFonts w:hint="eastAsia"/>
                      <w:bCs/>
                      <w:color w:val="auto"/>
                      <w:szCs w:val="21"/>
                      <w:lang w:eastAsia="zh-CN"/>
                    </w:rPr>
                    <w:t>收集后采用“过滤棉</w:t>
                  </w:r>
                  <w:r>
                    <w:rPr>
                      <w:rFonts w:hint="eastAsia"/>
                      <w:bCs/>
                      <w:color w:val="auto"/>
                      <w:szCs w:val="21"/>
                      <w:lang w:val="en-US" w:eastAsia="zh-CN"/>
                    </w:rPr>
                    <w:t>+活性炭</w:t>
                  </w:r>
                  <w:r>
                    <w:rPr>
                      <w:rFonts w:hint="eastAsia"/>
                      <w:bCs/>
                      <w:color w:val="auto"/>
                      <w:szCs w:val="21"/>
                      <w:lang w:eastAsia="zh-CN"/>
                    </w:rPr>
                    <w:t>”处置后，尾气通过排气筒DA005排放。</w:t>
                  </w:r>
                </w:p>
              </w:tc>
              <w:tc>
                <w:tcPr>
                  <w:tcW w:w="572" w:type="pct"/>
                  <w:shd w:val="clear" w:color="auto" w:fill="auto"/>
                  <w:noWrap w:val="0"/>
                  <w:vAlign w:val="center"/>
                </w:tcPr>
                <w:p w14:paraId="6290078F">
                  <w:pPr>
                    <w:adjustRightInd w:val="0"/>
                    <w:snapToGrid w:val="0"/>
                    <w:jc w:val="center"/>
                    <w:rPr>
                      <w:rFonts w:hint="eastAsia" w:ascii="Times New Roman" w:hAnsi="Times New Roman" w:eastAsia="宋体" w:cs="Times New Roman"/>
                      <w:bCs/>
                      <w:color w:val="auto"/>
                      <w:kern w:val="2"/>
                      <w:sz w:val="21"/>
                      <w:szCs w:val="21"/>
                      <w:lang w:val="en-US" w:eastAsia="zh-CN" w:bidi="ar-SA"/>
                    </w:rPr>
                  </w:pPr>
                  <w:r>
                    <w:rPr>
                      <w:rFonts w:hint="eastAsia"/>
                      <w:color w:val="auto"/>
                      <w:kern w:val="0"/>
                      <w:szCs w:val="21"/>
                      <w:lang w:val="en-US" w:eastAsia="zh-CN"/>
                    </w:rPr>
                    <w:t>已建</w:t>
                  </w:r>
                </w:p>
              </w:tc>
            </w:tr>
            <w:tr w14:paraId="222D6E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29" w:type="pct"/>
                  <w:vMerge w:val="continue"/>
                  <w:noWrap w:val="0"/>
                  <w:vAlign w:val="center"/>
                </w:tcPr>
                <w:p w14:paraId="3AE6A3DE">
                  <w:pPr>
                    <w:adjustRightInd w:val="0"/>
                    <w:snapToGrid w:val="0"/>
                    <w:jc w:val="center"/>
                    <w:rPr>
                      <w:color w:val="auto"/>
                      <w:szCs w:val="21"/>
                    </w:rPr>
                  </w:pPr>
                </w:p>
              </w:tc>
              <w:tc>
                <w:tcPr>
                  <w:tcW w:w="655" w:type="pct"/>
                  <w:vMerge w:val="continue"/>
                  <w:noWrap w:val="0"/>
                  <w:vAlign w:val="center"/>
                </w:tcPr>
                <w:p w14:paraId="548903D2">
                  <w:pPr>
                    <w:adjustRightInd w:val="0"/>
                    <w:snapToGrid w:val="0"/>
                    <w:jc w:val="center"/>
                    <w:rPr>
                      <w:rFonts w:hint="eastAsia"/>
                      <w:color w:val="auto"/>
                      <w:szCs w:val="21"/>
                    </w:rPr>
                  </w:pPr>
                </w:p>
              </w:tc>
              <w:tc>
                <w:tcPr>
                  <w:tcW w:w="3343" w:type="pct"/>
                  <w:noWrap w:val="0"/>
                  <w:vAlign w:val="center"/>
                </w:tcPr>
                <w:p w14:paraId="64BD4B71">
                  <w:pPr>
                    <w:adjustRightInd w:val="0"/>
                    <w:snapToGrid w:val="0"/>
                    <w:rPr>
                      <w:rFonts w:hint="default" w:eastAsia="宋体"/>
                      <w:bCs/>
                      <w:color w:val="auto"/>
                      <w:kern w:val="2"/>
                      <w:sz w:val="21"/>
                      <w:szCs w:val="21"/>
                      <w:lang w:val="en-US" w:eastAsia="zh-CN" w:bidi="ar-SA"/>
                    </w:rPr>
                  </w:pPr>
                  <w:r>
                    <w:rPr>
                      <w:rFonts w:hint="eastAsia"/>
                      <w:bCs/>
                      <w:color w:val="auto"/>
                      <w:kern w:val="2"/>
                      <w:sz w:val="21"/>
                      <w:szCs w:val="21"/>
                      <w:lang w:val="en-US" w:eastAsia="zh-CN" w:bidi="ar-SA"/>
                    </w:rPr>
                    <w:t>危废贮存库1#产生的有机废气采用活性炭吸附装置处理后，车间内无组织排放。</w:t>
                  </w:r>
                </w:p>
              </w:tc>
              <w:tc>
                <w:tcPr>
                  <w:tcW w:w="572" w:type="pct"/>
                  <w:noWrap w:val="0"/>
                  <w:vAlign w:val="center"/>
                </w:tcPr>
                <w:p w14:paraId="2EC8D6E4">
                  <w:pPr>
                    <w:adjustRightInd w:val="0"/>
                    <w:snapToGrid w:val="0"/>
                    <w:jc w:val="center"/>
                    <w:rPr>
                      <w:rFonts w:hint="eastAsia" w:eastAsia="宋体"/>
                      <w:bCs/>
                      <w:color w:val="auto"/>
                      <w:szCs w:val="21"/>
                      <w:lang w:val="en-US" w:eastAsia="zh-CN"/>
                    </w:rPr>
                  </w:pPr>
                  <w:r>
                    <w:rPr>
                      <w:rFonts w:hint="eastAsia"/>
                      <w:bCs/>
                      <w:color w:val="auto"/>
                      <w:szCs w:val="21"/>
                      <w:lang w:val="en-US" w:eastAsia="zh-CN"/>
                    </w:rPr>
                    <w:t>新增</w:t>
                  </w:r>
                </w:p>
              </w:tc>
            </w:tr>
            <w:tr w14:paraId="47B3EE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29" w:type="pct"/>
                  <w:vMerge w:val="continue"/>
                  <w:noWrap w:val="0"/>
                  <w:vAlign w:val="center"/>
                </w:tcPr>
                <w:p w14:paraId="47367169">
                  <w:pPr>
                    <w:adjustRightInd w:val="0"/>
                    <w:snapToGrid w:val="0"/>
                    <w:jc w:val="center"/>
                    <w:rPr>
                      <w:color w:val="auto"/>
                      <w:szCs w:val="21"/>
                    </w:rPr>
                  </w:pPr>
                </w:p>
              </w:tc>
              <w:tc>
                <w:tcPr>
                  <w:tcW w:w="655" w:type="pct"/>
                  <w:vMerge w:val="restart"/>
                  <w:noWrap w:val="0"/>
                  <w:vAlign w:val="center"/>
                </w:tcPr>
                <w:p w14:paraId="6205D382">
                  <w:pPr>
                    <w:adjustRightInd w:val="0"/>
                    <w:snapToGrid w:val="0"/>
                    <w:jc w:val="center"/>
                    <w:rPr>
                      <w:color w:val="auto"/>
                      <w:szCs w:val="21"/>
                    </w:rPr>
                  </w:pPr>
                  <w:r>
                    <w:rPr>
                      <w:color w:val="auto"/>
                      <w:szCs w:val="21"/>
                    </w:rPr>
                    <w:t>废水</w:t>
                  </w:r>
                </w:p>
              </w:tc>
              <w:tc>
                <w:tcPr>
                  <w:tcW w:w="3343" w:type="pct"/>
                  <w:noWrap w:val="0"/>
                  <w:vAlign w:val="center"/>
                </w:tcPr>
                <w:p w14:paraId="41B4E137">
                  <w:pPr>
                    <w:adjustRightInd w:val="0"/>
                    <w:snapToGrid w:val="0"/>
                    <w:rPr>
                      <w:rFonts w:hint="eastAsia" w:eastAsia="宋体"/>
                      <w:color w:val="auto"/>
                      <w:szCs w:val="21"/>
                      <w:lang w:eastAsia="zh-CN"/>
                    </w:rPr>
                  </w:pPr>
                  <w:r>
                    <w:rPr>
                      <w:rFonts w:hint="eastAsia"/>
                      <w:color w:val="auto"/>
                      <w:szCs w:val="21"/>
                    </w:rPr>
                    <w:t>生活污水经</w:t>
                  </w:r>
                  <w:r>
                    <w:rPr>
                      <w:rFonts w:hint="eastAsia"/>
                      <w:color w:val="auto"/>
                      <w:szCs w:val="21"/>
                      <w:lang w:val="en-US" w:eastAsia="zh-CN"/>
                    </w:rPr>
                    <w:t>产业园</w:t>
                  </w:r>
                  <w:r>
                    <w:rPr>
                      <w:rFonts w:hint="eastAsia"/>
                      <w:color w:val="auto"/>
                      <w:szCs w:val="21"/>
                    </w:rPr>
                    <w:t>化粪池处理后排入市政污水管网，最终进入西安净水处理有限责任公司第六再生水厂进行处理</w:t>
                  </w:r>
                  <w:r>
                    <w:rPr>
                      <w:rFonts w:hint="eastAsia"/>
                      <w:color w:val="auto"/>
                      <w:szCs w:val="21"/>
                      <w:lang w:eastAsia="zh-CN"/>
                    </w:rPr>
                    <w:t>。</w:t>
                  </w:r>
                </w:p>
              </w:tc>
              <w:tc>
                <w:tcPr>
                  <w:tcW w:w="572" w:type="pct"/>
                  <w:noWrap w:val="0"/>
                  <w:vAlign w:val="center"/>
                </w:tcPr>
                <w:p w14:paraId="00E3C377">
                  <w:pPr>
                    <w:adjustRightInd w:val="0"/>
                    <w:snapToGrid w:val="0"/>
                    <w:jc w:val="center"/>
                    <w:rPr>
                      <w:rFonts w:hint="eastAsia" w:eastAsia="宋体"/>
                      <w:color w:val="auto"/>
                      <w:szCs w:val="21"/>
                      <w:lang w:val="en-US" w:eastAsia="zh-CN"/>
                    </w:rPr>
                  </w:pPr>
                  <w:r>
                    <w:rPr>
                      <w:rFonts w:hint="eastAsia"/>
                      <w:color w:val="auto"/>
                      <w:szCs w:val="21"/>
                      <w:lang w:val="en-US" w:eastAsia="zh-CN"/>
                    </w:rPr>
                    <w:t>依托</w:t>
                  </w:r>
                </w:p>
              </w:tc>
            </w:tr>
            <w:tr w14:paraId="2CC02A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429" w:type="pct"/>
                  <w:vMerge w:val="continue"/>
                  <w:noWrap w:val="0"/>
                  <w:vAlign w:val="center"/>
                </w:tcPr>
                <w:p w14:paraId="14624C60">
                  <w:pPr>
                    <w:adjustRightInd w:val="0"/>
                    <w:snapToGrid w:val="0"/>
                    <w:jc w:val="center"/>
                    <w:rPr>
                      <w:color w:val="auto"/>
                    </w:rPr>
                  </w:pPr>
                </w:p>
              </w:tc>
              <w:tc>
                <w:tcPr>
                  <w:tcW w:w="655" w:type="pct"/>
                  <w:vMerge w:val="continue"/>
                  <w:noWrap w:val="0"/>
                  <w:vAlign w:val="center"/>
                </w:tcPr>
                <w:p w14:paraId="58D73688">
                  <w:pPr>
                    <w:adjustRightInd w:val="0"/>
                    <w:snapToGrid w:val="0"/>
                    <w:jc w:val="center"/>
                    <w:rPr>
                      <w:color w:val="auto"/>
                    </w:rPr>
                  </w:pPr>
                </w:p>
              </w:tc>
              <w:tc>
                <w:tcPr>
                  <w:tcW w:w="3343" w:type="pct"/>
                  <w:noWrap w:val="0"/>
                  <w:vAlign w:val="center"/>
                </w:tcPr>
                <w:p w14:paraId="49F743AD">
                  <w:pPr>
                    <w:adjustRightInd w:val="0"/>
                    <w:snapToGrid w:val="0"/>
                    <w:jc w:val="both"/>
                    <w:rPr>
                      <w:rFonts w:hint="eastAsia" w:eastAsia="宋体"/>
                      <w:color w:val="auto"/>
                      <w:szCs w:val="21"/>
                      <w:lang w:val="en-US" w:eastAsia="zh-CN"/>
                    </w:rPr>
                  </w:pPr>
                  <w:r>
                    <w:rPr>
                      <w:rFonts w:hint="eastAsia" w:ascii="Times New Roman" w:cs="Times New Roman"/>
                      <w:color w:val="auto"/>
                      <w:sz w:val="21"/>
                      <w:szCs w:val="21"/>
                    </w:rPr>
                    <w:t>维修区地面清洗废水</w:t>
                  </w:r>
                  <w:r>
                    <w:rPr>
                      <w:rFonts w:hint="eastAsia" w:ascii="Times New Roman" w:cs="Times New Roman"/>
                      <w:color w:val="auto"/>
                      <w:sz w:val="21"/>
                      <w:szCs w:val="21"/>
                      <w:lang w:val="en-US" w:eastAsia="zh-CN"/>
                    </w:rPr>
                    <w:t>和</w:t>
                  </w:r>
                  <w:r>
                    <w:rPr>
                      <w:rFonts w:hint="eastAsia"/>
                      <w:color w:val="auto"/>
                    </w:rPr>
                    <w:t>洗车废水</w:t>
                  </w:r>
                  <w:r>
                    <w:rPr>
                      <w:rFonts w:hint="eastAsia"/>
                      <w:color w:val="auto"/>
                      <w:szCs w:val="24"/>
                    </w:rPr>
                    <w:t>经隔油池+沉淀池处理</w:t>
                  </w:r>
                  <w:r>
                    <w:rPr>
                      <w:rFonts w:hint="eastAsia"/>
                      <w:color w:val="auto"/>
                      <w:szCs w:val="24"/>
                      <w:lang w:eastAsia="zh-CN"/>
                    </w:rPr>
                    <w:t>，</w:t>
                  </w:r>
                  <w:r>
                    <w:rPr>
                      <w:rFonts w:hint="eastAsia"/>
                      <w:color w:val="auto"/>
                      <w:szCs w:val="24"/>
                      <w:lang w:val="en-US" w:eastAsia="zh-CN"/>
                    </w:rPr>
                    <w:t>通过化粪池后进入市政</w:t>
                  </w:r>
                  <w:r>
                    <w:rPr>
                      <w:rFonts w:hint="eastAsia"/>
                      <w:color w:val="auto"/>
                      <w:szCs w:val="24"/>
                    </w:rPr>
                    <w:t>污水管网，最终进入西安净水处理有限责任公司第六再生水厂</w:t>
                  </w:r>
                  <w:r>
                    <w:rPr>
                      <w:rFonts w:hint="eastAsia"/>
                      <w:color w:val="auto"/>
                      <w:szCs w:val="24"/>
                      <w:lang w:eastAsia="zh-CN"/>
                    </w:rPr>
                    <w:t>。</w:t>
                  </w:r>
                </w:p>
              </w:tc>
              <w:tc>
                <w:tcPr>
                  <w:tcW w:w="572" w:type="pct"/>
                  <w:noWrap w:val="0"/>
                  <w:vAlign w:val="center"/>
                </w:tcPr>
                <w:p w14:paraId="5CABF2A4">
                  <w:pPr>
                    <w:adjustRightInd w:val="0"/>
                    <w:snapToGrid w:val="0"/>
                    <w:jc w:val="center"/>
                    <w:rPr>
                      <w:rFonts w:hint="eastAsia" w:ascii="Times New Roman" w:eastAsia="宋体" w:cs="Times New Roman"/>
                      <w:color w:val="auto"/>
                      <w:sz w:val="21"/>
                      <w:szCs w:val="21"/>
                      <w:lang w:val="en-US" w:eastAsia="zh-CN"/>
                    </w:rPr>
                  </w:pPr>
                  <w:r>
                    <w:rPr>
                      <w:rFonts w:hint="eastAsia" w:ascii="Times New Roman" w:cs="Times New Roman"/>
                      <w:color w:val="auto"/>
                      <w:sz w:val="21"/>
                      <w:szCs w:val="21"/>
                      <w:lang w:val="en-US" w:eastAsia="zh-CN"/>
                    </w:rPr>
                    <w:t>新增</w:t>
                  </w:r>
                </w:p>
              </w:tc>
            </w:tr>
            <w:tr w14:paraId="659811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9" w:type="pct"/>
                  <w:vMerge w:val="continue"/>
                  <w:noWrap w:val="0"/>
                  <w:vAlign w:val="center"/>
                </w:tcPr>
                <w:p w14:paraId="070C4CA4">
                  <w:pPr>
                    <w:adjustRightInd w:val="0"/>
                    <w:snapToGrid w:val="0"/>
                    <w:jc w:val="center"/>
                    <w:rPr>
                      <w:color w:val="auto"/>
                      <w:spacing w:val="-20"/>
                      <w:szCs w:val="21"/>
                    </w:rPr>
                  </w:pPr>
                </w:p>
              </w:tc>
              <w:tc>
                <w:tcPr>
                  <w:tcW w:w="655" w:type="pct"/>
                  <w:noWrap w:val="0"/>
                  <w:vAlign w:val="center"/>
                </w:tcPr>
                <w:p w14:paraId="1AF53526">
                  <w:pPr>
                    <w:adjustRightInd w:val="0"/>
                    <w:snapToGrid w:val="0"/>
                    <w:jc w:val="center"/>
                    <w:rPr>
                      <w:color w:val="auto"/>
                      <w:szCs w:val="21"/>
                    </w:rPr>
                  </w:pPr>
                  <w:r>
                    <w:rPr>
                      <w:color w:val="auto"/>
                      <w:szCs w:val="21"/>
                    </w:rPr>
                    <w:t>噪声</w:t>
                  </w:r>
                </w:p>
              </w:tc>
              <w:tc>
                <w:tcPr>
                  <w:tcW w:w="3343" w:type="pct"/>
                  <w:noWrap w:val="0"/>
                  <w:vAlign w:val="center"/>
                </w:tcPr>
                <w:p w14:paraId="4DA1E6ED">
                  <w:pPr>
                    <w:adjustRightInd w:val="0"/>
                    <w:snapToGrid w:val="0"/>
                    <w:rPr>
                      <w:rFonts w:hint="eastAsia"/>
                      <w:color w:val="auto"/>
                      <w:szCs w:val="21"/>
                    </w:rPr>
                  </w:pPr>
                  <w:r>
                    <w:rPr>
                      <w:rFonts w:hint="eastAsia"/>
                      <w:color w:val="auto"/>
                      <w:szCs w:val="21"/>
                    </w:rPr>
                    <w:t>选用低噪</w:t>
                  </w:r>
                  <w:r>
                    <w:rPr>
                      <w:rFonts w:hint="eastAsia"/>
                      <w:color w:val="auto"/>
                      <w:szCs w:val="21"/>
                      <w:lang w:val="en-US" w:eastAsia="zh-CN"/>
                    </w:rPr>
                    <w:t>声</w:t>
                  </w:r>
                  <w:r>
                    <w:rPr>
                      <w:rFonts w:hint="eastAsia"/>
                      <w:color w:val="auto"/>
                      <w:szCs w:val="21"/>
                    </w:rPr>
                    <w:t>设备、厂房隔声、</w:t>
                  </w:r>
                  <w:r>
                    <w:rPr>
                      <w:rFonts w:hint="eastAsia"/>
                      <w:color w:val="auto"/>
                      <w:szCs w:val="21"/>
                      <w:lang w:val="en-US" w:eastAsia="zh-CN"/>
                    </w:rPr>
                    <w:t>合理布局等措施降噪。</w:t>
                  </w:r>
                </w:p>
              </w:tc>
              <w:tc>
                <w:tcPr>
                  <w:tcW w:w="572" w:type="pct"/>
                  <w:noWrap w:val="0"/>
                  <w:vAlign w:val="center"/>
                </w:tcPr>
                <w:p w14:paraId="6F6D163E">
                  <w:pPr>
                    <w:adjustRightInd w:val="0"/>
                    <w:snapToGrid w:val="0"/>
                    <w:jc w:val="center"/>
                    <w:rPr>
                      <w:rFonts w:hint="eastAsia" w:eastAsia="宋体"/>
                      <w:color w:val="auto"/>
                      <w:szCs w:val="21"/>
                      <w:lang w:val="en-US" w:eastAsia="zh-CN"/>
                    </w:rPr>
                  </w:pPr>
                  <w:r>
                    <w:rPr>
                      <w:rFonts w:hint="eastAsia"/>
                      <w:color w:val="auto"/>
                      <w:szCs w:val="21"/>
                      <w:lang w:val="en-US" w:eastAsia="zh-CN"/>
                    </w:rPr>
                    <w:t>/</w:t>
                  </w:r>
                </w:p>
              </w:tc>
            </w:tr>
            <w:tr w14:paraId="26D7BC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9" w:type="pct"/>
                  <w:vMerge w:val="continue"/>
                  <w:noWrap w:val="0"/>
                  <w:vAlign w:val="center"/>
                </w:tcPr>
                <w:p w14:paraId="2EF79866">
                  <w:pPr>
                    <w:adjustRightInd w:val="0"/>
                    <w:snapToGrid w:val="0"/>
                    <w:jc w:val="center"/>
                    <w:rPr>
                      <w:color w:val="auto"/>
                      <w:spacing w:val="-20"/>
                      <w:szCs w:val="21"/>
                    </w:rPr>
                  </w:pPr>
                </w:p>
              </w:tc>
              <w:tc>
                <w:tcPr>
                  <w:tcW w:w="655" w:type="pct"/>
                  <w:vMerge w:val="restart"/>
                  <w:noWrap w:val="0"/>
                  <w:vAlign w:val="center"/>
                </w:tcPr>
                <w:p w14:paraId="59879DD5">
                  <w:pPr>
                    <w:adjustRightInd w:val="0"/>
                    <w:snapToGrid w:val="0"/>
                    <w:jc w:val="center"/>
                    <w:rPr>
                      <w:color w:val="auto"/>
                      <w:szCs w:val="21"/>
                    </w:rPr>
                  </w:pPr>
                  <w:r>
                    <w:rPr>
                      <w:color w:val="auto"/>
                      <w:szCs w:val="21"/>
                    </w:rPr>
                    <w:t>固废</w:t>
                  </w:r>
                </w:p>
              </w:tc>
              <w:tc>
                <w:tcPr>
                  <w:tcW w:w="3343" w:type="pct"/>
                  <w:noWrap w:val="0"/>
                  <w:vAlign w:val="center"/>
                </w:tcPr>
                <w:p w14:paraId="036D61A2">
                  <w:pPr>
                    <w:adjustRightInd w:val="0"/>
                    <w:snapToGrid w:val="0"/>
                    <w:rPr>
                      <w:rFonts w:hint="eastAsia" w:eastAsia="宋体"/>
                      <w:color w:val="auto"/>
                      <w:szCs w:val="21"/>
                      <w:lang w:eastAsia="zh-CN"/>
                    </w:rPr>
                  </w:pPr>
                  <w:r>
                    <w:rPr>
                      <w:rFonts w:hint="eastAsia"/>
                      <w:color w:val="auto"/>
                      <w:szCs w:val="21"/>
                    </w:rPr>
                    <w:t>生活垃圾</w:t>
                  </w:r>
                  <w:r>
                    <w:rPr>
                      <w:rFonts w:hint="eastAsia"/>
                      <w:color w:val="auto"/>
                      <w:szCs w:val="21"/>
                      <w:lang w:val="en-US" w:eastAsia="zh-CN"/>
                    </w:rPr>
                    <w:t>经垃圾桶</w:t>
                  </w:r>
                  <w:r>
                    <w:rPr>
                      <w:rFonts w:hint="eastAsia"/>
                      <w:color w:val="auto"/>
                      <w:szCs w:val="21"/>
                    </w:rPr>
                    <w:t>收集后，由环卫部门统一清运</w:t>
                  </w:r>
                  <w:r>
                    <w:rPr>
                      <w:rFonts w:hint="eastAsia"/>
                      <w:color w:val="auto"/>
                      <w:szCs w:val="21"/>
                      <w:lang w:eastAsia="zh-CN"/>
                    </w:rPr>
                    <w:t>。</w:t>
                  </w:r>
                </w:p>
              </w:tc>
              <w:tc>
                <w:tcPr>
                  <w:tcW w:w="572" w:type="pct"/>
                  <w:noWrap w:val="0"/>
                  <w:vAlign w:val="center"/>
                </w:tcPr>
                <w:p w14:paraId="1ADC282A">
                  <w:pPr>
                    <w:adjustRightInd w:val="0"/>
                    <w:snapToGrid w:val="0"/>
                    <w:jc w:val="center"/>
                    <w:rPr>
                      <w:rFonts w:hint="eastAsia" w:eastAsia="宋体"/>
                      <w:color w:val="auto"/>
                      <w:szCs w:val="21"/>
                      <w:lang w:val="en-US" w:eastAsia="zh-CN"/>
                    </w:rPr>
                  </w:pPr>
                  <w:r>
                    <w:rPr>
                      <w:rFonts w:hint="eastAsia"/>
                      <w:color w:val="auto"/>
                      <w:szCs w:val="21"/>
                      <w:lang w:val="en-US" w:eastAsia="zh-CN"/>
                    </w:rPr>
                    <w:t>/</w:t>
                  </w:r>
                </w:p>
              </w:tc>
            </w:tr>
            <w:tr w14:paraId="1F89A0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29" w:type="pct"/>
                  <w:vMerge w:val="continue"/>
                  <w:noWrap w:val="0"/>
                  <w:vAlign w:val="center"/>
                </w:tcPr>
                <w:p w14:paraId="6C7B9134">
                  <w:pPr>
                    <w:adjustRightInd w:val="0"/>
                    <w:snapToGrid w:val="0"/>
                    <w:jc w:val="center"/>
                    <w:rPr>
                      <w:color w:val="auto"/>
                      <w:spacing w:val="-20"/>
                      <w:szCs w:val="21"/>
                    </w:rPr>
                  </w:pPr>
                </w:p>
              </w:tc>
              <w:tc>
                <w:tcPr>
                  <w:tcW w:w="655" w:type="pct"/>
                  <w:vMerge w:val="continue"/>
                  <w:noWrap w:val="0"/>
                  <w:vAlign w:val="center"/>
                </w:tcPr>
                <w:p w14:paraId="1D1E5185">
                  <w:pPr>
                    <w:adjustRightInd w:val="0"/>
                    <w:snapToGrid w:val="0"/>
                    <w:jc w:val="center"/>
                    <w:rPr>
                      <w:color w:val="auto"/>
                      <w:szCs w:val="21"/>
                    </w:rPr>
                  </w:pPr>
                </w:p>
              </w:tc>
              <w:tc>
                <w:tcPr>
                  <w:tcW w:w="3343" w:type="pct"/>
                  <w:noWrap w:val="0"/>
                  <w:vAlign w:val="center"/>
                </w:tcPr>
                <w:p w14:paraId="7BC61078">
                  <w:pPr>
                    <w:adjustRightInd w:val="0"/>
                    <w:snapToGrid w:val="0"/>
                    <w:rPr>
                      <w:rFonts w:hint="default" w:eastAsia="宋体"/>
                      <w:color w:val="auto"/>
                      <w:szCs w:val="21"/>
                      <w:lang w:val="en-US" w:eastAsia="zh-CN"/>
                    </w:rPr>
                  </w:pPr>
                  <w:r>
                    <w:rPr>
                      <w:rFonts w:hint="eastAsia"/>
                      <w:color w:val="auto"/>
                      <w:szCs w:val="21"/>
                    </w:rPr>
                    <w:t>废零部件、废轮胎、废焊丝、废打磨片</w:t>
                  </w:r>
                  <w:r>
                    <w:rPr>
                      <w:rFonts w:hint="eastAsia"/>
                      <w:color w:val="auto"/>
                      <w:szCs w:val="21"/>
                      <w:lang w:val="en-US" w:eastAsia="zh-CN"/>
                    </w:rPr>
                    <w:t>集中收集后外售处置；废锂电池集中收集后由厂家回收。</w:t>
                  </w:r>
                </w:p>
              </w:tc>
              <w:tc>
                <w:tcPr>
                  <w:tcW w:w="572" w:type="pct"/>
                  <w:noWrap w:val="0"/>
                  <w:vAlign w:val="center"/>
                </w:tcPr>
                <w:p w14:paraId="3C524D37">
                  <w:pPr>
                    <w:adjustRightInd w:val="0"/>
                    <w:snapToGrid w:val="0"/>
                    <w:jc w:val="center"/>
                    <w:rPr>
                      <w:rFonts w:hint="eastAsia" w:eastAsia="宋体"/>
                      <w:color w:val="auto"/>
                      <w:szCs w:val="21"/>
                      <w:lang w:val="en-US" w:eastAsia="zh-CN"/>
                    </w:rPr>
                  </w:pPr>
                  <w:r>
                    <w:rPr>
                      <w:rFonts w:hint="eastAsia"/>
                      <w:color w:val="auto"/>
                      <w:szCs w:val="21"/>
                      <w:lang w:val="en-US" w:eastAsia="zh-CN"/>
                    </w:rPr>
                    <w:t>/</w:t>
                  </w:r>
                </w:p>
              </w:tc>
            </w:tr>
            <w:tr w14:paraId="08625D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9" w:type="pct"/>
                  <w:vMerge w:val="continue"/>
                  <w:noWrap w:val="0"/>
                  <w:vAlign w:val="center"/>
                </w:tcPr>
                <w:p w14:paraId="1214C1A9">
                  <w:pPr>
                    <w:adjustRightInd w:val="0"/>
                    <w:snapToGrid w:val="0"/>
                    <w:jc w:val="center"/>
                    <w:rPr>
                      <w:color w:val="auto"/>
                      <w:spacing w:val="-20"/>
                      <w:szCs w:val="21"/>
                    </w:rPr>
                  </w:pPr>
                </w:p>
              </w:tc>
              <w:tc>
                <w:tcPr>
                  <w:tcW w:w="655" w:type="pct"/>
                  <w:vMerge w:val="continue"/>
                  <w:noWrap w:val="0"/>
                  <w:vAlign w:val="center"/>
                </w:tcPr>
                <w:p w14:paraId="7023EA36">
                  <w:pPr>
                    <w:adjustRightInd w:val="0"/>
                    <w:snapToGrid w:val="0"/>
                    <w:jc w:val="center"/>
                    <w:rPr>
                      <w:color w:val="auto"/>
                      <w:szCs w:val="21"/>
                    </w:rPr>
                  </w:pPr>
                </w:p>
              </w:tc>
              <w:tc>
                <w:tcPr>
                  <w:tcW w:w="3343" w:type="pct"/>
                  <w:noWrap w:val="0"/>
                  <w:vAlign w:val="center"/>
                </w:tcPr>
                <w:p w14:paraId="37AEDBC1">
                  <w:pPr>
                    <w:adjustRightInd w:val="0"/>
                    <w:snapToGrid w:val="0"/>
                    <w:rPr>
                      <w:rFonts w:hint="eastAsia"/>
                      <w:color w:val="auto"/>
                      <w:szCs w:val="21"/>
                    </w:rPr>
                  </w:pPr>
                  <w:r>
                    <w:rPr>
                      <w:rFonts w:hint="eastAsia"/>
                      <w:color w:val="auto"/>
                      <w:szCs w:val="21"/>
                      <w:lang w:eastAsia="zh-CN"/>
                    </w:rPr>
                    <w:t>油泥、</w:t>
                  </w:r>
                  <w:r>
                    <w:rPr>
                      <w:rFonts w:hint="eastAsia"/>
                      <w:color w:val="auto"/>
                      <w:szCs w:val="21"/>
                    </w:rPr>
                    <w:t>废机滤、废</w:t>
                  </w:r>
                  <w:r>
                    <w:rPr>
                      <w:rFonts w:hint="eastAsia"/>
                      <w:color w:val="auto"/>
                      <w:szCs w:val="21"/>
                      <w:lang w:val="en-US" w:eastAsia="zh-CN"/>
                    </w:rPr>
                    <w:t>矿物油（废机油、废刹车油、废变速箱油等）</w:t>
                  </w:r>
                  <w:r>
                    <w:rPr>
                      <w:rFonts w:hint="eastAsia"/>
                      <w:color w:val="auto"/>
                      <w:szCs w:val="21"/>
                    </w:rPr>
                    <w:t>、废</w:t>
                  </w:r>
                  <w:r>
                    <w:rPr>
                      <w:rFonts w:hint="eastAsia"/>
                      <w:color w:val="auto"/>
                      <w:szCs w:val="21"/>
                      <w:lang w:val="en-US" w:eastAsia="zh-CN"/>
                    </w:rPr>
                    <w:t>铅酸</w:t>
                  </w:r>
                  <w:r>
                    <w:rPr>
                      <w:rFonts w:hint="eastAsia"/>
                      <w:color w:val="auto"/>
                      <w:szCs w:val="21"/>
                    </w:rPr>
                    <w:t>电池、废防冻液、废抹布、废油桶</w:t>
                  </w:r>
                  <w:r>
                    <w:rPr>
                      <w:rFonts w:hint="eastAsia"/>
                      <w:color w:val="auto"/>
                      <w:szCs w:val="21"/>
                      <w:lang w:val="en-US" w:eastAsia="zh-CN"/>
                    </w:rPr>
                    <w:t>和</w:t>
                  </w:r>
                  <w:r>
                    <w:rPr>
                      <w:rFonts w:hint="eastAsia"/>
                      <w:color w:val="auto"/>
                      <w:szCs w:val="21"/>
                    </w:rPr>
                    <w:t>废油漆桶</w:t>
                  </w:r>
                  <w:r>
                    <w:rPr>
                      <w:rFonts w:hint="eastAsia"/>
                      <w:color w:val="auto"/>
                      <w:szCs w:val="21"/>
                      <w:lang w:val="en-US" w:eastAsia="zh-CN"/>
                    </w:rPr>
                    <w:t>在危废贮存库1#（位于厂区西侧，面积25m</w:t>
                  </w:r>
                  <w:r>
                    <w:rPr>
                      <w:rFonts w:hint="eastAsia"/>
                      <w:color w:val="auto"/>
                      <w:szCs w:val="21"/>
                      <w:vertAlign w:val="superscript"/>
                      <w:lang w:val="en-US" w:eastAsia="zh-CN"/>
                    </w:rPr>
                    <w:t>2</w:t>
                  </w:r>
                  <w:r>
                    <w:rPr>
                      <w:rFonts w:hint="eastAsia"/>
                      <w:color w:val="auto"/>
                      <w:szCs w:val="21"/>
                      <w:lang w:val="en-US" w:eastAsia="zh-CN"/>
                    </w:rPr>
                    <w:t>）暂存后，定期交由有资质单位处置；</w:t>
                  </w:r>
                  <w:r>
                    <w:rPr>
                      <w:rFonts w:hint="eastAsia"/>
                      <w:color w:val="auto"/>
                      <w:szCs w:val="21"/>
                      <w:lang w:eastAsia="zh-CN"/>
                    </w:rPr>
                    <w:t>废原子灰渣</w:t>
                  </w:r>
                  <w:r>
                    <w:rPr>
                      <w:rFonts w:hint="eastAsia"/>
                      <w:color w:val="auto"/>
                      <w:szCs w:val="21"/>
                    </w:rPr>
                    <w:t>、废遮蔽纸、废过滤棉</w:t>
                  </w:r>
                  <w:r>
                    <w:rPr>
                      <w:rFonts w:hint="eastAsia"/>
                      <w:color w:val="auto"/>
                      <w:szCs w:val="21"/>
                      <w:lang w:eastAsia="zh-CN"/>
                    </w:rPr>
                    <w:t>、</w:t>
                  </w:r>
                  <w:r>
                    <w:rPr>
                      <w:rFonts w:hint="eastAsia"/>
                      <w:color w:val="auto"/>
                      <w:szCs w:val="21"/>
                    </w:rPr>
                    <w:t>废活性炭、</w:t>
                  </w:r>
                  <w:r>
                    <w:rPr>
                      <w:rFonts w:hint="eastAsia"/>
                      <w:color w:val="auto"/>
                      <w:szCs w:val="21"/>
                      <w:lang w:eastAsia="zh-CN"/>
                    </w:rPr>
                    <w:t>废刹车片</w:t>
                  </w:r>
                  <w:r>
                    <w:rPr>
                      <w:rFonts w:hint="eastAsia"/>
                      <w:color w:val="auto"/>
                      <w:szCs w:val="21"/>
                    </w:rPr>
                    <w:t>和废荧光灯管</w:t>
                  </w:r>
                  <w:r>
                    <w:rPr>
                      <w:rFonts w:hint="eastAsia"/>
                      <w:color w:val="auto"/>
                      <w:szCs w:val="21"/>
                      <w:lang w:val="en-US" w:eastAsia="zh-CN"/>
                    </w:rPr>
                    <w:t>在危废贮存库2#（</w:t>
                  </w:r>
                  <w:r>
                    <w:rPr>
                      <w:rFonts w:hint="eastAsia"/>
                      <w:bCs/>
                      <w:snapToGrid w:val="0"/>
                      <w:color w:val="auto"/>
                      <w:szCs w:val="21"/>
                      <w:lang w:val="en-US" w:eastAsia="zh-CN"/>
                    </w:rPr>
                    <w:t>位于厂区北侧，面积16m</w:t>
                  </w:r>
                  <w:r>
                    <w:rPr>
                      <w:rFonts w:hint="eastAsia"/>
                      <w:bCs/>
                      <w:snapToGrid w:val="0"/>
                      <w:color w:val="auto"/>
                      <w:szCs w:val="21"/>
                      <w:vertAlign w:val="superscript"/>
                      <w:lang w:val="en-US" w:eastAsia="zh-CN"/>
                    </w:rPr>
                    <w:t>2</w:t>
                  </w:r>
                  <w:r>
                    <w:rPr>
                      <w:rFonts w:hint="eastAsia"/>
                      <w:color w:val="auto"/>
                      <w:szCs w:val="21"/>
                      <w:lang w:val="en-US" w:eastAsia="zh-CN"/>
                    </w:rPr>
                    <w:t>）暂存后，定期交由有资质单位处置</w:t>
                  </w:r>
                  <w:r>
                    <w:rPr>
                      <w:rFonts w:hint="eastAsia"/>
                      <w:color w:val="auto"/>
                      <w:lang w:eastAsia="zh-CN"/>
                    </w:rPr>
                    <w:t>。</w:t>
                  </w:r>
                </w:p>
              </w:tc>
              <w:tc>
                <w:tcPr>
                  <w:tcW w:w="572" w:type="pct"/>
                  <w:noWrap w:val="0"/>
                  <w:vAlign w:val="center"/>
                </w:tcPr>
                <w:p w14:paraId="3FB7F35F">
                  <w:pPr>
                    <w:adjustRightInd w:val="0"/>
                    <w:snapToGrid w:val="0"/>
                    <w:jc w:val="center"/>
                    <w:rPr>
                      <w:rFonts w:hint="default" w:eastAsia="宋体"/>
                      <w:color w:val="auto"/>
                      <w:szCs w:val="21"/>
                      <w:lang w:val="en-US" w:eastAsia="zh-CN"/>
                    </w:rPr>
                  </w:pPr>
                  <w:r>
                    <w:rPr>
                      <w:rFonts w:hint="eastAsia"/>
                      <w:color w:val="auto"/>
                      <w:szCs w:val="21"/>
                      <w:lang w:val="en-US" w:eastAsia="zh-CN"/>
                    </w:rPr>
                    <w:t>已建、油泥为新增</w:t>
                  </w:r>
                </w:p>
              </w:tc>
            </w:tr>
            <w:bookmarkEnd w:id="2"/>
          </w:tbl>
          <w:p w14:paraId="64644FF0">
            <w:pPr>
              <w:spacing w:line="480" w:lineRule="exact"/>
              <w:ind w:firstLine="482" w:firstLineChars="200"/>
              <w:rPr>
                <w:rFonts w:hint="default" w:eastAsia="宋体"/>
                <w:b/>
                <w:bCs/>
                <w:color w:val="auto"/>
                <w:sz w:val="24"/>
                <w:lang w:val="en-US" w:eastAsia="zh-CN"/>
              </w:rPr>
            </w:pPr>
            <w:r>
              <w:rPr>
                <w:rFonts w:hint="eastAsia"/>
                <w:b/>
                <w:bCs/>
                <w:color w:val="auto"/>
                <w:sz w:val="24"/>
                <w:lang w:val="en-US" w:eastAsia="zh-CN"/>
              </w:rPr>
              <w:t>2</w:t>
            </w:r>
            <w:r>
              <w:rPr>
                <w:rFonts w:hint="eastAsia"/>
                <w:b/>
                <w:bCs/>
                <w:color w:val="auto"/>
                <w:sz w:val="24"/>
              </w:rPr>
              <w:t>、</w:t>
            </w:r>
            <w:r>
              <w:rPr>
                <w:rFonts w:hint="eastAsia"/>
                <w:b/>
                <w:bCs/>
                <w:color w:val="auto"/>
                <w:sz w:val="24"/>
                <w:lang w:val="en-US" w:eastAsia="zh-CN"/>
              </w:rPr>
              <w:t>项目经营方案</w:t>
            </w:r>
          </w:p>
          <w:p w14:paraId="38049D92">
            <w:pPr>
              <w:spacing w:line="480" w:lineRule="exact"/>
              <w:ind w:firstLine="480" w:firstLineChars="200"/>
              <w:rPr>
                <w:color w:val="auto"/>
                <w:sz w:val="24"/>
              </w:rPr>
            </w:pPr>
            <w:r>
              <w:rPr>
                <w:rFonts w:hint="eastAsia"/>
                <w:color w:val="auto"/>
                <w:sz w:val="24"/>
                <w:lang w:val="en-US" w:eastAsia="zh-CN"/>
              </w:rPr>
              <w:t>本</w:t>
            </w:r>
            <w:r>
              <w:rPr>
                <w:rFonts w:hint="eastAsia"/>
                <w:color w:val="auto"/>
                <w:sz w:val="24"/>
              </w:rPr>
              <w:t>项目</w:t>
            </w:r>
            <w:r>
              <w:rPr>
                <w:rFonts w:hint="eastAsia"/>
                <w:color w:val="auto"/>
                <w:sz w:val="24"/>
                <w:lang w:val="en-US" w:eastAsia="zh-CN"/>
              </w:rPr>
              <w:t>经营方案</w:t>
            </w:r>
            <w:r>
              <w:rPr>
                <w:rFonts w:hint="eastAsia"/>
                <w:color w:val="auto"/>
                <w:sz w:val="24"/>
              </w:rPr>
              <w:t>具体见下表：</w:t>
            </w:r>
          </w:p>
          <w:p w14:paraId="0B1F66D7">
            <w:pPr>
              <w:pStyle w:val="64"/>
              <w:rPr>
                <w:rFonts w:hint="eastAsia" w:ascii="Times New Roman" w:hAnsi="Times New Roman" w:eastAsia="宋体" w:cs="Times New Roman"/>
                <w:b/>
                <w:bCs/>
                <w:color w:val="auto"/>
                <w:szCs w:val="24"/>
                <w:lang w:val="en-US" w:eastAsia="zh-CN"/>
              </w:rPr>
            </w:pPr>
            <w:r>
              <w:rPr>
                <w:rFonts w:hint="eastAsia" w:ascii="Times New Roman" w:hAnsi="Times New Roman" w:eastAsia="宋体" w:cs="Times New Roman"/>
                <w:b/>
                <w:bCs/>
                <w:color w:val="auto"/>
                <w:szCs w:val="24"/>
              </w:rPr>
              <w:t xml:space="preserve">表2-2  </w:t>
            </w:r>
            <w:r>
              <w:rPr>
                <w:rFonts w:hint="eastAsia" w:ascii="Times New Roman" w:hAnsi="Times New Roman" w:eastAsia="宋体" w:cs="Times New Roman"/>
                <w:b/>
                <w:bCs/>
                <w:color w:val="auto"/>
                <w:szCs w:val="24"/>
                <w:lang w:val="en-US" w:eastAsia="zh-CN"/>
              </w:rPr>
              <w:t>本项目经营</w:t>
            </w:r>
            <w:r>
              <w:rPr>
                <w:rFonts w:hint="eastAsia" w:ascii="Times New Roman" w:hAnsi="Times New Roman" w:eastAsia="宋体" w:cs="Times New Roman"/>
                <w:b/>
                <w:bCs/>
                <w:color w:val="auto"/>
                <w:szCs w:val="24"/>
              </w:rPr>
              <w:t>方案</w:t>
            </w:r>
            <w:r>
              <w:rPr>
                <w:rFonts w:hint="eastAsia" w:ascii="Times New Roman" w:hAnsi="Times New Roman" w:eastAsia="宋体" w:cs="Times New Roman"/>
                <w:b/>
                <w:bCs/>
                <w:color w:val="auto"/>
                <w:szCs w:val="24"/>
                <w:lang w:val="en-US" w:eastAsia="zh-CN"/>
              </w:rPr>
              <w:t>一览表</w:t>
            </w:r>
          </w:p>
          <w:tbl>
            <w:tblPr>
              <w:tblStyle w:val="25"/>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32"/>
              <w:gridCol w:w="2374"/>
              <w:gridCol w:w="2385"/>
              <w:gridCol w:w="2420"/>
            </w:tblGrid>
            <w:tr w14:paraId="6CE6E7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28" w:type="pct"/>
                  <w:noWrap w:val="0"/>
                  <w:vAlign w:val="center"/>
                </w:tcPr>
                <w:p w14:paraId="30FD5D88">
                  <w:pPr>
                    <w:adjustRightInd w:val="0"/>
                    <w:snapToGrid w:val="0"/>
                    <w:jc w:val="center"/>
                    <w:rPr>
                      <w:b/>
                      <w:bCs/>
                      <w:color w:val="auto"/>
                      <w:szCs w:val="21"/>
                    </w:rPr>
                  </w:pPr>
                  <w:r>
                    <w:rPr>
                      <w:rFonts w:hint="eastAsia"/>
                      <w:b/>
                      <w:bCs/>
                      <w:color w:val="auto"/>
                      <w:szCs w:val="21"/>
                    </w:rPr>
                    <w:t>序号</w:t>
                  </w:r>
                </w:p>
              </w:tc>
              <w:tc>
                <w:tcPr>
                  <w:tcW w:w="1445" w:type="pct"/>
                  <w:noWrap w:val="0"/>
                  <w:vAlign w:val="center"/>
                </w:tcPr>
                <w:p w14:paraId="0D5AA580">
                  <w:pPr>
                    <w:adjustRightInd w:val="0"/>
                    <w:snapToGrid w:val="0"/>
                    <w:jc w:val="center"/>
                    <w:rPr>
                      <w:b/>
                      <w:bCs/>
                      <w:color w:val="auto"/>
                      <w:szCs w:val="21"/>
                    </w:rPr>
                  </w:pPr>
                  <w:r>
                    <w:rPr>
                      <w:rFonts w:hint="eastAsia"/>
                      <w:b/>
                      <w:bCs/>
                      <w:color w:val="auto"/>
                      <w:szCs w:val="21"/>
                    </w:rPr>
                    <w:t>产品名称</w:t>
                  </w:r>
                </w:p>
              </w:tc>
              <w:tc>
                <w:tcPr>
                  <w:tcW w:w="1452" w:type="pct"/>
                  <w:noWrap w:val="0"/>
                  <w:vAlign w:val="center"/>
                </w:tcPr>
                <w:p w14:paraId="7F8A3F8C">
                  <w:pPr>
                    <w:adjustRightInd w:val="0"/>
                    <w:snapToGrid w:val="0"/>
                    <w:jc w:val="center"/>
                    <w:rPr>
                      <w:rFonts w:hint="eastAsia" w:ascii="Times New Roman" w:hAnsi="Times New Roman" w:eastAsia="宋体" w:cs="Times New Roman"/>
                      <w:b/>
                      <w:bCs/>
                      <w:color w:val="auto"/>
                      <w:kern w:val="2"/>
                      <w:sz w:val="21"/>
                      <w:szCs w:val="21"/>
                      <w:lang w:val="en-US" w:eastAsia="zh-CN" w:bidi="ar-SA"/>
                    </w:rPr>
                  </w:pPr>
                  <w:r>
                    <w:rPr>
                      <w:rFonts w:hint="eastAsia"/>
                      <w:b/>
                      <w:bCs/>
                      <w:color w:val="auto"/>
                      <w:szCs w:val="21"/>
                      <w:lang w:val="en-US" w:eastAsia="zh-CN"/>
                    </w:rPr>
                    <w:t>规模</w:t>
                  </w:r>
                </w:p>
              </w:tc>
              <w:tc>
                <w:tcPr>
                  <w:tcW w:w="1473" w:type="pct"/>
                  <w:noWrap w:val="0"/>
                  <w:vAlign w:val="center"/>
                </w:tcPr>
                <w:p w14:paraId="5D69057B">
                  <w:pPr>
                    <w:adjustRightInd w:val="0"/>
                    <w:snapToGrid w:val="0"/>
                    <w:jc w:val="center"/>
                    <w:rPr>
                      <w:rFonts w:hint="default" w:eastAsia="宋体"/>
                      <w:b/>
                      <w:bCs/>
                      <w:color w:val="auto"/>
                      <w:szCs w:val="21"/>
                      <w:lang w:val="en-US" w:eastAsia="zh-CN"/>
                    </w:rPr>
                  </w:pPr>
                  <w:r>
                    <w:rPr>
                      <w:rFonts w:hint="eastAsia"/>
                      <w:b/>
                      <w:bCs/>
                      <w:color w:val="auto"/>
                      <w:szCs w:val="21"/>
                      <w:lang w:val="en-US" w:eastAsia="zh-CN"/>
                    </w:rPr>
                    <w:t>备注</w:t>
                  </w:r>
                </w:p>
              </w:tc>
            </w:tr>
            <w:tr w14:paraId="471F3D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28" w:type="pct"/>
                  <w:noWrap w:val="0"/>
                  <w:vAlign w:val="center"/>
                </w:tcPr>
                <w:p w14:paraId="191A3B42">
                  <w:pPr>
                    <w:adjustRightInd w:val="0"/>
                    <w:snapToGrid w:val="0"/>
                    <w:jc w:val="center"/>
                    <w:rPr>
                      <w:color w:val="auto"/>
                      <w:szCs w:val="21"/>
                    </w:rPr>
                  </w:pPr>
                  <w:r>
                    <w:rPr>
                      <w:rFonts w:hint="eastAsia"/>
                      <w:color w:val="auto"/>
                      <w:szCs w:val="21"/>
                    </w:rPr>
                    <w:t>1</w:t>
                  </w:r>
                </w:p>
              </w:tc>
              <w:tc>
                <w:tcPr>
                  <w:tcW w:w="1445" w:type="pct"/>
                  <w:noWrap w:val="0"/>
                  <w:vAlign w:val="center"/>
                </w:tcPr>
                <w:p w14:paraId="7EC99F5F">
                  <w:pPr>
                    <w:adjustRightInd w:val="0"/>
                    <w:snapToGrid w:val="0"/>
                    <w:jc w:val="center"/>
                    <w:rPr>
                      <w:rFonts w:hint="default"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维修车辆</w:t>
                  </w:r>
                </w:p>
              </w:tc>
              <w:tc>
                <w:tcPr>
                  <w:tcW w:w="1452" w:type="pct"/>
                  <w:noWrap w:val="0"/>
                  <w:vAlign w:val="center"/>
                </w:tcPr>
                <w:p w14:paraId="05D73FA9">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18000台/年</w:t>
                  </w:r>
                </w:p>
              </w:tc>
              <w:tc>
                <w:tcPr>
                  <w:tcW w:w="1473" w:type="pct"/>
                  <w:noWrap w:val="0"/>
                  <w:vAlign w:val="center"/>
                </w:tcPr>
                <w:p w14:paraId="17ED387D">
                  <w:pPr>
                    <w:adjustRightInd w:val="0"/>
                    <w:snapToGrid w:val="0"/>
                    <w:jc w:val="center"/>
                    <w:rPr>
                      <w:rFonts w:hint="default"/>
                      <w:color w:val="auto"/>
                      <w:szCs w:val="21"/>
                      <w:lang w:val="en-US" w:eastAsia="zh-CN"/>
                    </w:rPr>
                  </w:pPr>
                  <w:r>
                    <w:rPr>
                      <w:rFonts w:hint="eastAsia"/>
                      <w:color w:val="auto"/>
                      <w:szCs w:val="21"/>
                      <w:lang w:val="en-US" w:eastAsia="zh-CN"/>
                    </w:rPr>
                    <w:t>维修车间</w:t>
                  </w:r>
                </w:p>
              </w:tc>
            </w:tr>
            <w:tr w14:paraId="65933D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28" w:type="pct"/>
                  <w:noWrap w:val="0"/>
                  <w:vAlign w:val="center"/>
                </w:tcPr>
                <w:p w14:paraId="0E8903E0">
                  <w:pPr>
                    <w:adjustRightInd w:val="0"/>
                    <w:snapToGrid w:val="0"/>
                    <w:jc w:val="center"/>
                    <w:rPr>
                      <w:color w:val="auto"/>
                      <w:szCs w:val="21"/>
                    </w:rPr>
                  </w:pPr>
                  <w:r>
                    <w:rPr>
                      <w:rFonts w:hint="eastAsia"/>
                      <w:color w:val="auto"/>
                      <w:szCs w:val="21"/>
                    </w:rPr>
                    <w:t>2</w:t>
                  </w:r>
                </w:p>
              </w:tc>
              <w:tc>
                <w:tcPr>
                  <w:tcW w:w="1445" w:type="pct"/>
                  <w:noWrap w:val="0"/>
                  <w:vAlign w:val="center"/>
                </w:tcPr>
                <w:p w14:paraId="102F6CFF">
                  <w:pPr>
                    <w:adjustRightInd w:val="0"/>
                    <w:snapToGrid w:val="0"/>
                    <w:jc w:val="center"/>
                    <w:rPr>
                      <w:rFonts w:hint="default"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喷漆车辆</w:t>
                  </w:r>
                </w:p>
              </w:tc>
              <w:tc>
                <w:tcPr>
                  <w:tcW w:w="1452" w:type="pct"/>
                  <w:noWrap w:val="0"/>
                  <w:vAlign w:val="center"/>
                </w:tcPr>
                <w:p w14:paraId="072C12EB">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4000台/年</w:t>
                  </w:r>
                </w:p>
              </w:tc>
              <w:tc>
                <w:tcPr>
                  <w:tcW w:w="1473" w:type="pct"/>
                  <w:noWrap w:val="0"/>
                  <w:vAlign w:val="center"/>
                </w:tcPr>
                <w:p w14:paraId="424588A9">
                  <w:pPr>
                    <w:adjustRightInd w:val="0"/>
                    <w:snapToGrid w:val="0"/>
                    <w:jc w:val="center"/>
                    <w:rPr>
                      <w:rFonts w:hint="default" w:eastAsia="宋体"/>
                      <w:color w:val="auto"/>
                      <w:kern w:val="2"/>
                      <w:sz w:val="21"/>
                      <w:szCs w:val="21"/>
                      <w:lang w:val="en-US" w:eastAsia="zh-CN" w:bidi="ar-SA"/>
                    </w:rPr>
                  </w:pPr>
                  <w:r>
                    <w:rPr>
                      <w:rFonts w:hint="eastAsia" w:eastAsia="宋体"/>
                      <w:color w:val="auto"/>
                      <w:kern w:val="2"/>
                      <w:sz w:val="21"/>
                      <w:szCs w:val="21"/>
                      <w:lang w:val="en-US" w:eastAsia="zh-CN" w:bidi="ar-SA"/>
                    </w:rPr>
                    <w:t>钣喷车间</w:t>
                  </w:r>
                </w:p>
              </w:tc>
            </w:tr>
            <w:tr w14:paraId="17457A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28" w:type="pct"/>
                  <w:noWrap w:val="0"/>
                  <w:vAlign w:val="center"/>
                </w:tcPr>
                <w:p w14:paraId="2219953C">
                  <w:pPr>
                    <w:adjustRightInd w:val="0"/>
                    <w:snapToGrid w:val="0"/>
                    <w:jc w:val="center"/>
                    <w:rPr>
                      <w:rFonts w:hint="eastAsia" w:eastAsia="宋体"/>
                      <w:color w:val="auto"/>
                      <w:szCs w:val="21"/>
                      <w:lang w:val="en-US" w:eastAsia="zh-CN"/>
                    </w:rPr>
                  </w:pPr>
                  <w:r>
                    <w:rPr>
                      <w:rFonts w:hint="eastAsia"/>
                      <w:color w:val="auto"/>
                      <w:szCs w:val="21"/>
                      <w:lang w:val="en-US" w:eastAsia="zh-CN"/>
                    </w:rPr>
                    <w:t>3</w:t>
                  </w:r>
                </w:p>
              </w:tc>
              <w:tc>
                <w:tcPr>
                  <w:tcW w:w="1445" w:type="pct"/>
                  <w:noWrap w:val="0"/>
                  <w:vAlign w:val="center"/>
                </w:tcPr>
                <w:p w14:paraId="729A1C5D">
                  <w:pPr>
                    <w:adjustRightInd w:val="0"/>
                    <w:snapToGrid w:val="0"/>
                    <w:jc w:val="center"/>
                    <w:rPr>
                      <w:rFonts w:hint="default"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清洗车辆</w:t>
                  </w:r>
                </w:p>
              </w:tc>
              <w:tc>
                <w:tcPr>
                  <w:tcW w:w="1452" w:type="pct"/>
                  <w:noWrap w:val="0"/>
                  <w:vAlign w:val="center"/>
                </w:tcPr>
                <w:p w14:paraId="39D840DF">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22000台/年</w:t>
                  </w:r>
                </w:p>
              </w:tc>
              <w:tc>
                <w:tcPr>
                  <w:tcW w:w="1473" w:type="pct"/>
                  <w:noWrap w:val="0"/>
                  <w:vAlign w:val="center"/>
                </w:tcPr>
                <w:p w14:paraId="7343B6B9">
                  <w:pPr>
                    <w:adjustRightInd w:val="0"/>
                    <w:snapToGrid w:val="0"/>
                    <w:jc w:val="center"/>
                    <w:rPr>
                      <w:rFonts w:hint="default" w:eastAsia="宋体"/>
                      <w:color w:val="auto"/>
                      <w:kern w:val="2"/>
                      <w:sz w:val="21"/>
                      <w:szCs w:val="21"/>
                      <w:lang w:val="en-US" w:eastAsia="zh-CN" w:bidi="ar-SA"/>
                    </w:rPr>
                  </w:pPr>
                  <w:r>
                    <w:rPr>
                      <w:rFonts w:hint="eastAsia" w:eastAsia="宋体"/>
                      <w:color w:val="auto"/>
                      <w:kern w:val="2"/>
                      <w:sz w:val="21"/>
                      <w:szCs w:val="21"/>
                      <w:lang w:val="en-US" w:eastAsia="zh-CN" w:bidi="ar-SA"/>
                    </w:rPr>
                    <w:t>洗车房</w:t>
                  </w:r>
                </w:p>
              </w:tc>
            </w:tr>
          </w:tbl>
          <w:p w14:paraId="5CBE32B9">
            <w:pPr>
              <w:spacing w:before="120" w:beforeLines="50" w:line="360" w:lineRule="auto"/>
              <w:ind w:firstLine="482" w:firstLineChars="200"/>
              <w:rPr>
                <w:b/>
                <w:bCs/>
                <w:color w:val="auto"/>
                <w:sz w:val="24"/>
              </w:rPr>
            </w:pPr>
            <w:r>
              <w:rPr>
                <w:rFonts w:hint="eastAsia"/>
                <w:b/>
                <w:bCs/>
                <w:color w:val="auto"/>
                <w:sz w:val="24"/>
                <w:lang w:val="en-US" w:eastAsia="zh-CN"/>
              </w:rPr>
              <w:t>3</w:t>
            </w:r>
            <w:r>
              <w:rPr>
                <w:b/>
                <w:bCs/>
                <w:color w:val="auto"/>
                <w:sz w:val="24"/>
              </w:rPr>
              <w:t>、</w:t>
            </w:r>
            <w:r>
              <w:rPr>
                <w:rFonts w:hint="eastAsia"/>
                <w:b/>
                <w:bCs/>
                <w:color w:val="auto"/>
                <w:sz w:val="24"/>
              </w:rPr>
              <w:t>项目主要原辅料及能源消耗</w:t>
            </w:r>
          </w:p>
          <w:p w14:paraId="49ABF45C">
            <w:pPr>
              <w:spacing w:line="360" w:lineRule="auto"/>
              <w:ind w:firstLine="480" w:firstLineChars="200"/>
              <w:rPr>
                <w:color w:val="auto"/>
                <w:sz w:val="24"/>
              </w:rPr>
            </w:pPr>
            <w:r>
              <w:rPr>
                <w:rFonts w:hint="eastAsia"/>
                <w:color w:val="auto"/>
                <w:sz w:val="24"/>
              </w:rPr>
              <w:t>（1）</w:t>
            </w:r>
            <w:r>
              <w:rPr>
                <w:color w:val="auto"/>
                <w:sz w:val="24"/>
              </w:rPr>
              <w:t>项目主要原辅材料及能耗情况见下表：</w:t>
            </w:r>
          </w:p>
          <w:p w14:paraId="075CCEED">
            <w:pPr>
              <w:pStyle w:val="64"/>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b/>
                <w:bCs/>
                <w:color w:val="auto"/>
                <w:szCs w:val="24"/>
              </w:rPr>
            </w:pPr>
            <w:r>
              <w:rPr>
                <w:rFonts w:ascii="Times New Roman" w:hAnsi="Times New Roman" w:eastAsia="宋体" w:cs="Times New Roman"/>
                <w:b/>
                <w:bCs/>
                <w:color w:val="auto"/>
                <w:szCs w:val="24"/>
              </w:rPr>
              <w:t>表</w:t>
            </w:r>
            <w:r>
              <w:rPr>
                <w:rFonts w:hint="eastAsia" w:ascii="Times New Roman" w:hAnsi="Times New Roman" w:eastAsia="宋体" w:cs="Times New Roman"/>
                <w:b/>
                <w:bCs/>
                <w:color w:val="auto"/>
                <w:szCs w:val="24"/>
              </w:rPr>
              <w:t>2-</w:t>
            </w:r>
            <w:r>
              <w:rPr>
                <w:rFonts w:hint="eastAsia" w:ascii="Times New Roman" w:hAnsi="Times New Roman" w:eastAsia="宋体" w:cs="Times New Roman"/>
                <w:b/>
                <w:bCs/>
                <w:color w:val="auto"/>
                <w:szCs w:val="24"/>
                <w:lang w:val="en-US" w:eastAsia="zh-CN"/>
              </w:rPr>
              <w:t>3</w:t>
            </w:r>
            <w:r>
              <w:rPr>
                <w:rFonts w:ascii="Times New Roman" w:hAnsi="Times New Roman" w:eastAsia="宋体" w:cs="Times New Roman"/>
                <w:b/>
                <w:bCs/>
                <w:color w:val="auto"/>
                <w:szCs w:val="24"/>
              </w:rPr>
              <w:t xml:space="preserve"> </w:t>
            </w:r>
            <w:r>
              <w:rPr>
                <w:rFonts w:hint="eastAsia" w:ascii="Times New Roman" w:hAnsi="Times New Roman" w:eastAsia="宋体" w:cs="Times New Roman"/>
                <w:b/>
                <w:bCs/>
                <w:color w:val="auto"/>
                <w:szCs w:val="24"/>
              </w:rPr>
              <w:t xml:space="preserve"> </w:t>
            </w:r>
            <w:r>
              <w:rPr>
                <w:rFonts w:ascii="Times New Roman" w:hAnsi="Times New Roman" w:eastAsia="宋体" w:cs="Times New Roman"/>
                <w:b/>
                <w:bCs/>
                <w:color w:val="auto"/>
                <w:szCs w:val="24"/>
              </w:rPr>
              <w:t>项目原辅材料</w:t>
            </w:r>
            <w:r>
              <w:rPr>
                <w:rFonts w:hint="eastAsia" w:ascii="Times New Roman" w:hAnsi="Times New Roman" w:eastAsia="宋体" w:cs="Times New Roman"/>
                <w:b/>
                <w:bCs/>
                <w:color w:val="auto"/>
                <w:szCs w:val="24"/>
                <w:lang w:val="en-US" w:eastAsia="zh-CN"/>
              </w:rPr>
              <w:t>及能源</w:t>
            </w:r>
            <w:r>
              <w:rPr>
                <w:rFonts w:ascii="Times New Roman" w:hAnsi="Times New Roman" w:eastAsia="宋体" w:cs="Times New Roman"/>
                <w:b/>
                <w:bCs/>
                <w:color w:val="auto"/>
                <w:szCs w:val="24"/>
              </w:rPr>
              <w:t>消耗一览表</w:t>
            </w:r>
          </w:p>
          <w:tbl>
            <w:tblPr>
              <w:tblStyle w:val="81"/>
              <w:tblW w:w="821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44"/>
              <w:gridCol w:w="1292"/>
              <w:gridCol w:w="631"/>
              <w:gridCol w:w="948"/>
              <w:gridCol w:w="1101"/>
              <w:gridCol w:w="1101"/>
              <w:gridCol w:w="2494"/>
            </w:tblGrid>
            <w:tr w14:paraId="34D9C3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3" w:hRule="atLeast"/>
                <w:jc w:val="center"/>
              </w:trPr>
              <w:tc>
                <w:tcPr>
                  <w:tcW w:w="392" w:type="pct"/>
                  <w:tcBorders>
                    <w:tl2br w:val="nil"/>
                    <w:tr2bl w:val="nil"/>
                  </w:tcBorders>
                  <w:noWrap w:val="0"/>
                  <w:vAlign w:val="center"/>
                </w:tcPr>
                <w:p w14:paraId="6D94B206">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b/>
                      <w:bCs/>
                      <w:color w:val="auto"/>
                      <w:spacing w:val="-17"/>
                      <w:szCs w:val="21"/>
                    </w:rPr>
                    <w:t>序</w:t>
                  </w:r>
                  <w:r>
                    <w:rPr>
                      <w:rFonts w:hint="default" w:ascii="Times New Roman" w:hAnsi="Times New Roman" w:eastAsia="宋体" w:cs="Times New Roman"/>
                      <w:b/>
                      <w:bCs/>
                      <w:color w:val="auto"/>
                      <w:spacing w:val="-22"/>
                      <w:szCs w:val="21"/>
                    </w:rPr>
                    <w:t>号</w:t>
                  </w:r>
                </w:p>
              </w:tc>
              <w:tc>
                <w:tcPr>
                  <w:tcW w:w="786" w:type="pct"/>
                  <w:tcBorders>
                    <w:tl2br w:val="nil"/>
                    <w:tr2bl w:val="nil"/>
                  </w:tcBorders>
                  <w:noWrap w:val="0"/>
                  <w:vAlign w:val="center"/>
                </w:tcPr>
                <w:p w14:paraId="1561C12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b/>
                      <w:bCs/>
                      <w:color w:val="auto"/>
                      <w:spacing w:val="-10"/>
                      <w:szCs w:val="21"/>
                    </w:rPr>
                    <w:t>名称</w:t>
                  </w:r>
                </w:p>
              </w:tc>
              <w:tc>
                <w:tcPr>
                  <w:tcW w:w="384" w:type="pct"/>
                  <w:tcBorders>
                    <w:tl2br w:val="nil"/>
                    <w:tr2bl w:val="nil"/>
                  </w:tcBorders>
                  <w:noWrap w:val="0"/>
                  <w:vAlign w:val="center"/>
                </w:tcPr>
                <w:p w14:paraId="1758657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
                      <w:bCs/>
                      <w:color w:val="auto"/>
                      <w:spacing w:val="-11"/>
                      <w:szCs w:val="21"/>
                    </w:rPr>
                    <w:t>单位</w:t>
                  </w:r>
                </w:p>
              </w:tc>
              <w:tc>
                <w:tcPr>
                  <w:tcW w:w="577" w:type="pct"/>
                  <w:tcBorders>
                    <w:tl2br w:val="nil"/>
                    <w:tr2bl w:val="nil"/>
                  </w:tcBorders>
                  <w:noWrap w:val="0"/>
                  <w:vAlign w:val="center"/>
                </w:tcPr>
                <w:p w14:paraId="5F6A053D">
                  <w:pPr>
                    <w:widowControl/>
                    <w:jc w:val="center"/>
                    <w:rPr>
                      <w:rFonts w:hint="default" w:ascii="Times New Roman" w:hAnsi="Times New Roman" w:eastAsia="宋体" w:cs="Times New Roman"/>
                      <w:b/>
                      <w:bCs/>
                      <w:color w:val="auto"/>
                      <w:kern w:val="0"/>
                      <w:sz w:val="21"/>
                      <w:szCs w:val="21"/>
                      <w:lang w:val="en-US" w:eastAsia="zh-CN" w:bidi="ar-SA"/>
                    </w:rPr>
                  </w:pPr>
                  <w:r>
                    <w:rPr>
                      <w:rFonts w:hint="eastAsia" w:ascii="Times New Roman" w:hAnsi="Times New Roman" w:eastAsia="宋体" w:cs="Times New Roman"/>
                      <w:b/>
                      <w:bCs/>
                      <w:color w:val="auto"/>
                      <w:kern w:val="0"/>
                      <w:sz w:val="21"/>
                      <w:szCs w:val="21"/>
                      <w:lang w:val="en-US" w:eastAsia="zh-CN"/>
                    </w:rPr>
                    <w:t>年消耗量</w:t>
                  </w:r>
                </w:p>
              </w:tc>
              <w:tc>
                <w:tcPr>
                  <w:tcW w:w="670" w:type="pct"/>
                  <w:tcBorders>
                    <w:tl2br w:val="nil"/>
                    <w:tr2bl w:val="nil"/>
                  </w:tcBorders>
                  <w:noWrap w:val="0"/>
                  <w:vAlign w:val="center"/>
                </w:tcPr>
                <w:p w14:paraId="3B003576">
                  <w:pPr>
                    <w:widowControl/>
                    <w:jc w:val="center"/>
                    <w:rPr>
                      <w:rFonts w:hint="default" w:ascii="Times New Roman" w:hAnsi="Times New Roman" w:eastAsia="宋体" w:cs="Times New Roman"/>
                      <w:b/>
                      <w:bCs/>
                      <w:color w:val="auto"/>
                      <w:kern w:val="0"/>
                      <w:sz w:val="21"/>
                      <w:szCs w:val="21"/>
                      <w:lang w:val="en-US" w:eastAsia="zh-CN"/>
                    </w:rPr>
                  </w:pPr>
                  <w:r>
                    <w:rPr>
                      <w:rFonts w:hint="eastAsia" w:ascii="Times New Roman" w:hAnsi="Times New Roman" w:eastAsia="宋体" w:cs="Times New Roman"/>
                      <w:b/>
                      <w:bCs/>
                      <w:color w:val="auto"/>
                      <w:kern w:val="0"/>
                      <w:sz w:val="21"/>
                      <w:szCs w:val="21"/>
                      <w:lang w:val="en-US" w:eastAsia="zh-CN"/>
                    </w:rPr>
                    <w:t>最大暂存量</w:t>
                  </w:r>
                </w:p>
              </w:tc>
              <w:tc>
                <w:tcPr>
                  <w:tcW w:w="670" w:type="pct"/>
                  <w:tcBorders>
                    <w:tl2br w:val="nil"/>
                    <w:tr2bl w:val="nil"/>
                  </w:tcBorders>
                  <w:noWrap w:val="0"/>
                  <w:vAlign w:val="center"/>
                </w:tcPr>
                <w:p w14:paraId="0FF8A12A">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b/>
                      <w:bCs/>
                      <w:color w:val="auto"/>
                      <w:spacing w:val="-6"/>
                      <w:szCs w:val="21"/>
                      <w:lang w:val="en-US" w:eastAsia="zh-CN"/>
                    </w:rPr>
                    <w:t>包装规格</w:t>
                  </w:r>
                </w:p>
              </w:tc>
              <w:tc>
                <w:tcPr>
                  <w:tcW w:w="1518" w:type="pct"/>
                  <w:tcBorders>
                    <w:tl2br w:val="nil"/>
                    <w:tr2bl w:val="nil"/>
                  </w:tcBorders>
                  <w:noWrap w:val="0"/>
                  <w:vAlign w:val="center"/>
                </w:tcPr>
                <w:p w14:paraId="04CB7E4A">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b/>
                      <w:bCs/>
                      <w:color w:val="auto"/>
                      <w:spacing w:val="-10"/>
                      <w:szCs w:val="21"/>
                    </w:rPr>
                    <w:t>备注</w:t>
                  </w:r>
                </w:p>
              </w:tc>
            </w:tr>
            <w:tr w14:paraId="3EB05A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2" w:type="pct"/>
                  <w:tcBorders>
                    <w:tl2br w:val="nil"/>
                    <w:tr2bl w:val="nil"/>
                  </w:tcBorders>
                  <w:noWrap w:val="0"/>
                  <w:vAlign w:val="center"/>
                </w:tcPr>
                <w:p w14:paraId="2A1289A0">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786" w:type="pct"/>
                  <w:tcBorders>
                    <w:tl2br w:val="nil"/>
                    <w:tr2bl w:val="nil"/>
                  </w:tcBorders>
                  <w:noWrap w:val="0"/>
                  <w:vAlign w:val="center"/>
                </w:tcPr>
                <w:p w14:paraId="79B9FDEC">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5"/>
                      <w:szCs w:val="21"/>
                    </w:rPr>
                    <w:t>原子灰</w:t>
                  </w:r>
                </w:p>
              </w:tc>
              <w:tc>
                <w:tcPr>
                  <w:tcW w:w="384" w:type="pct"/>
                  <w:tcBorders>
                    <w:tl2br w:val="nil"/>
                    <w:tr2bl w:val="nil"/>
                  </w:tcBorders>
                  <w:noWrap w:val="0"/>
                  <w:vAlign w:val="center"/>
                </w:tcPr>
                <w:p w14:paraId="5BFC1E0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1"/>
                      <w:szCs w:val="21"/>
                    </w:rPr>
                    <w:t>t/a</w:t>
                  </w:r>
                </w:p>
              </w:tc>
              <w:tc>
                <w:tcPr>
                  <w:tcW w:w="577" w:type="pct"/>
                  <w:tcBorders>
                    <w:tl2br w:val="nil"/>
                    <w:tr2bl w:val="nil"/>
                  </w:tcBorders>
                  <w:noWrap w:val="0"/>
                  <w:vAlign w:val="center"/>
                </w:tcPr>
                <w:p w14:paraId="4AE4291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Cs w:val="21"/>
                    </w:rPr>
                    <w:t>0.</w:t>
                  </w:r>
                  <w:r>
                    <w:rPr>
                      <w:rFonts w:hint="eastAsia" w:ascii="Times New Roman" w:hAnsi="Times New Roman" w:eastAsia="宋体" w:cs="Times New Roman"/>
                      <w:color w:val="auto"/>
                      <w:spacing w:val="-2"/>
                      <w:szCs w:val="21"/>
                      <w:lang w:val="en-US" w:eastAsia="zh-CN"/>
                    </w:rPr>
                    <w:t>186</w:t>
                  </w:r>
                </w:p>
              </w:tc>
              <w:tc>
                <w:tcPr>
                  <w:tcW w:w="670" w:type="pct"/>
                  <w:tcBorders>
                    <w:tl2br w:val="nil"/>
                    <w:tr2bl w:val="nil"/>
                  </w:tcBorders>
                  <w:noWrap w:val="0"/>
                  <w:vAlign w:val="center"/>
                </w:tcPr>
                <w:p w14:paraId="59C034C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2"/>
                      <w:szCs w:val="21"/>
                      <w:lang w:val="en-US" w:eastAsia="zh-CN"/>
                    </w:rPr>
                  </w:pPr>
                  <w:r>
                    <w:rPr>
                      <w:rFonts w:hint="eastAsia" w:ascii="Times New Roman" w:hAnsi="Times New Roman" w:eastAsia="宋体" w:cs="Times New Roman"/>
                      <w:color w:val="auto"/>
                      <w:spacing w:val="-2"/>
                      <w:szCs w:val="21"/>
                      <w:lang w:val="en-US" w:eastAsia="zh-CN"/>
                    </w:rPr>
                    <w:t>0.06</w:t>
                  </w:r>
                </w:p>
              </w:tc>
              <w:tc>
                <w:tcPr>
                  <w:tcW w:w="670" w:type="pct"/>
                  <w:tcBorders>
                    <w:tl2br w:val="nil"/>
                    <w:tr2bl w:val="nil"/>
                  </w:tcBorders>
                  <w:noWrap w:val="0"/>
                  <w:vAlign w:val="center"/>
                </w:tcPr>
                <w:p w14:paraId="1280312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1"/>
                      <w:szCs w:val="21"/>
                    </w:rPr>
                    <w:t>20kg</w:t>
                  </w:r>
                </w:p>
              </w:tc>
              <w:tc>
                <w:tcPr>
                  <w:tcW w:w="1518" w:type="pct"/>
                  <w:tcBorders>
                    <w:tl2br w:val="nil"/>
                    <w:tr2bl w:val="nil"/>
                  </w:tcBorders>
                  <w:noWrap w:val="0"/>
                  <w:vAlign w:val="center"/>
                </w:tcPr>
                <w:p w14:paraId="71B75FB5">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5"/>
                      <w:szCs w:val="21"/>
                    </w:rPr>
                    <w:t>外购</w:t>
                  </w:r>
                </w:p>
              </w:tc>
            </w:tr>
            <w:tr w14:paraId="5E26B7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2" w:type="pct"/>
                  <w:tcBorders>
                    <w:tl2br w:val="nil"/>
                    <w:tr2bl w:val="nil"/>
                  </w:tcBorders>
                  <w:noWrap w:val="0"/>
                  <w:vAlign w:val="center"/>
                </w:tcPr>
                <w:p w14:paraId="6450A572">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786" w:type="pct"/>
                  <w:tcBorders>
                    <w:tl2br w:val="nil"/>
                    <w:tr2bl w:val="nil"/>
                  </w:tcBorders>
                  <w:noWrap w:val="0"/>
                  <w:vAlign w:val="center"/>
                </w:tcPr>
                <w:p w14:paraId="5BA973A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7"/>
                      <w:szCs w:val="21"/>
                    </w:rPr>
                    <w:t>中涂漆主漆</w:t>
                  </w:r>
                </w:p>
              </w:tc>
              <w:tc>
                <w:tcPr>
                  <w:tcW w:w="384" w:type="pct"/>
                  <w:tcBorders>
                    <w:tl2br w:val="nil"/>
                    <w:tr2bl w:val="nil"/>
                  </w:tcBorders>
                  <w:noWrap w:val="0"/>
                  <w:vAlign w:val="center"/>
                </w:tcPr>
                <w:p w14:paraId="0A89B49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1"/>
                      <w:szCs w:val="21"/>
                    </w:rPr>
                    <w:t>t/a</w:t>
                  </w:r>
                </w:p>
              </w:tc>
              <w:tc>
                <w:tcPr>
                  <w:tcW w:w="577" w:type="pct"/>
                  <w:tcBorders>
                    <w:tl2br w:val="nil"/>
                    <w:tr2bl w:val="nil"/>
                  </w:tcBorders>
                  <w:noWrap w:val="0"/>
                  <w:vAlign w:val="center"/>
                </w:tcPr>
                <w:p w14:paraId="1388C89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pacing w:val="-2"/>
                      <w:szCs w:val="21"/>
                      <w:lang w:val="en-US" w:eastAsia="zh-CN"/>
                    </w:rPr>
                    <w:t>1.08</w:t>
                  </w:r>
                </w:p>
              </w:tc>
              <w:tc>
                <w:tcPr>
                  <w:tcW w:w="670" w:type="pct"/>
                  <w:tcBorders>
                    <w:tl2br w:val="nil"/>
                    <w:tr2bl w:val="nil"/>
                  </w:tcBorders>
                  <w:noWrap w:val="0"/>
                  <w:vAlign w:val="center"/>
                </w:tcPr>
                <w:p w14:paraId="6EEFD43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pacing w:val="-2"/>
                      <w:szCs w:val="21"/>
                      <w:lang w:val="en-US" w:eastAsia="zh-CN"/>
                    </w:rPr>
                    <w:t>0.2</w:t>
                  </w:r>
                </w:p>
              </w:tc>
              <w:tc>
                <w:tcPr>
                  <w:tcW w:w="670" w:type="pct"/>
                  <w:tcBorders>
                    <w:tl2br w:val="nil"/>
                    <w:tr2bl w:val="nil"/>
                  </w:tcBorders>
                  <w:noWrap w:val="0"/>
                  <w:vAlign w:val="center"/>
                </w:tcPr>
                <w:p w14:paraId="1B4F5884">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4"/>
                      <w:szCs w:val="21"/>
                    </w:rPr>
                    <w:t>100kg</w:t>
                  </w:r>
                </w:p>
              </w:tc>
              <w:tc>
                <w:tcPr>
                  <w:tcW w:w="1518" w:type="pct"/>
                  <w:vMerge w:val="restart"/>
                  <w:tcBorders>
                    <w:tl2br w:val="nil"/>
                    <w:tr2bl w:val="nil"/>
                  </w:tcBorders>
                  <w:noWrap w:val="0"/>
                  <w:vAlign w:val="center"/>
                </w:tcPr>
                <w:p w14:paraId="44C7352C">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14"/>
                      <w:szCs w:val="14"/>
                      <w:lang w:val="en-US" w:eastAsia="zh-CN"/>
                    </w:rPr>
                  </w:pPr>
                  <w:r>
                    <w:rPr>
                      <w:rFonts w:hint="default" w:ascii="Times New Roman" w:hAnsi="Times New Roman" w:eastAsia="宋体" w:cs="Times New Roman"/>
                      <w:color w:val="auto"/>
                      <w:spacing w:val="-4"/>
                      <w:szCs w:val="21"/>
                    </w:rPr>
                    <w:t>中涂漆：固化剂：稀释剂</w:t>
                  </w:r>
                  <w:r>
                    <w:rPr>
                      <w:rFonts w:hint="eastAsia" w:ascii="Times New Roman" w:hAnsi="Times New Roman" w:eastAsia="宋体" w:cs="Times New Roman"/>
                      <w:color w:val="auto"/>
                      <w:spacing w:val="-4"/>
                      <w:szCs w:val="21"/>
                      <w:lang w:val="en-US" w:eastAsia="zh-CN"/>
                    </w:rPr>
                    <w:t>体积比为100：50：30，</w:t>
                  </w:r>
                  <w:r>
                    <w:rPr>
                      <w:rFonts w:hint="default" w:ascii="Times New Roman" w:hAnsi="Times New Roman" w:eastAsia="宋体" w:cs="Times New Roman"/>
                      <w:color w:val="auto"/>
                      <w:spacing w:val="-7"/>
                      <w:szCs w:val="21"/>
                    </w:rPr>
                    <w:t>调配</w:t>
                  </w:r>
                  <w:r>
                    <w:rPr>
                      <w:rFonts w:hint="default" w:ascii="Times New Roman" w:hAnsi="Times New Roman" w:eastAsia="宋体" w:cs="Times New Roman"/>
                      <w:color w:val="auto"/>
                      <w:spacing w:val="-2"/>
                      <w:szCs w:val="21"/>
                    </w:rPr>
                    <w:t>使用，调配后中涂漆密度</w:t>
                  </w:r>
                  <w:r>
                    <w:rPr>
                      <w:rFonts w:hint="default" w:ascii="Times New Roman" w:hAnsi="Times New Roman" w:eastAsia="宋体" w:cs="Times New Roman"/>
                      <w:color w:val="auto"/>
                      <w:spacing w:val="-3"/>
                      <w:szCs w:val="21"/>
                    </w:rPr>
                    <w:t>1.</w:t>
                  </w:r>
                  <w:r>
                    <w:rPr>
                      <w:rFonts w:hint="eastAsia" w:ascii="Times New Roman" w:hAnsi="Times New Roman" w:eastAsia="宋体" w:cs="Times New Roman"/>
                      <w:color w:val="auto"/>
                      <w:spacing w:val="-3"/>
                      <w:szCs w:val="21"/>
                      <w:lang w:val="en-US" w:eastAsia="zh-CN"/>
                    </w:rPr>
                    <w:t>265</w:t>
                  </w:r>
                  <w:r>
                    <w:rPr>
                      <w:rFonts w:hint="default" w:ascii="Times New Roman" w:hAnsi="Times New Roman" w:eastAsia="宋体" w:cs="Times New Roman"/>
                      <w:color w:val="auto"/>
                      <w:spacing w:val="-3"/>
                      <w:szCs w:val="21"/>
                    </w:rPr>
                    <w:t>g/cm</w:t>
                  </w:r>
                  <w:r>
                    <w:rPr>
                      <w:rFonts w:hint="default" w:ascii="Times New Roman" w:hAnsi="Times New Roman" w:eastAsia="宋体" w:cs="Times New Roman"/>
                      <w:color w:val="auto"/>
                      <w:spacing w:val="-3"/>
                      <w:position w:val="6"/>
                      <w:sz w:val="14"/>
                      <w:szCs w:val="14"/>
                    </w:rPr>
                    <w:t>3</w:t>
                  </w:r>
                  <w:r>
                    <w:rPr>
                      <w:rFonts w:hint="eastAsia" w:ascii="Times New Roman" w:hAnsi="Times New Roman" w:eastAsia="宋体" w:cs="Times New Roman"/>
                      <w:color w:val="auto"/>
                      <w:spacing w:val="-4"/>
                      <w:szCs w:val="21"/>
                      <w:lang w:val="en-US" w:eastAsia="zh-CN"/>
                    </w:rPr>
                    <w:t>，换算质量比</w:t>
                  </w:r>
                  <w:r>
                    <w:rPr>
                      <w:rFonts w:hint="default" w:ascii="Times New Roman" w:hAnsi="Times New Roman" w:eastAsia="宋体" w:cs="Times New Roman"/>
                      <w:color w:val="auto"/>
                      <w:spacing w:val="-4"/>
                      <w:szCs w:val="21"/>
                    </w:rPr>
                    <w:t>为</w:t>
                  </w:r>
                  <w:r>
                    <w:rPr>
                      <w:rFonts w:hint="eastAsia" w:ascii="Times New Roman" w:hAnsi="Times New Roman" w:eastAsia="宋体" w:cs="Times New Roman"/>
                      <w:color w:val="auto"/>
                      <w:spacing w:val="-4"/>
                      <w:szCs w:val="21"/>
                      <w:lang w:val="en-US" w:eastAsia="zh-CN"/>
                    </w:rPr>
                    <w:t>6.05：1.95：1</w:t>
                  </w:r>
                </w:p>
              </w:tc>
            </w:tr>
            <w:tr w14:paraId="556001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2" w:type="pct"/>
                  <w:tcBorders>
                    <w:tl2br w:val="nil"/>
                    <w:tr2bl w:val="nil"/>
                  </w:tcBorders>
                  <w:noWrap w:val="0"/>
                  <w:vAlign w:val="center"/>
                </w:tcPr>
                <w:p w14:paraId="1A7AD1C6">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786" w:type="pct"/>
                  <w:tcBorders>
                    <w:tl2br w:val="nil"/>
                    <w:tr2bl w:val="nil"/>
                  </w:tcBorders>
                  <w:noWrap w:val="0"/>
                  <w:vAlign w:val="center"/>
                </w:tcPr>
                <w:p w14:paraId="67AD43A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7"/>
                      <w:szCs w:val="21"/>
                    </w:rPr>
                    <w:t>中涂固化剂</w:t>
                  </w:r>
                </w:p>
              </w:tc>
              <w:tc>
                <w:tcPr>
                  <w:tcW w:w="384" w:type="pct"/>
                  <w:tcBorders>
                    <w:tl2br w:val="nil"/>
                    <w:tr2bl w:val="nil"/>
                  </w:tcBorders>
                  <w:noWrap w:val="0"/>
                  <w:vAlign w:val="center"/>
                </w:tcPr>
                <w:p w14:paraId="6461A76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1"/>
                      <w:szCs w:val="21"/>
                    </w:rPr>
                    <w:t>t/a</w:t>
                  </w:r>
                </w:p>
              </w:tc>
              <w:tc>
                <w:tcPr>
                  <w:tcW w:w="577" w:type="pct"/>
                  <w:tcBorders>
                    <w:tl2br w:val="nil"/>
                    <w:tr2bl w:val="nil"/>
                  </w:tcBorders>
                  <w:noWrap w:val="0"/>
                  <w:vAlign w:val="center"/>
                </w:tcPr>
                <w:p w14:paraId="7BB5053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Cs w:val="21"/>
                    </w:rPr>
                    <w:t>0.</w:t>
                  </w:r>
                  <w:r>
                    <w:rPr>
                      <w:rFonts w:hint="eastAsia" w:ascii="Times New Roman" w:hAnsi="Times New Roman" w:eastAsia="宋体" w:cs="Times New Roman"/>
                      <w:color w:val="auto"/>
                      <w:spacing w:val="-2"/>
                      <w:szCs w:val="21"/>
                      <w:lang w:val="en-US" w:eastAsia="zh-CN"/>
                    </w:rPr>
                    <w:t>348</w:t>
                  </w:r>
                </w:p>
              </w:tc>
              <w:tc>
                <w:tcPr>
                  <w:tcW w:w="670" w:type="pct"/>
                  <w:tcBorders>
                    <w:tl2br w:val="nil"/>
                    <w:tr2bl w:val="nil"/>
                  </w:tcBorders>
                  <w:noWrap w:val="0"/>
                  <w:vAlign w:val="center"/>
                </w:tcPr>
                <w:p w14:paraId="4124B28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pacing w:val="-2"/>
                      <w:szCs w:val="21"/>
                      <w:lang w:val="en-US" w:eastAsia="zh-CN"/>
                    </w:rPr>
                    <w:t>0.04</w:t>
                  </w:r>
                </w:p>
              </w:tc>
              <w:tc>
                <w:tcPr>
                  <w:tcW w:w="670" w:type="pct"/>
                  <w:tcBorders>
                    <w:tl2br w:val="nil"/>
                    <w:tr2bl w:val="nil"/>
                  </w:tcBorders>
                  <w:noWrap w:val="0"/>
                  <w:vAlign w:val="center"/>
                </w:tcPr>
                <w:p w14:paraId="4A4A4FE4">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1"/>
                      <w:szCs w:val="21"/>
                    </w:rPr>
                    <w:t>20kg</w:t>
                  </w:r>
                </w:p>
              </w:tc>
              <w:tc>
                <w:tcPr>
                  <w:tcW w:w="1518" w:type="pct"/>
                  <w:vMerge w:val="continue"/>
                  <w:tcBorders>
                    <w:tl2br w:val="nil"/>
                    <w:tr2bl w:val="nil"/>
                  </w:tcBorders>
                  <w:noWrap w:val="0"/>
                  <w:vAlign w:val="center"/>
                </w:tcPr>
                <w:p w14:paraId="0FB9446E">
                  <w:pPr>
                    <w:pStyle w:val="82"/>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rPr>
                  </w:pPr>
                </w:p>
              </w:tc>
            </w:tr>
            <w:tr w14:paraId="6D64AA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2" w:type="pct"/>
                  <w:tcBorders>
                    <w:tl2br w:val="nil"/>
                    <w:tr2bl w:val="nil"/>
                  </w:tcBorders>
                  <w:noWrap w:val="0"/>
                  <w:vAlign w:val="center"/>
                </w:tcPr>
                <w:p w14:paraId="3A513CEB">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786" w:type="pct"/>
                  <w:tcBorders>
                    <w:tl2br w:val="nil"/>
                    <w:tr2bl w:val="nil"/>
                  </w:tcBorders>
                  <w:noWrap w:val="0"/>
                  <w:vAlign w:val="center"/>
                </w:tcPr>
                <w:p w14:paraId="7927D88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7"/>
                      <w:szCs w:val="21"/>
                    </w:rPr>
                    <w:t>中涂稀释剂</w:t>
                  </w:r>
                </w:p>
              </w:tc>
              <w:tc>
                <w:tcPr>
                  <w:tcW w:w="384" w:type="pct"/>
                  <w:tcBorders>
                    <w:tl2br w:val="nil"/>
                    <w:tr2bl w:val="nil"/>
                  </w:tcBorders>
                  <w:noWrap w:val="0"/>
                  <w:vAlign w:val="center"/>
                </w:tcPr>
                <w:p w14:paraId="45AF6FD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1"/>
                      <w:szCs w:val="21"/>
                    </w:rPr>
                    <w:t>t/a</w:t>
                  </w:r>
                </w:p>
              </w:tc>
              <w:tc>
                <w:tcPr>
                  <w:tcW w:w="577" w:type="pct"/>
                  <w:tcBorders>
                    <w:tl2br w:val="nil"/>
                    <w:tr2bl w:val="nil"/>
                  </w:tcBorders>
                  <w:noWrap w:val="0"/>
                  <w:vAlign w:val="center"/>
                </w:tcPr>
                <w:p w14:paraId="3B3B6A2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Cs w:val="21"/>
                    </w:rPr>
                    <w:t>0.</w:t>
                  </w:r>
                  <w:r>
                    <w:rPr>
                      <w:rFonts w:hint="eastAsia" w:ascii="Times New Roman" w:hAnsi="Times New Roman" w:eastAsia="宋体" w:cs="Times New Roman"/>
                      <w:color w:val="auto"/>
                      <w:spacing w:val="-2"/>
                      <w:szCs w:val="21"/>
                      <w:lang w:val="en-US" w:eastAsia="zh-CN"/>
                    </w:rPr>
                    <w:t>179</w:t>
                  </w:r>
                </w:p>
              </w:tc>
              <w:tc>
                <w:tcPr>
                  <w:tcW w:w="670" w:type="pct"/>
                  <w:tcBorders>
                    <w:tl2br w:val="nil"/>
                    <w:tr2bl w:val="nil"/>
                  </w:tcBorders>
                  <w:noWrap w:val="0"/>
                  <w:vAlign w:val="center"/>
                </w:tcPr>
                <w:p w14:paraId="3B3E638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Cs w:val="21"/>
                    </w:rPr>
                    <w:t>0.</w:t>
                  </w:r>
                  <w:r>
                    <w:rPr>
                      <w:rFonts w:hint="eastAsia" w:ascii="Times New Roman" w:hAnsi="Times New Roman" w:eastAsia="宋体" w:cs="Times New Roman"/>
                      <w:color w:val="auto"/>
                      <w:spacing w:val="-2"/>
                      <w:szCs w:val="21"/>
                      <w:lang w:val="en-US" w:eastAsia="zh-CN"/>
                    </w:rPr>
                    <w:t>04</w:t>
                  </w:r>
                </w:p>
              </w:tc>
              <w:tc>
                <w:tcPr>
                  <w:tcW w:w="670" w:type="pct"/>
                  <w:tcBorders>
                    <w:tl2br w:val="nil"/>
                    <w:tr2bl w:val="nil"/>
                  </w:tcBorders>
                  <w:noWrap w:val="0"/>
                  <w:vAlign w:val="center"/>
                </w:tcPr>
                <w:p w14:paraId="4292F252">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1"/>
                      <w:szCs w:val="21"/>
                    </w:rPr>
                    <w:t>20kg</w:t>
                  </w:r>
                </w:p>
              </w:tc>
              <w:tc>
                <w:tcPr>
                  <w:tcW w:w="1518" w:type="pct"/>
                  <w:vMerge w:val="continue"/>
                  <w:tcBorders>
                    <w:tl2br w:val="nil"/>
                    <w:tr2bl w:val="nil"/>
                  </w:tcBorders>
                  <w:noWrap w:val="0"/>
                  <w:vAlign w:val="center"/>
                </w:tcPr>
                <w:p w14:paraId="62087BE9">
                  <w:pPr>
                    <w:pStyle w:val="82"/>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rPr>
                  </w:pPr>
                </w:p>
              </w:tc>
            </w:tr>
            <w:tr w14:paraId="718D1F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6" w:hRule="atLeast"/>
                <w:jc w:val="center"/>
              </w:trPr>
              <w:tc>
                <w:tcPr>
                  <w:tcW w:w="392" w:type="pct"/>
                  <w:tcBorders>
                    <w:tl2br w:val="nil"/>
                    <w:tr2bl w:val="nil"/>
                  </w:tcBorders>
                  <w:noWrap w:val="0"/>
                  <w:vAlign w:val="center"/>
                </w:tcPr>
                <w:p w14:paraId="5C2B100F">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786" w:type="pct"/>
                  <w:tcBorders>
                    <w:tl2br w:val="nil"/>
                    <w:tr2bl w:val="nil"/>
                  </w:tcBorders>
                  <w:noWrap w:val="0"/>
                  <w:vAlign w:val="center"/>
                </w:tcPr>
                <w:p w14:paraId="4E69C51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3"/>
                      <w:szCs w:val="21"/>
                    </w:rPr>
                    <w:t>水性底色漆</w:t>
                  </w:r>
                </w:p>
              </w:tc>
              <w:tc>
                <w:tcPr>
                  <w:tcW w:w="384" w:type="pct"/>
                  <w:tcBorders>
                    <w:tl2br w:val="nil"/>
                    <w:tr2bl w:val="nil"/>
                  </w:tcBorders>
                  <w:noWrap w:val="0"/>
                  <w:vAlign w:val="center"/>
                </w:tcPr>
                <w:p w14:paraId="77B1DA4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1"/>
                      <w:szCs w:val="21"/>
                    </w:rPr>
                    <w:t>t/a</w:t>
                  </w:r>
                </w:p>
              </w:tc>
              <w:tc>
                <w:tcPr>
                  <w:tcW w:w="577" w:type="pct"/>
                  <w:tcBorders>
                    <w:tl2br w:val="nil"/>
                    <w:tr2bl w:val="nil"/>
                  </w:tcBorders>
                  <w:noWrap w:val="0"/>
                  <w:vAlign w:val="center"/>
                </w:tcPr>
                <w:p w14:paraId="72A1A87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0.789</w:t>
                  </w:r>
                </w:p>
              </w:tc>
              <w:tc>
                <w:tcPr>
                  <w:tcW w:w="670" w:type="pct"/>
                  <w:tcBorders>
                    <w:tl2br w:val="nil"/>
                    <w:tr2bl w:val="nil"/>
                  </w:tcBorders>
                  <w:noWrap w:val="0"/>
                  <w:vAlign w:val="center"/>
                </w:tcPr>
                <w:p w14:paraId="7E24D66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0.2</w:t>
                  </w:r>
                </w:p>
              </w:tc>
              <w:tc>
                <w:tcPr>
                  <w:tcW w:w="670" w:type="pct"/>
                  <w:tcBorders>
                    <w:tl2br w:val="nil"/>
                    <w:tr2bl w:val="nil"/>
                  </w:tcBorders>
                  <w:noWrap w:val="0"/>
                  <w:vAlign w:val="center"/>
                </w:tcPr>
                <w:p w14:paraId="702F8F9A">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4"/>
                      <w:szCs w:val="21"/>
                    </w:rPr>
                    <w:t>100kg</w:t>
                  </w:r>
                </w:p>
              </w:tc>
              <w:tc>
                <w:tcPr>
                  <w:tcW w:w="1518" w:type="pct"/>
                  <w:vMerge w:val="restart"/>
                  <w:tcBorders>
                    <w:tl2br w:val="nil"/>
                    <w:tr2bl w:val="nil"/>
                  </w:tcBorders>
                  <w:noWrap w:val="0"/>
                  <w:vAlign w:val="center"/>
                </w:tcPr>
                <w:p w14:paraId="410C1D6B">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14"/>
                      <w:szCs w:val="14"/>
                      <w:lang w:val="en-US" w:eastAsia="zh-CN"/>
                    </w:rPr>
                  </w:pPr>
                  <w:r>
                    <w:rPr>
                      <w:rFonts w:hint="default" w:ascii="Times New Roman" w:hAnsi="Times New Roman" w:eastAsia="宋体" w:cs="Times New Roman"/>
                      <w:color w:val="auto"/>
                      <w:spacing w:val="-2"/>
                      <w:szCs w:val="21"/>
                    </w:rPr>
                    <w:t>水性色漆主剂和水基稀释</w:t>
                  </w:r>
                  <w:r>
                    <w:rPr>
                      <w:rFonts w:hint="default" w:ascii="Times New Roman" w:hAnsi="Times New Roman" w:eastAsia="宋体" w:cs="Times New Roman"/>
                      <w:color w:val="auto"/>
                      <w:spacing w:val="-5"/>
                      <w:szCs w:val="21"/>
                    </w:rPr>
                    <w:t>剂</w:t>
                  </w:r>
                  <w:r>
                    <w:rPr>
                      <w:rFonts w:hint="eastAsia" w:ascii="Times New Roman" w:hAnsi="Times New Roman" w:eastAsia="宋体" w:cs="Times New Roman"/>
                      <w:color w:val="auto"/>
                      <w:spacing w:val="-5"/>
                      <w:szCs w:val="21"/>
                      <w:lang w:val="en-US" w:eastAsia="zh-CN"/>
                    </w:rPr>
                    <w:t>体积比为100：20，</w:t>
                  </w:r>
                  <w:r>
                    <w:rPr>
                      <w:rFonts w:hint="default" w:ascii="Times New Roman" w:hAnsi="Times New Roman" w:eastAsia="宋体" w:cs="Times New Roman"/>
                      <w:color w:val="auto"/>
                      <w:spacing w:val="-5"/>
                      <w:szCs w:val="21"/>
                    </w:rPr>
                    <w:t>调</w:t>
                  </w:r>
                  <w:r>
                    <w:rPr>
                      <w:rFonts w:hint="default" w:ascii="Times New Roman" w:hAnsi="Times New Roman" w:eastAsia="宋体" w:cs="Times New Roman"/>
                      <w:color w:val="auto"/>
                      <w:spacing w:val="-2"/>
                      <w:szCs w:val="21"/>
                    </w:rPr>
                    <w:t>配使用，调配后水性底色漆</w:t>
                  </w:r>
                  <w:r>
                    <w:rPr>
                      <w:rFonts w:hint="default" w:ascii="Times New Roman" w:hAnsi="Times New Roman" w:eastAsia="宋体" w:cs="Times New Roman"/>
                      <w:color w:val="auto"/>
                      <w:spacing w:val="-5"/>
                      <w:szCs w:val="21"/>
                    </w:rPr>
                    <w:t>密度1.0</w:t>
                  </w:r>
                  <w:r>
                    <w:rPr>
                      <w:rFonts w:hint="eastAsia" w:ascii="Times New Roman" w:hAnsi="Times New Roman" w:eastAsia="宋体" w:cs="Times New Roman"/>
                      <w:color w:val="auto"/>
                      <w:spacing w:val="-5"/>
                      <w:szCs w:val="21"/>
                      <w:lang w:val="en-US" w:eastAsia="zh-CN"/>
                    </w:rPr>
                    <w:t>35</w:t>
                  </w:r>
                  <w:r>
                    <w:rPr>
                      <w:rFonts w:hint="default" w:ascii="Times New Roman" w:hAnsi="Times New Roman" w:eastAsia="宋体" w:cs="Times New Roman"/>
                      <w:color w:val="auto"/>
                      <w:spacing w:val="-5"/>
                      <w:szCs w:val="21"/>
                    </w:rPr>
                    <w:t>g/cm</w:t>
                  </w:r>
                  <w:r>
                    <w:rPr>
                      <w:rFonts w:hint="default" w:ascii="Times New Roman" w:hAnsi="Times New Roman" w:eastAsia="宋体" w:cs="Times New Roman"/>
                      <w:color w:val="auto"/>
                      <w:spacing w:val="-5"/>
                      <w:position w:val="6"/>
                      <w:sz w:val="14"/>
                      <w:szCs w:val="14"/>
                    </w:rPr>
                    <w:t>3</w:t>
                  </w:r>
                  <w:r>
                    <w:rPr>
                      <w:rFonts w:hint="eastAsia" w:ascii="Times New Roman" w:hAnsi="Times New Roman" w:eastAsia="宋体" w:cs="Times New Roman"/>
                      <w:color w:val="auto"/>
                      <w:spacing w:val="-5"/>
                      <w:szCs w:val="21"/>
                      <w:lang w:eastAsia="zh-CN"/>
                    </w:rPr>
                    <w:t>，</w:t>
                  </w:r>
                  <w:r>
                    <w:rPr>
                      <w:rFonts w:hint="eastAsia" w:ascii="Times New Roman" w:hAnsi="Times New Roman" w:eastAsia="宋体" w:cs="Times New Roman"/>
                      <w:color w:val="auto"/>
                      <w:spacing w:val="-5"/>
                      <w:szCs w:val="21"/>
                      <w:lang w:val="en-US" w:eastAsia="zh-CN"/>
                    </w:rPr>
                    <w:t>换算质量比为5.215：1</w:t>
                  </w:r>
                </w:p>
              </w:tc>
            </w:tr>
            <w:tr w14:paraId="463843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392" w:type="pct"/>
                  <w:tcBorders>
                    <w:tl2br w:val="nil"/>
                    <w:tr2bl w:val="nil"/>
                  </w:tcBorders>
                  <w:noWrap w:val="0"/>
                  <w:vAlign w:val="center"/>
                </w:tcPr>
                <w:p w14:paraId="1ADE6E07">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w:t>
                  </w:r>
                </w:p>
              </w:tc>
              <w:tc>
                <w:tcPr>
                  <w:tcW w:w="786" w:type="pct"/>
                  <w:tcBorders>
                    <w:tl2br w:val="nil"/>
                    <w:tr2bl w:val="nil"/>
                  </w:tcBorders>
                  <w:noWrap w:val="0"/>
                  <w:vAlign w:val="center"/>
                </w:tcPr>
                <w:p w14:paraId="6D5B679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3"/>
                      <w:szCs w:val="21"/>
                    </w:rPr>
                    <w:t>水基稀释剂</w:t>
                  </w:r>
                </w:p>
              </w:tc>
              <w:tc>
                <w:tcPr>
                  <w:tcW w:w="384" w:type="pct"/>
                  <w:tcBorders>
                    <w:tl2br w:val="nil"/>
                    <w:tr2bl w:val="nil"/>
                  </w:tcBorders>
                  <w:noWrap w:val="0"/>
                  <w:vAlign w:val="center"/>
                </w:tcPr>
                <w:p w14:paraId="4EACCB8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1"/>
                      <w:szCs w:val="21"/>
                    </w:rPr>
                    <w:t>t/a</w:t>
                  </w:r>
                </w:p>
              </w:tc>
              <w:tc>
                <w:tcPr>
                  <w:tcW w:w="577" w:type="pct"/>
                  <w:tcBorders>
                    <w:tl2br w:val="nil"/>
                    <w:tr2bl w:val="nil"/>
                  </w:tcBorders>
                  <w:noWrap w:val="0"/>
                  <w:vAlign w:val="center"/>
                </w:tcPr>
                <w:p w14:paraId="7901D97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0.15</w:t>
                  </w:r>
                </w:p>
              </w:tc>
              <w:tc>
                <w:tcPr>
                  <w:tcW w:w="670" w:type="pct"/>
                  <w:tcBorders>
                    <w:tl2br w:val="nil"/>
                    <w:tr2bl w:val="nil"/>
                  </w:tcBorders>
                  <w:noWrap w:val="0"/>
                  <w:vAlign w:val="center"/>
                </w:tcPr>
                <w:p w14:paraId="42753DD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0.04</w:t>
                  </w:r>
                </w:p>
              </w:tc>
              <w:tc>
                <w:tcPr>
                  <w:tcW w:w="670" w:type="pct"/>
                  <w:tcBorders>
                    <w:tl2br w:val="nil"/>
                    <w:tr2bl w:val="nil"/>
                  </w:tcBorders>
                  <w:noWrap w:val="0"/>
                  <w:vAlign w:val="center"/>
                </w:tcPr>
                <w:p w14:paraId="21B1C4B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1"/>
                      <w:szCs w:val="21"/>
                    </w:rPr>
                    <w:t>20kg</w:t>
                  </w:r>
                </w:p>
              </w:tc>
              <w:tc>
                <w:tcPr>
                  <w:tcW w:w="1518" w:type="pct"/>
                  <w:vMerge w:val="continue"/>
                  <w:tcBorders>
                    <w:tl2br w:val="nil"/>
                    <w:tr2bl w:val="nil"/>
                  </w:tcBorders>
                  <w:noWrap w:val="0"/>
                  <w:vAlign w:val="center"/>
                </w:tcPr>
                <w:p w14:paraId="7F86A6E2">
                  <w:pPr>
                    <w:pStyle w:val="82"/>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rPr>
                  </w:pPr>
                </w:p>
              </w:tc>
            </w:tr>
            <w:tr w14:paraId="77FA96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2" w:type="pct"/>
                  <w:tcBorders>
                    <w:tl2br w:val="nil"/>
                    <w:tr2bl w:val="nil"/>
                  </w:tcBorders>
                  <w:noWrap w:val="0"/>
                  <w:vAlign w:val="center"/>
                </w:tcPr>
                <w:p w14:paraId="13437E52">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w:t>
                  </w:r>
                </w:p>
              </w:tc>
              <w:tc>
                <w:tcPr>
                  <w:tcW w:w="786" w:type="pct"/>
                  <w:tcBorders>
                    <w:tl2br w:val="nil"/>
                    <w:tr2bl w:val="nil"/>
                  </w:tcBorders>
                  <w:noWrap w:val="0"/>
                  <w:vAlign w:val="center"/>
                </w:tcPr>
                <w:p w14:paraId="6893CA4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4"/>
                      <w:szCs w:val="21"/>
                    </w:rPr>
                    <w:t>清漆主剂</w:t>
                  </w:r>
                </w:p>
              </w:tc>
              <w:tc>
                <w:tcPr>
                  <w:tcW w:w="384" w:type="pct"/>
                  <w:tcBorders>
                    <w:tl2br w:val="nil"/>
                    <w:tr2bl w:val="nil"/>
                  </w:tcBorders>
                  <w:noWrap w:val="0"/>
                  <w:vAlign w:val="center"/>
                </w:tcPr>
                <w:p w14:paraId="25483CC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1"/>
                      <w:szCs w:val="21"/>
                    </w:rPr>
                    <w:t>t/a</w:t>
                  </w:r>
                </w:p>
              </w:tc>
              <w:tc>
                <w:tcPr>
                  <w:tcW w:w="577" w:type="pct"/>
                  <w:tcBorders>
                    <w:tl2br w:val="nil"/>
                    <w:tr2bl w:val="nil"/>
                  </w:tcBorders>
                  <w:noWrap w:val="0"/>
                  <w:vAlign w:val="center"/>
                </w:tcPr>
                <w:p w14:paraId="5F8F023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1.307</w:t>
                  </w:r>
                </w:p>
              </w:tc>
              <w:tc>
                <w:tcPr>
                  <w:tcW w:w="670" w:type="pct"/>
                  <w:tcBorders>
                    <w:tl2br w:val="nil"/>
                    <w:tr2bl w:val="nil"/>
                  </w:tcBorders>
                  <w:noWrap w:val="0"/>
                  <w:vAlign w:val="center"/>
                </w:tcPr>
                <w:p w14:paraId="5CCD7A9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0.2</w:t>
                  </w:r>
                </w:p>
              </w:tc>
              <w:tc>
                <w:tcPr>
                  <w:tcW w:w="670" w:type="pct"/>
                  <w:tcBorders>
                    <w:tl2br w:val="nil"/>
                    <w:tr2bl w:val="nil"/>
                  </w:tcBorders>
                  <w:noWrap w:val="0"/>
                  <w:vAlign w:val="center"/>
                </w:tcPr>
                <w:p w14:paraId="29E13D2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2"/>
                      <w:szCs w:val="21"/>
                    </w:rPr>
                  </w:pPr>
                  <w:r>
                    <w:rPr>
                      <w:rFonts w:hint="default" w:ascii="Times New Roman" w:hAnsi="Times New Roman" w:eastAsia="宋体" w:cs="Times New Roman"/>
                      <w:color w:val="auto"/>
                      <w:spacing w:val="-2"/>
                      <w:szCs w:val="21"/>
                    </w:rPr>
                    <w:t>100kg</w:t>
                  </w:r>
                </w:p>
              </w:tc>
              <w:tc>
                <w:tcPr>
                  <w:tcW w:w="1518" w:type="pct"/>
                  <w:vMerge w:val="restart"/>
                  <w:tcBorders>
                    <w:tl2br w:val="nil"/>
                    <w:tr2bl w:val="nil"/>
                  </w:tcBorders>
                  <w:noWrap w:val="0"/>
                  <w:vAlign w:val="center"/>
                </w:tcPr>
                <w:p w14:paraId="2AB0994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2"/>
                      <w:szCs w:val="21"/>
                      <w:lang w:val="en-US"/>
                    </w:rPr>
                  </w:pPr>
                  <w:r>
                    <w:rPr>
                      <w:rFonts w:hint="default" w:ascii="Times New Roman" w:hAnsi="Times New Roman" w:eastAsia="宋体" w:cs="Times New Roman"/>
                      <w:color w:val="auto"/>
                      <w:spacing w:val="-2"/>
                      <w:szCs w:val="21"/>
                    </w:rPr>
                    <w:t>清漆主剂</w:t>
                  </w:r>
                  <w:r>
                    <w:rPr>
                      <w:rFonts w:hint="eastAsia" w:ascii="Times New Roman" w:hAnsi="Times New Roman" w:eastAsia="宋体" w:cs="Times New Roman"/>
                      <w:color w:val="auto"/>
                      <w:spacing w:val="-2"/>
                      <w:szCs w:val="21"/>
                      <w:lang w:eastAsia="zh-CN"/>
                    </w:rPr>
                    <w:t>、</w:t>
                  </w:r>
                  <w:r>
                    <w:rPr>
                      <w:rFonts w:hint="default" w:ascii="Times New Roman" w:hAnsi="Times New Roman" w:eastAsia="宋体" w:cs="Times New Roman"/>
                      <w:color w:val="auto"/>
                      <w:spacing w:val="-2"/>
                      <w:szCs w:val="21"/>
                    </w:rPr>
                    <w:t>固化剂</w:t>
                  </w:r>
                  <w:r>
                    <w:rPr>
                      <w:rFonts w:hint="eastAsia" w:ascii="Times New Roman" w:hAnsi="Times New Roman" w:eastAsia="宋体" w:cs="Times New Roman"/>
                      <w:color w:val="auto"/>
                      <w:spacing w:val="-2"/>
                      <w:szCs w:val="21"/>
                      <w:lang w:eastAsia="zh-CN"/>
                    </w:rPr>
                    <w:t>、</w:t>
                  </w:r>
                  <w:r>
                    <w:rPr>
                      <w:rFonts w:hint="eastAsia" w:ascii="Times New Roman" w:hAnsi="Times New Roman" w:eastAsia="宋体" w:cs="Times New Roman"/>
                      <w:color w:val="auto"/>
                      <w:spacing w:val="-2"/>
                      <w:szCs w:val="21"/>
                      <w:lang w:val="en-US" w:eastAsia="zh-CN"/>
                    </w:rPr>
                    <w:t>稀释剂体积比为100：50：10，</w:t>
                  </w:r>
                  <w:r>
                    <w:rPr>
                      <w:rFonts w:hint="default" w:ascii="Times New Roman" w:hAnsi="Times New Roman" w:eastAsia="宋体" w:cs="Times New Roman"/>
                      <w:color w:val="auto"/>
                      <w:spacing w:val="-2"/>
                      <w:szCs w:val="21"/>
                    </w:rPr>
                    <w:t>调配使用，调配后清漆密度0.9</w:t>
                  </w:r>
                  <w:r>
                    <w:rPr>
                      <w:rFonts w:hint="eastAsia" w:ascii="Times New Roman" w:hAnsi="Times New Roman" w:eastAsia="宋体" w:cs="Times New Roman"/>
                      <w:color w:val="auto"/>
                      <w:spacing w:val="-2"/>
                      <w:szCs w:val="21"/>
                      <w:lang w:val="en-US" w:eastAsia="zh-CN"/>
                    </w:rPr>
                    <w:t>51</w:t>
                  </w:r>
                  <w:r>
                    <w:rPr>
                      <w:rFonts w:hint="default" w:ascii="Times New Roman" w:hAnsi="Times New Roman" w:eastAsia="宋体" w:cs="Times New Roman"/>
                      <w:color w:val="auto"/>
                      <w:spacing w:val="-2"/>
                      <w:szCs w:val="21"/>
                    </w:rPr>
                    <w:t>g/cm</w:t>
                  </w:r>
                  <w:r>
                    <w:rPr>
                      <w:rFonts w:hint="default" w:ascii="Times New Roman" w:hAnsi="Times New Roman" w:eastAsia="宋体" w:cs="Times New Roman"/>
                      <w:color w:val="auto"/>
                      <w:spacing w:val="-2"/>
                      <w:szCs w:val="21"/>
                      <w:vertAlign w:val="superscript"/>
                    </w:rPr>
                    <w:t>3</w:t>
                  </w:r>
                  <w:r>
                    <w:rPr>
                      <w:rFonts w:hint="default" w:ascii="Times New Roman" w:hAnsi="Times New Roman" w:eastAsia="宋体" w:cs="Times New Roman"/>
                      <w:color w:val="auto"/>
                      <w:spacing w:val="-2"/>
                      <w:szCs w:val="21"/>
                    </w:rPr>
                    <w:t>，</w:t>
                  </w:r>
                  <w:r>
                    <w:rPr>
                      <w:rFonts w:hint="eastAsia" w:ascii="Times New Roman" w:hAnsi="Times New Roman" w:eastAsia="宋体" w:cs="Times New Roman"/>
                      <w:color w:val="auto"/>
                      <w:spacing w:val="-2"/>
                      <w:szCs w:val="21"/>
                      <w:lang w:val="en-US" w:eastAsia="zh-CN"/>
                    </w:rPr>
                    <w:t>换算质量比为11.75：5.3：1</w:t>
                  </w:r>
                </w:p>
              </w:tc>
            </w:tr>
            <w:tr w14:paraId="27187F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2" w:type="pct"/>
                  <w:tcBorders>
                    <w:tl2br w:val="nil"/>
                    <w:tr2bl w:val="nil"/>
                  </w:tcBorders>
                  <w:noWrap w:val="0"/>
                  <w:vAlign w:val="center"/>
                </w:tcPr>
                <w:p w14:paraId="1D490BD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8</w:t>
                  </w:r>
                </w:p>
              </w:tc>
              <w:tc>
                <w:tcPr>
                  <w:tcW w:w="786" w:type="pct"/>
                  <w:tcBorders>
                    <w:tl2br w:val="nil"/>
                    <w:tr2bl w:val="nil"/>
                  </w:tcBorders>
                  <w:noWrap w:val="0"/>
                  <w:vAlign w:val="center"/>
                </w:tcPr>
                <w:p w14:paraId="5CBCD97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3"/>
                      <w:szCs w:val="21"/>
                    </w:rPr>
                    <w:t>清漆固化剂</w:t>
                  </w:r>
                </w:p>
              </w:tc>
              <w:tc>
                <w:tcPr>
                  <w:tcW w:w="384" w:type="pct"/>
                  <w:tcBorders>
                    <w:tl2br w:val="nil"/>
                    <w:tr2bl w:val="nil"/>
                  </w:tcBorders>
                  <w:noWrap w:val="0"/>
                  <w:vAlign w:val="center"/>
                </w:tcPr>
                <w:p w14:paraId="3FBABCC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1"/>
                      <w:szCs w:val="21"/>
                    </w:rPr>
                    <w:t>t/a</w:t>
                  </w:r>
                </w:p>
              </w:tc>
              <w:tc>
                <w:tcPr>
                  <w:tcW w:w="577" w:type="pct"/>
                  <w:tcBorders>
                    <w:tl2br w:val="nil"/>
                    <w:tr2bl w:val="nil"/>
                  </w:tcBorders>
                  <w:noWrap w:val="0"/>
                  <w:vAlign w:val="center"/>
                </w:tcPr>
                <w:p w14:paraId="54A0EC3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0.59</w:t>
                  </w:r>
                </w:p>
              </w:tc>
              <w:tc>
                <w:tcPr>
                  <w:tcW w:w="670" w:type="pct"/>
                  <w:tcBorders>
                    <w:tl2br w:val="nil"/>
                    <w:tr2bl w:val="nil"/>
                  </w:tcBorders>
                  <w:noWrap w:val="0"/>
                  <w:vAlign w:val="center"/>
                </w:tcPr>
                <w:p w14:paraId="557E884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0.04</w:t>
                  </w:r>
                </w:p>
              </w:tc>
              <w:tc>
                <w:tcPr>
                  <w:tcW w:w="670" w:type="pct"/>
                  <w:tcBorders>
                    <w:tl2br w:val="nil"/>
                    <w:tr2bl w:val="nil"/>
                  </w:tcBorders>
                  <w:noWrap w:val="0"/>
                  <w:vAlign w:val="center"/>
                </w:tcPr>
                <w:p w14:paraId="58403B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1"/>
                      <w:szCs w:val="21"/>
                    </w:rPr>
                    <w:t>20kg</w:t>
                  </w:r>
                </w:p>
              </w:tc>
              <w:tc>
                <w:tcPr>
                  <w:tcW w:w="1518" w:type="pct"/>
                  <w:vMerge w:val="continue"/>
                  <w:tcBorders>
                    <w:tl2br w:val="nil"/>
                    <w:tr2bl w:val="nil"/>
                  </w:tcBorders>
                  <w:noWrap w:val="0"/>
                  <w:vAlign w:val="center"/>
                </w:tcPr>
                <w:p w14:paraId="6AB8C2FF">
                  <w:pPr>
                    <w:pStyle w:val="82"/>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rPr>
                  </w:pPr>
                </w:p>
              </w:tc>
            </w:tr>
            <w:tr w14:paraId="103BD4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2" w:type="pct"/>
                  <w:tcBorders>
                    <w:tl2br w:val="nil"/>
                    <w:tr2bl w:val="nil"/>
                  </w:tcBorders>
                  <w:noWrap w:val="0"/>
                  <w:vAlign w:val="center"/>
                </w:tcPr>
                <w:p w14:paraId="14EBCF5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9</w:t>
                  </w:r>
                </w:p>
              </w:tc>
              <w:tc>
                <w:tcPr>
                  <w:tcW w:w="786" w:type="pct"/>
                  <w:tcBorders>
                    <w:tl2br w:val="nil"/>
                    <w:tr2bl w:val="nil"/>
                  </w:tcBorders>
                  <w:noWrap w:val="0"/>
                  <w:vAlign w:val="center"/>
                </w:tcPr>
                <w:p w14:paraId="4F0D8F7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清漆稀释剂</w:t>
                  </w:r>
                </w:p>
              </w:tc>
              <w:tc>
                <w:tcPr>
                  <w:tcW w:w="384" w:type="pct"/>
                  <w:tcBorders>
                    <w:tl2br w:val="nil"/>
                    <w:tr2bl w:val="nil"/>
                  </w:tcBorders>
                  <w:noWrap w:val="0"/>
                  <w:vAlign w:val="center"/>
                </w:tcPr>
                <w:p w14:paraId="32BDFA1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1"/>
                      <w:szCs w:val="21"/>
                    </w:rPr>
                    <w:t>t/a</w:t>
                  </w:r>
                </w:p>
              </w:tc>
              <w:tc>
                <w:tcPr>
                  <w:tcW w:w="577" w:type="pct"/>
                  <w:tcBorders>
                    <w:tl2br w:val="nil"/>
                    <w:tr2bl w:val="nil"/>
                  </w:tcBorders>
                  <w:noWrap w:val="0"/>
                  <w:vAlign w:val="center"/>
                </w:tcPr>
                <w:p w14:paraId="188B230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0.111</w:t>
                  </w:r>
                </w:p>
              </w:tc>
              <w:tc>
                <w:tcPr>
                  <w:tcW w:w="670" w:type="pct"/>
                  <w:tcBorders>
                    <w:tl2br w:val="nil"/>
                    <w:tr2bl w:val="nil"/>
                  </w:tcBorders>
                  <w:noWrap w:val="0"/>
                  <w:vAlign w:val="center"/>
                </w:tcPr>
                <w:p w14:paraId="27062EA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0.04</w:t>
                  </w:r>
                </w:p>
              </w:tc>
              <w:tc>
                <w:tcPr>
                  <w:tcW w:w="670" w:type="pct"/>
                  <w:tcBorders>
                    <w:tl2br w:val="nil"/>
                    <w:tr2bl w:val="nil"/>
                  </w:tcBorders>
                  <w:noWrap w:val="0"/>
                  <w:vAlign w:val="center"/>
                </w:tcPr>
                <w:p w14:paraId="1CA8B6BF">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20kg</w:t>
                  </w:r>
                </w:p>
              </w:tc>
              <w:tc>
                <w:tcPr>
                  <w:tcW w:w="1518" w:type="pct"/>
                  <w:vMerge w:val="continue"/>
                  <w:tcBorders>
                    <w:tl2br w:val="nil"/>
                    <w:tr2bl w:val="nil"/>
                  </w:tcBorders>
                  <w:noWrap w:val="0"/>
                  <w:vAlign w:val="center"/>
                </w:tcPr>
                <w:p w14:paraId="6434B7FF">
                  <w:pPr>
                    <w:pStyle w:val="82"/>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rPr>
                  </w:pPr>
                </w:p>
              </w:tc>
            </w:tr>
            <w:tr w14:paraId="7618F0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5" w:hRule="atLeast"/>
                <w:jc w:val="center"/>
              </w:trPr>
              <w:tc>
                <w:tcPr>
                  <w:tcW w:w="392" w:type="pct"/>
                  <w:tcBorders>
                    <w:tl2br w:val="nil"/>
                    <w:tr2bl w:val="nil"/>
                  </w:tcBorders>
                  <w:noWrap w:val="0"/>
                  <w:vAlign w:val="center"/>
                </w:tcPr>
                <w:p w14:paraId="011829D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7"/>
                      <w:szCs w:val="21"/>
                    </w:rPr>
                    <w:t>10</w:t>
                  </w:r>
                </w:p>
              </w:tc>
              <w:tc>
                <w:tcPr>
                  <w:tcW w:w="786" w:type="pct"/>
                  <w:tcBorders>
                    <w:tl2br w:val="nil"/>
                    <w:tr2bl w:val="nil"/>
                  </w:tcBorders>
                  <w:noWrap w:val="0"/>
                  <w:vAlign w:val="center"/>
                </w:tcPr>
                <w:p w14:paraId="613DBD14">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4"/>
                      <w:szCs w:val="21"/>
                    </w:rPr>
                    <w:t>打磨片</w:t>
                  </w:r>
                </w:p>
              </w:tc>
              <w:tc>
                <w:tcPr>
                  <w:tcW w:w="384" w:type="pct"/>
                  <w:tcBorders>
                    <w:tl2br w:val="nil"/>
                    <w:tr2bl w:val="nil"/>
                  </w:tcBorders>
                  <w:noWrap w:val="0"/>
                  <w:vAlign w:val="center"/>
                </w:tcPr>
                <w:p w14:paraId="180B97C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1"/>
                      <w:szCs w:val="21"/>
                    </w:rPr>
                    <w:t>t/a</w:t>
                  </w:r>
                </w:p>
              </w:tc>
              <w:tc>
                <w:tcPr>
                  <w:tcW w:w="577" w:type="pct"/>
                  <w:tcBorders>
                    <w:tl2br w:val="nil"/>
                    <w:tr2bl w:val="nil"/>
                  </w:tcBorders>
                  <w:noWrap w:val="0"/>
                  <w:vAlign w:val="center"/>
                </w:tcPr>
                <w:p w14:paraId="4BE5DCA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Cs w:val="21"/>
                    </w:rPr>
                    <w:t>0.02</w:t>
                  </w:r>
                </w:p>
              </w:tc>
              <w:tc>
                <w:tcPr>
                  <w:tcW w:w="670" w:type="pct"/>
                  <w:tcBorders>
                    <w:tl2br w:val="nil"/>
                    <w:tr2bl w:val="nil"/>
                  </w:tcBorders>
                  <w:noWrap w:val="0"/>
                  <w:vAlign w:val="center"/>
                </w:tcPr>
                <w:p w14:paraId="44E41F1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Cs w:val="21"/>
                    </w:rPr>
                    <w:t>0.02</w:t>
                  </w:r>
                </w:p>
              </w:tc>
              <w:tc>
                <w:tcPr>
                  <w:tcW w:w="670" w:type="pct"/>
                  <w:tcBorders>
                    <w:tl2br w:val="nil"/>
                    <w:tr2bl w:val="nil"/>
                  </w:tcBorders>
                  <w:noWrap w:val="0"/>
                  <w:vAlign w:val="center"/>
                </w:tcPr>
                <w:p w14:paraId="4F4F5C39">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1"/>
                      <w:szCs w:val="21"/>
                    </w:rPr>
                    <w:t>20kg</w:t>
                  </w:r>
                </w:p>
              </w:tc>
              <w:tc>
                <w:tcPr>
                  <w:tcW w:w="1518" w:type="pct"/>
                  <w:tcBorders>
                    <w:tl2br w:val="nil"/>
                    <w:tr2bl w:val="nil"/>
                  </w:tcBorders>
                  <w:noWrap w:val="0"/>
                  <w:vAlign w:val="center"/>
                </w:tcPr>
                <w:p w14:paraId="7FF5D518">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2"/>
                      <w:szCs w:val="21"/>
                    </w:rPr>
                    <w:t>外购，车辆零件打磨</w:t>
                  </w:r>
                </w:p>
              </w:tc>
            </w:tr>
            <w:tr w14:paraId="4D86A1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5" w:hRule="atLeast"/>
                <w:jc w:val="center"/>
              </w:trPr>
              <w:tc>
                <w:tcPr>
                  <w:tcW w:w="392" w:type="pct"/>
                  <w:tcBorders>
                    <w:tl2br w:val="nil"/>
                    <w:tr2bl w:val="nil"/>
                  </w:tcBorders>
                  <w:noWrap w:val="0"/>
                  <w:vAlign w:val="center"/>
                </w:tcPr>
                <w:p w14:paraId="27117D5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7"/>
                      <w:szCs w:val="21"/>
                    </w:rPr>
                    <w:t>11</w:t>
                  </w:r>
                </w:p>
              </w:tc>
              <w:tc>
                <w:tcPr>
                  <w:tcW w:w="786" w:type="pct"/>
                  <w:tcBorders>
                    <w:tl2br w:val="nil"/>
                    <w:tr2bl w:val="nil"/>
                  </w:tcBorders>
                  <w:noWrap w:val="0"/>
                  <w:vAlign w:val="center"/>
                </w:tcPr>
                <w:p w14:paraId="38B57298">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4"/>
                      <w:szCs w:val="21"/>
                    </w:rPr>
                    <w:t>机油</w:t>
                  </w:r>
                </w:p>
              </w:tc>
              <w:tc>
                <w:tcPr>
                  <w:tcW w:w="384" w:type="pct"/>
                  <w:tcBorders>
                    <w:tl2br w:val="nil"/>
                    <w:tr2bl w:val="nil"/>
                  </w:tcBorders>
                  <w:noWrap w:val="0"/>
                  <w:vAlign w:val="center"/>
                </w:tcPr>
                <w:p w14:paraId="52314AE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1"/>
                      <w:szCs w:val="21"/>
                    </w:rPr>
                    <w:t>t/a</w:t>
                  </w:r>
                </w:p>
              </w:tc>
              <w:tc>
                <w:tcPr>
                  <w:tcW w:w="577" w:type="pct"/>
                  <w:tcBorders>
                    <w:tl2br w:val="nil"/>
                    <w:tr2bl w:val="nil"/>
                  </w:tcBorders>
                  <w:noWrap w:val="0"/>
                  <w:vAlign w:val="center"/>
                </w:tcPr>
                <w:p w14:paraId="74666B4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Cs w:val="21"/>
                    </w:rPr>
                    <w:t>20</w:t>
                  </w:r>
                </w:p>
              </w:tc>
              <w:tc>
                <w:tcPr>
                  <w:tcW w:w="670" w:type="pct"/>
                  <w:tcBorders>
                    <w:tl2br w:val="nil"/>
                    <w:tr2bl w:val="nil"/>
                  </w:tcBorders>
                  <w:noWrap w:val="0"/>
                  <w:vAlign w:val="center"/>
                </w:tcPr>
                <w:p w14:paraId="7EF0FCA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Cs w:val="21"/>
                    </w:rPr>
                    <w:t>20</w:t>
                  </w:r>
                </w:p>
              </w:tc>
              <w:tc>
                <w:tcPr>
                  <w:tcW w:w="670" w:type="pct"/>
                  <w:tcBorders>
                    <w:tl2br w:val="nil"/>
                    <w:tr2bl w:val="nil"/>
                  </w:tcBorders>
                  <w:noWrap w:val="0"/>
                  <w:vAlign w:val="center"/>
                </w:tcPr>
                <w:p w14:paraId="1C2AC03A">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1"/>
                      <w:szCs w:val="21"/>
                    </w:rPr>
                    <w:t>2000kg</w:t>
                  </w:r>
                </w:p>
              </w:tc>
              <w:tc>
                <w:tcPr>
                  <w:tcW w:w="1518" w:type="pct"/>
                  <w:tcBorders>
                    <w:tl2br w:val="nil"/>
                    <w:tr2bl w:val="nil"/>
                  </w:tcBorders>
                  <w:noWrap w:val="0"/>
                  <w:vAlign w:val="center"/>
                </w:tcPr>
                <w:p w14:paraId="3821D3A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3"/>
                      <w:szCs w:val="21"/>
                    </w:rPr>
                    <w:t>外购，车辆维护</w:t>
                  </w:r>
                </w:p>
              </w:tc>
            </w:tr>
            <w:tr w14:paraId="42EB21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5" w:hRule="atLeast"/>
                <w:jc w:val="center"/>
              </w:trPr>
              <w:tc>
                <w:tcPr>
                  <w:tcW w:w="392" w:type="pct"/>
                  <w:tcBorders>
                    <w:tl2br w:val="nil"/>
                    <w:tr2bl w:val="nil"/>
                  </w:tcBorders>
                  <w:noWrap w:val="0"/>
                  <w:vAlign w:val="center"/>
                </w:tcPr>
                <w:p w14:paraId="7412111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7"/>
                      <w:szCs w:val="21"/>
                    </w:rPr>
                    <w:t>12</w:t>
                  </w:r>
                </w:p>
              </w:tc>
              <w:tc>
                <w:tcPr>
                  <w:tcW w:w="786" w:type="pct"/>
                  <w:tcBorders>
                    <w:tl2br w:val="nil"/>
                    <w:tr2bl w:val="nil"/>
                  </w:tcBorders>
                  <w:noWrap w:val="0"/>
                  <w:vAlign w:val="center"/>
                </w:tcPr>
                <w:p w14:paraId="50A59831">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3"/>
                      <w:szCs w:val="21"/>
                    </w:rPr>
                    <w:t>刹车油</w:t>
                  </w:r>
                </w:p>
              </w:tc>
              <w:tc>
                <w:tcPr>
                  <w:tcW w:w="384" w:type="pct"/>
                  <w:tcBorders>
                    <w:tl2br w:val="nil"/>
                    <w:tr2bl w:val="nil"/>
                  </w:tcBorders>
                  <w:noWrap w:val="0"/>
                  <w:vAlign w:val="center"/>
                </w:tcPr>
                <w:p w14:paraId="1EC656B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1"/>
                      <w:szCs w:val="21"/>
                    </w:rPr>
                    <w:t>t/a</w:t>
                  </w:r>
                </w:p>
              </w:tc>
              <w:tc>
                <w:tcPr>
                  <w:tcW w:w="577" w:type="pct"/>
                  <w:tcBorders>
                    <w:tl2br w:val="nil"/>
                    <w:tr2bl w:val="nil"/>
                  </w:tcBorders>
                  <w:noWrap w:val="0"/>
                  <w:vAlign w:val="center"/>
                </w:tcPr>
                <w:p w14:paraId="0F1B58D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Cs w:val="21"/>
                    </w:rPr>
                    <w:t>0.1</w:t>
                  </w:r>
                </w:p>
              </w:tc>
              <w:tc>
                <w:tcPr>
                  <w:tcW w:w="670" w:type="pct"/>
                  <w:tcBorders>
                    <w:tl2br w:val="nil"/>
                    <w:tr2bl w:val="nil"/>
                  </w:tcBorders>
                  <w:noWrap w:val="0"/>
                  <w:vAlign w:val="center"/>
                </w:tcPr>
                <w:p w14:paraId="08D6BB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Cs w:val="21"/>
                    </w:rPr>
                    <w:t>0.1</w:t>
                  </w:r>
                </w:p>
              </w:tc>
              <w:tc>
                <w:tcPr>
                  <w:tcW w:w="670" w:type="pct"/>
                  <w:tcBorders>
                    <w:tl2br w:val="nil"/>
                    <w:tr2bl w:val="nil"/>
                  </w:tcBorders>
                  <w:noWrap w:val="0"/>
                  <w:vAlign w:val="center"/>
                </w:tcPr>
                <w:p w14:paraId="4C119A27">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1"/>
                      <w:szCs w:val="21"/>
                    </w:rPr>
                    <w:t>200kg</w:t>
                  </w:r>
                </w:p>
              </w:tc>
              <w:tc>
                <w:tcPr>
                  <w:tcW w:w="1518" w:type="pct"/>
                  <w:tcBorders>
                    <w:tl2br w:val="nil"/>
                    <w:tr2bl w:val="nil"/>
                  </w:tcBorders>
                  <w:noWrap w:val="0"/>
                  <w:vAlign w:val="center"/>
                </w:tcPr>
                <w:p w14:paraId="31E103E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3"/>
                      <w:szCs w:val="21"/>
                    </w:rPr>
                    <w:t>外购，车辆维护</w:t>
                  </w:r>
                </w:p>
              </w:tc>
            </w:tr>
            <w:tr w14:paraId="47D89D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6" w:hRule="atLeast"/>
                <w:jc w:val="center"/>
              </w:trPr>
              <w:tc>
                <w:tcPr>
                  <w:tcW w:w="392" w:type="pct"/>
                  <w:tcBorders>
                    <w:tl2br w:val="nil"/>
                    <w:tr2bl w:val="nil"/>
                  </w:tcBorders>
                  <w:noWrap w:val="0"/>
                  <w:vAlign w:val="center"/>
                </w:tcPr>
                <w:p w14:paraId="42A7423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7"/>
                      <w:szCs w:val="21"/>
                    </w:rPr>
                    <w:t>13</w:t>
                  </w:r>
                </w:p>
              </w:tc>
              <w:tc>
                <w:tcPr>
                  <w:tcW w:w="786" w:type="pct"/>
                  <w:tcBorders>
                    <w:tl2br w:val="nil"/>
                    <w:tr2bl w:val="nil"/>
                  </w:tcBorders>
                  <w:noWrap w:val="0"/>
                  <w:vAlign w:val="center"/>
                </w:tcPr>
                <w:p w14:paraId="5DDCF887">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4"/>
                      <w:szCs w:val="21"/>
                    </w:rPr>
                    <w:t>变速箱油</w:t>
                  </w:r>
                </w:p>
              </w:tc>
              <w:tc>
                <w:tcPr>
                  <w:tcW w:w="384" w:type="pct"/>
                  <w:tcBorders>
                    <w:tl2br w:val="nil"/>
                    <w:tr2bl w:val="nil"/>
                  </w:tcBorders>
                  <w:noWrap w:val="0"/>
                  <w:vAlign w:val="center"/>
                </w:tcPr>
                <w:p w14:paraId="7D68528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1"/>
                      <w:szCs w:val="21"/>
                    </w:rPr>
                    <w:t>t/a</w:t>
                  </w:r>
                </w:p>
              </w:tc>
              <w:tc>
                <w:tcPr>
                  <w:tcW w:w="577" w:type="pct"/>
                  <w:tcBorders>
                    <w:tl2br w:val="nil"/>
                    <w:tr2bl w:val="nil"/>
                  </w:tcBorders>
                  <w:noWrap w:val="0"/>
                  <w:vAlign w:val="center"/>
                </w:tcPr>
                <w:p w14:paraId="047D6AD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Cs w:val="21"/>
                    </w:rPr>
                    <w:t>0.4</w:t>
                  </w:r>
                </w:p>
              </w:tc>
              <w:tc>
                <w:tcPr>
                  <w:tcW w:w="670" w:type="pct"/>
                  <w:tcBorders>
                    <w:tl2br w:val="nil"/>
                    <w:tr2bl w:val="nil"/>
                  </w:tcBorders>
                  <w:noWrap w:val="0"/>
                  <w:vAlign w:val="center"/>
                </w:tcPr>
                <w:p w14:paraId="79F3A39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pacing w:val="-2"/>
                      <w:szCs w:val="21"/>
                      <w:lang w:val="en-US" w:eastAsia="zh-CN"/>
                    </w:rPr>
                    <w:t>0.4</w:t>
                  </w:r>
                </w:p>
              </w:tc>
              <w:tc>
                <w:tcPr>
                  <w:tcW w:w="670" w:type="pct"/>
                  <w:tcBorders>
                    <w:tl2br w:val="nil"/>
                    <w:tr2bl w:val="nil"/>
                  </w:tcBorders>
                  <w:noWrap w:val="0"/>
                  <w:vAlign w:val="center"/>
                </w:tcPr>
                <w:p w14:paraId="1F6C7835">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eastAsia" w:cs="Times New Roman"/>
                      <w:color w:val="auto"/>
                      <w:spacing w:val="-2"/>
                      <w:szCs w:val="21"/>
                      <w:lang w:val="en-US" w:eastAsia="zh-CN"/>
                    </w:rPr>
                    <w:t>2</w:t>
                  </w:r>
                  <w:r>
                    <w:rPr>
                      <w:rFonts w:hint="default" w:ascii="Times New Roman" w:hAnsi="Times New Roman" w:eastAsia="宋体" w:cs="Times New Roman"/>
                      <w:color w:val="auto"/>
                      <w:spacing w:val="-2"/>
                      <w:szCs w:val="21"/>
                    </w:rPr>
                    <w:t>00kg</w:t>
                  </w:r>
                </w:p>
              </w:tc>
              <w:tc>
                <w:tcPr>
                  <w:tcW w:w="1518" w:type="pct"/>
                  <w:tcBorders>
                    <w:tl2br w:val="nil"/>
                    <w:tr2bl w:val="nil"/>
                  </w:tcBorders>
                  <w:noWrap w:val="0"/>
                  <w:vAlign w:val="center"/>
                </w:tcPr>
                <w:p w14:paraId="0C30892D">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3"/>
                      <w:szCs w:val="21"/>
                    </w:rPr>
                    <w:t>外购，车辆维护</w:t>
                  </w:r>
                </w:p>
              </w:tc>
            </w:tr>
            <w:tr w14:paraId="465C14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5" w:hRule="atLeast"/>
                <w:jc w:val="center"/>
              </w:trPr>
              <w:tc>
                <w:tcPr>
                  <w:tcW w:w="392" w:type="pct"/>
                  <w:tcBorders>
                    <w:tl2br w:val="nil"/>
                    <w:tr2bl w:val="nil"/>
                  </w:tcBorders>
                  <w:noWrap w:val="0"/>
                  <w:vAlign w:val="center"/>
                </w:tcPr>
                <w:p w14:paraId="2AFB17A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7"/>
                      <w:szCs w:val="21"/>
                    </w:rPr>
                    <w:t>14</w:t>
                  </w:r>
                </w:p>
              </w:tc>
              <w:tc>
                <w:tcPr>
                  <w:tcW w:w="786" w:type="pct"/>
                  <w:tcBorders>
                    <w:tl2br w:val="nil"/>
                    <w:tr2bl w:val="nil"/>
                  </w:tcBorders>
                  <w:noWrap w:val="0"/>
                  <w:vAlign w:val="center"/>
                </w:tcPr>
                <w:p w14:paraId="357892D0">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4"/>
                      <w:szCs w:val="21"/>
                    </w:rPr>
                    <w:t>实芯焊丝</w:t>
                  </w:r>
                </w:p>
              </w:tc>
              <w:tc>
                <w:tcPr>
                  <w:tcW w:w="384" w:type="pct"/>
                  <w:tcBorders>
                    <w:tl2br w:val="nil"/>
                    <w:tr2bl w:val="nil"/>
                  </w:tcBorders>
                  <w:noWrap w:val="0"/>
                  <w:vAlign w:val="center"/>
                </w:tcPr>
                <w:p w14:paraId="28D81D4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1"/>
                      <w:szCs w:val="21"/>
                    </w:rPr>
                    <w:t>t/a</w:t>
                  </w:r>
                </w:p>
              </w:tc>
              <w:tc>
                <w:tcPr>
                  <w:tcW w:w="577" w:type="pct"/>
                  <w:tcBorders>
                    <w:tl2br w:val="nil"/>
                    <w:tr2bl w:val="nil"/>
                  </w:tcBorders>
                  <w:noWrap w:val="0"/>
                  <w:vAlign w:val="center"/>
                </w:tcPr>
                <w:p w14:paraId="747449D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Cs w:val="21"/>
                    </w:rPr>
                    <w:t>0.015</w:t>
                  </w:r>
                </w:p>
              </w:tc>
              <w:tc>
                <w:tcPr>
                  <w:tcW w:w="670" w:type="pct"/>
                  <w:tcBorders>
                    <w:tl2br w:val="nil"/>
                    <w:tr2bl w:val="nil"/>
                  </w:tcBorders>
                  <w:noWrap w:val="0"/>
                  <w:vAlign w:val="center"/>
                </w:tcPr>
                <w:p w14:paraId="5E4ED68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Cs w:val="21"/>
                    </w:rPr>
                    <w:t>0.015</w:t>
                  </w:r>
                </w:p>
              </w:tc>
              <w:tc>
                <w:tcPr>
                  <w:tcW w:w="670" w:type="pct"/>
                  <w:tcBorders>
                    <w:tl2br w:val="nil"/>
                    <w:tr2bl w:val="nil"/>
                  </w:tcBorders>
                  <w:noWrap w:val="0"/>
                  <w:vAlign w:val="center"/>
                </w:tcPr>
                <w:p w14:paraId="74A08242">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1"/>
                      <w:szCs w:val="21"/>
                    </w:rPr>
                    <w:t>2kg</w:t>
                  </w:r>
                </w:p>
              </w:tc>
              <w:tc>
                <w:tcPr>
                  <w:tcW w:w="1518" w:type="pct"/>
                  <w:tcBorders>
                    <w:tl2br w:val="nil"/>
                    <w:tr2bl w:val="nil"/>
                  </w:tcBorders>
                  <w:noWrap w:val="0"/>
                  <w:vAlign w:val="center"/>
                </w:tcPr>
                <w:p w14:paraId="32DB2F11">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3"/>
                      <w:szCs w:val="21"/>
                    </w:rPr>
                    <w:t>外购，车辆维护</w:t>
                  </w:r>
                </w:p>
              </w:tc>
            </w:tr>
            <w:tr w14:paraId="3C025F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392" w:type="pct"/>
                  <w:tcBorders>
                    <w:tl2br w:val="nil"/>
                    <w:tr2bl w:val="nil"/>
                  </w:tcBorders>
                  <w:noWrap w:val="0"/>
                  <w:vAlign w:val="center"/>
                </w:tcPr>
                <w:p w14:paraId="375E386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7"/>
                      <w:szCs w:val="21"/>
                    </w:rPr>
                    <w:t>15</w:t>
                  </w:r>
                </w:p>
              </w:tc>
              <w:tc>
                <w:tcPr>
                  <w:tcW w:w="786" w:type="pct"/>
                  <w:tcBorders>
                    <w:tl2br w:val="nil"/>
                    <w:tr2bl w:val="nil"/>
                  </w:tcBorders>
                  <w:noWrap w:val="0"/>
                  <w:vAlign w:val="center"/>
                </w:tcPr>
                <w:p w14:paraId="5EB711DC">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5"/>
                      <w:szCs w:val="21"/>
                    </w:rPr>
                    <w:t>多功能防锈润滑剂</w:t>
                  </w:r>
                </w:p>
              </w:tc>
              <w:tc>
                <w:tcPr>
                  <w:tcW w:w="384" w:type="pct"/>
                  <w:tcBorders>
                    <w:tl2br w:val="nil"/>
                    <w:tr2bl w:val="nil"/>
                  </w:tcBorders>
                  <w:noWrap w:val="0"/>
                  <w:vAlign w:val="center"/>
                </w:tcPr>
                <w:p w14:paraId="5346119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1"/>
                      <w:szCs w:val="21"/>
                    </w:rPr>
                    <w:t>t/a</w:t>
                  </w:r>
                </w:p>
              </w:tc>
              <w:tc>
                <w:tcPr>
                  <w:tcW w:w="577" w:type="pct"/>
                  <w:tcBorders>
                    <w:tl2br w:val="nil"/>
                    <w:tr2bl w:val="nil"/>
                  </w:tcBorders>
                  <w:noWrap w:val="0"/>
                  <w:vAlign w:val="center"/>
                </w:tcPr>
                <w:p w14:paraId="34FB798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Cs w:val="21"/>
                    </w:rPr>
                    <w:t>0.1</w:t>
                  </w:r>
                </w:p>
              </w:tc>
              <w:tc>
                <w:tcPr>
                  <w:tcW w:w="670" w:type="pct"/>
                  <w:tcBorders>
                    <w:tl2br w:val="nil"/>
                    <w:tr2bl w:val="nil"/>
                  </w:tcBorders>
                  <w:noWrap w:val="0"/>
                  <w:vAlign w:val="center"/>
                </w:tcPr>
                <w:p w14:paraId="374C953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Cs w:val="21"/>
                    </w:rPr>
                    <w:t>0.1</w:t>
                  </w:r>
                </w:p>
              </w:tc>
              <w:tc>
                <w:tcPr>
                  <w:tcW w:w="670" w:type="pct"/>
                  <w:tcBorders>
                    <w:tl2br w:val="nil"/>
                    <w:tr2bl w:val="nil"/>
                  </w:tcBorders>
                  <w:noWrap w:val="0"/>
                  <w:vAlign w:val="center"/>
                </w:tcPr>
                <w:p w14:paraId="5E14A1D5">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5"/>
                      <w:szCs w:val="21"/>
                    </w:rPr>
                    <w:t>10kg</w:t>
                  </w:r>
                </w:p>
              </w:tc>
              <w:tc>
                <w:tcPr>
                  <w:tcW w:w="1518" w:type="pct"/>
                  <w:tcBorders>
                    <w:tl2br w:val="nil"/>
                    <w:tr2bl w:val="nil"/>
                  </w:tcBorders>
                  <w:noWrap w:val="0"/>
                  <w:vAlign w:val="center"/>
                </w:tcPr>
                <w:p w14:paraId="4966D86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3"/>
                      <w:szCs w:val="21"/>
                    </w:rPr>
                    <w:t>外购，车辆维护</w:t>
                  </w:r>
                </w:p>
              </w:tc>
            </w:tr>
            <w:tr w14:paraId="2F5C4B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6" w:hRule="atLeast"/>
                <w:jc w:val="center"/>
              </w:trPr>
              <w:tc>
                <w:tcPr>
                  <w:tcW w:w="392" w:type="pct"/>
                  <w:tcBorders>
                    <w:tl2br w:val="nil"/>
                    <w:tr2bl w:val="nil"/>
                  </w:tcBorders>
                  <w:noWrap w:val="0"/>
                  <w:vAlign w:val="center"/>
                </w:tcPr>
                <w:p w14:paraId="4470670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7"/>
                      <w:szCs w:val="21"/>
                    </w:rPr>
                    <w:t>16</w:t>
                  </w:r>
                </w:p>
              </w:tc>
              <w:tc>
                <w:tcPr>
                  <w:tcW w:w="786" w:type="pct"/>
                  <w:tcBorders>
                    <w:tl2br w:val="nil"/>
                    <w:tr2bl w:val="nil"/>
                  </w:tcBorders>
                  <w:noWrap w:val="0"/>
                  <w:vAlign w:val="center"/>
                </w:tcPr>
                <w:p w14:paraId="07AC9F0C">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铅酸电池</w:t>
                  </w:r>
                </w:p>
              </w:tc>
              <w:tc>
                <w:tcPr>
                  <w:tcW w:w="384" w:type="pct"/>
                  <w:tcBorders>
                    <w:tl2br w:val="nil"/>
                    <w:tr2bl w:val="nil"/>
                  </w:tcBorders>
                  <w:noWrap w:val="0"/>
                  <w:vAlign w:val="center"/>
                </w:tcPr>
                <w:p w14:paraId="15787AB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5"/>
                      <w:szCs w:val="21"/>
                    </w:rPr>
                    <w:t>块/a</w:t>
                  </w:r>
                </w:p>
              </w:tc>
              <w:tc>
                <w:tcPr>
                  <w:tcW w:w="577" w:type="pct"/>
                  <w:tcBorders>
                    <w:tl2br w:val="nil"/>
                    <w:tr2bl w:val="nil"/>
                  </w:tcBorders>
                  <w:noWrap w:val="0"/>
                  <w:vAlign w:val="center"/>
                </w:tcPr>
                <w:p w14:paraId="5CA4BF6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10</w:t>
                  </w:r>
                </w:p>
              </w:tc>
              <w:tc>
                <w:tcPr>
                  <w:tcW w:w="670" w:type="pct"/>
                  <w:tcBorders>
                    <w:tl2br w:val="nil"/>
                    <w:tr2bl w:val="nil"/>
                  </w:tcBorders>
                  <w:noWrap w:val="0"/>
                  <w:vAlign w:val="center"/>
                </w:tcPr>
                <w:p w14:paraId="1FEB6C5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10</w:t>
                  </w:r>
                </w:p>
              </w:tc>
              <w:tc>
                <w:tcPr>
                  <w:tcW w:w="670" w:type="pct"/>
                  <w:tcBorders>
                    <w:tl2br w:val="nil"/>
                    <w:tr2bl w:val="nil"/>
                  </w:tcBorders>
                  <w:noWrap w:val="0"/>
                  <w:vAlign w:val="center"/>
                </w:tcPr>
                <w:p w14:paraId="223034AD">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eastAsia" w:ascii="Times New Roman" w:hAnsi="Times New Roman" w:eastAsia="宋体" w:cs="Times New Roman"/>
                      <w:color w:val="auto"/>
                      <w:spacing w:val="-7"/>
                      <w:szCs w:val="21"/>
                      <w:lang w:val="en-US" w:eastAsia="zh-CN"/>
                    </w:rPr>
                    <w:t>10</w:t>
                  </w:r>
                  <w:r>
                    <w:rPr>
                      <w:rFonts w:hint="default" w:ascii="Times New Roman" w:hAnsi="Times New Roman" w:eastAsia="宋体" w:cs="Times New Roman"/>
                      <w:color w:val="auto"/>
                      <w:spacing w:val="-7"/>
                      <w:szCs w:val="21"/>
                    </w:rPr>
                    <w:t>块</w:t>
                  </w:r>
                </w:p>
              </w:tc>
              <w:tc>
                <w:tcPr>
                  <w:tcW w:w="1518" w:type="pct"/>
                  <w:tcBorders>
                    <w:tl2br w:val="nil"/>
                    <w:tr2bl w:val="nil"/>
                  </w:tcBorders>
                  <w:noWrap w:val="0"/>
                  <w:vAlign w:val="center"/>
                </w:tcPr>
                <w:p w14:paraId="16F90149">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3"/>
                      <w:szCs w:val="21"/>
                    </w:rPr>
                    <w:t>外购，车辆维护</w:t>
                  </w:r>
                </w:p>
              </w:tc>
            </w:tr>
            <w:tr w14:paraId="2E5742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6" w:hRule="atLeast"/>
                <w:jc w:val="center"/>
              </w:trPr>
              <w:tc>
                <w:tcPr>
                  <w:tcW w:w="392" w:type="pct"/>
                  <w:tcBorders>
                    <w:tl2br w:val="nil"/>
                    <w:tr2bl w:val="nil"/>
                  </w:tcBorders>
                  <w:noWrap w:val="0"/>
                  <w:vAlign w:val="center"/>
                </w:tcPr>
                <w:p w14:paraId="1956BB6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7"/>
                      <w:szCs w:val="21"/>
                    </w:rPr>
                    <w:t>17</w:t>
                  </w:r>
                </w:p>
              </w:tc>
              <w:tc>
                <w:tcPr>
                  <w:tcW w:w="786" w:type="pct"/>
                  <w:tcBorders>
                    <w:tl2br w:val="nil"/>
                    <w:tr2bl w:val="nil"/>
                  </w:tcBorders>
                  <w:noWrap w:val="0"/>
                  <w:vAlign w:val="center"/>
                </w:tcPr>
                <w:p w14:paraId="39AAE282">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color w:val="auto"/>
                      <w:spacing w:val="-4"/>
                      <w:szCs w:val="21"/>
                      <w:lang w:val="en-US" w:eastAsia="zh-CN"/>
                    </w:rPr>
                  </w:pPr>
                  <w:r>
                    <w:rPr>
                      <w:rFonts w:hint="eastAsia" w:ascii="Times New Roman" w:hAnsi="Times New Roman" w:eastAsia="宋体" w:cs="Times New Roman"/>
                      <w:color w:val="auto"/>
                      <w:spacing w:val="-4"/>
                      <w:szCs w:val="21"/>
                      <w:lang w:val="en-US" w:eastAsia="zh-CN"/>
                    </w:rPr>
                    <w:t>锂电池</w:t>
                  </w:r>
                </w:p>
              </w:tc>
              <w:tc>
                <w:tcPr>
                  <w:tcW w:w="384" w:type="pct"/>
                  <w:tcBorders>
                    <w:tl2br w:val="nil"/>
                    <w:tr2bl w:val="nil"/>
                  </w:tcBorders>
                  <w:noWrap w:val="0"/>
                  <w:vAlign w:val="center"/>
                </w:tcPr>
                <w:p w14:paraId="21C67CA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5"/>
                      <w:szCs w:val="21"/>
                    </w:rPr>
                  </w:pPr>
                  <w:r>
                    <w:rPr>
                      <w:rFonts w:hint="default" w:ascii="Times New Roman" w:hAnsi="Times New Roman" w:eastAsia="宋体" w:cs="Times New Roman"/>
                      <w:color w:val="auto"/>
                      <w:spacing w:val="-5"/>
                      <w:szCs w:val="21"/>
                    </w:rPr>
                    <w:t>块/a</w:t>
                  </w:r>
                </w:p>
              </w:tc>
              <w:tc>
                <w:tcPr>
                  <w:tcW w:w="577" w:type="pct"/>
                  <w:tcBorders>
                    <w:tl2br w:val="nil"/>
                    <w:tr2bl w:val="nil"/>
                  </w:tcBorders>
                  <w:noWrap w:val="0"/>
                  <w:vAlign w:val="center"/>
                </w:tcPr>
                <w:p w14:paraId="74E7ED2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spacing w:val="-3"/>
                      <w:szCs w:val="21"/>
                      <w:lang w:val="en-US" w:eastAsia="zh-CN"/>
                    </w:rPr>
                  </w:pPr>
                  <w:r>
                    <w:rPr>
                      <w:rFonts w:hint="eastAsia" w:ascii="Times New Roman" w:hAnsi="Times New Roman" w:eastAsia="宋体" w:cs="Times New Roman"/>
                      <w:color w:val="auto"/>
                      <w:spacing w:val="-3"/>
                      <w:szCs w:val="21"/>
                      <w:lang w:val="en-US" w:eastAsia="zh-CN"/>
                    </w:rPr>
                    <w:t>5</w:t>
                  </w:r>
                </w:p>
              </w:tc>
              <w:tc>
                <w:tcPr>
                  <w:tcW w:w="670" w:type="pct"/>
                  <w:tcBorders>
                    <w:tl2br w:val="nil"/>
                    <w:tr2bl w:val="nil"/>
                  </w:tcBorders>
                  <w:noWrap w:val="0"/>
                  <w:vAlign w:val="center"/>
                </w:tcPr>
                <w:p w14:paraId="5479F34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3"/>
                      <w:kern w:val="2"/>
                      <w:sz w:val="21"/>
                      <w:szCs w:val="21"/>
                      <w:lang w:val="en-US" w:eastAsia="zh-CN" w:bidi="ar-SA"/>
                    </w:rPr>
                  </w:pPr>
                  <w:r>
                    <w:rPr>
                      <w:rFonts w:hint="eastAsia" w:ascii="Times New Roman" w:hAnsi="Times New Roman" w:eastAsia="宋体" w:cs="Times New Roman"/>
                      <w:color w:val="auto"/>
                      <w:spacing w:val="-3"/>
                      <w:szCs w:val="21"/>
                      <w:lang w:val="en-US" w:eastAsia="zh-CN"/>
                    </w:rPr>
                    <w:t>5</w:t>
                  </w:r>
                </w:p>
              </w:tc>
              <w:tc>
                <w:tcPr>
                  <w:tcW w:w="670" w:type="pct"/>
                  <w:tcBorders>
                    <w:tl2br w:val="nil"/>
                    <w:tr2bl w:val="nil"/>
                  </w:tcBorders>
                  <w:noWrap w:val="0"/>
                  <w:vAlign w:val="center"/>
                </w:tcPr>
                <w:p w14:paraId="23E62AF6">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color w:val="auto"/>
                      <w:spacing w:val="-4"/>
                      <w:szCs w:val="21"/>
                      <w:lang w:val="en-US" w:eastAsia="zh-CN"/>
                    </w:rPr>
                  </w:pPr>
                  <w:r>
                    <w:rPr>
                      <w:rFonts w:hint="eastAsia" w:ascii="Times New Roman" w:hAnsi="Times New Roman" w:eastAsia="宋体" w:cs="Times New Roman"/>
                      <w:color w:val="auto"/>
                      <w:spacing w:val="-4"/>
                      <w:szCs w:val="21"/>
                      <w:lang w:val="en-US" w:eastAsia="zh-CN"/>
                    </w:rPr>
                    <w:t>5</w:t>
                  </w:r>
                  <w:r>
                    <w:rPr>
                      <w:rFonts w:hint="default" w:ascii="Times New Roman" w:hAnsi="Times New Roman" w:eastAsia="宋体" w:cs="Times New Roman"/>
                      <w:color w:val="auto"/>
                      <w:spacing w:val="-7"/>
                      <w:szCs w:val="21"/>
                    </w:rPr>
                    <w:t>块</w:t>
                  </w:r>
                </w:p>
              </w:tc>
              <w:tc>
                <w:tcPr>
                  <w:tcW w:w="1518" w:type="pct"/>
                  <w:tcBorders>
                    <w:tl2br w:val="nil"/>
                    <w:tr2bl w:val="nil"/>
                  </w:tcBorders>
                  <w:noWrap w:val="0"/>
                  <w:vAlign w:val="center"/>
                </w:tcPr>
                <w:p w14:paraId="0A35D03D">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3"/>
                      <w:szCs w:val="21"/>
                    </w:rPr>
                  </w:pPr>
                  <w:r>
                    <w:rPr>
                      <w:rFonts w:hint="default" w:ascii="Times New Roman" w:hAnsi="Times New Roman" w:eastAsia="宋体" w:cs="Times New Roman"/>
                      <w:color w:val="auto"/>
                      <w:spacing w:val="-3"/>
                      <w:szCs w:val="21"/>
                    </w:rPr>
                    <w:t>外购，车辆维护</w:t>
                  </w:r>
                </w:p>
              </w:tc>
            </w:tr>
            <w:tr w14:paraId="76C37B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6" w:hRule="atLeast"/>
                <w:jc w:val="center"/>
              </w:trPr>
              <w:tc>
                <w:tcPr>
                  <w:tcW w:w="392" w:type="pct"/>
                  <w:tcBorders>
                    <w:tl2br w:val="nil"/>
                    <w:tr2bl w:val="nil"/>
                  </w:tcBorders>
                  <w:noWrap w:val="0"/>
                  <w:vAlign w:val="center"/>
                </w:tcPr>
                <w:p w14:paraId="7F8C3DA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7"/>
                      <w:szCs w:val="21"/>
                    </w:rPr>
                    <w:t>18</w:t>
                  </w:r>
                </w:p>
              </w:tc>
              <w:tc>
                <w:tcPr>
                  <w:tcW w:w="786" w:type="pct"/>
                  <w:tcBorders>
                    <w:tl2br w:val="nil"/>
                    <w:tr2bl w:val="nil"/>
                  </w:tcBorders>
                  <w:noWrap w:val="0"/>
                  <w:vAlign w:val="center"/>
                </w:tcPr>
                <w:p w14:paraId="534F0BFC">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4"/>
                      <w:szCs w:val="21"/>
                    </w:rPr>
                    <w:t>轮胎</w:t>
                  </w:r>
                </w:p>
              </w:tc>
              <w:tc>
                <w:tcPr>
                  <w:tcW w:w="384" w:type="pct"/>
                  <w:tcBorders>
                    <w:tl2br w:val="nil"/>
                    <w:tr2bl w:val="nil"/>
                  </w:tcBorders>
                  <w:noWrap w:val="0"/>
                  <w:vAlign w:val="center"/>
                </w:tcPr>
                <w:p w14:paraId="45016F6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5"/>
                      <w:szCs w:val="21"/>
                    </w:rPr>
                    <w:t>块/a</w:t>
                  </w:r>
                </w:p>
              </w:tc>
              <w:tc>
                <w:tcPr>
                  <w:tcW w:w="577" w:type="pct"/>
                  <w:tcBorders>
                    <w:tl2br w:val="nil"/>
                    <w:tr2bl w:val="nil"/>
                  </w:tcBorders>
                  <w:noWrap w:val="0"/>
                  <w:vAlign w:val="center"/>
                </w:tcPr>
                <w:p w14:paraId="2D74D09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3"/>
                      <w:szCs w:val="21"/>
                    </w:rPr>
                    <w:t>500</w:t>
                  </w:r>
                </w:p>
              </w:tc>
              <w:tc>
                <w:tcPr>
                  <w:tcW w:w="670" w:type="pct"/>
                  <w:tcBorders>
                    <w:tl2br w:val="nil"/>
                    <w:tr2bl w:val="nil"/>
                  </w:tcBorders>
                  <w:noWrap w:val="0"/>
                  <w:vAlign w:val="center"/>
                </w:tcPr>
                <w:p w14:paraId="2867609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3"/>
                      <w:szCs w:val="21"/>
                    </w:rPr>
                    <w:t>500</w:t>
                  </w:r>
                </w:p>
              </w:tc>
              <w:tc>
                <w:tcPr>
                  <w:tcW w:w="670" w:type="pct"/>
                  <w:tcBorders>
                    <w:tl2br w:val="nil"/>
                    <w:tr2bl w:val="nil"/>
                  </w:tcBorders>
                  <w:noWrap w:val="0"/>
                  <w:vAlign w:val="center"/>
                </w:tcPr>
                <w:p w14:paraId="79AB0847">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4"/>
                      <w:szCs w:val="21"/>
                    </w:rPr>
                    <w:t>50块</w:t>
                  </w:r>
                </w:p>
              </w:tc>
              <w:tc>
                <w:tcPr>
                  <w:tcW w:w="1518" w:type="pct"/>
                  <w:tcBorders>
                    <w:tl2br w:val="nil"/>
                    <w:tr2bl w:val="nil"/>
                  </w:tcBorders>
                  <w:noWrap w:val="0"/>
                  <w:vAlign w:val="center"/>
                </w:tcPr>
                <w:p w14:paraId="365C88F1">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3"/>
                      <w:szCs w:val="21"/>
                    </w:rPr>
                    <w:t>外购，车辆维护</w:t>
                  </w:r>
                </w:p>
              </w:tc>
            </w:tr>
            <w:tr w14:paraId="5BD084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6" w:hRule="atLeast"/>
                <w:jc w:val="center"/>
              </w:trPr>
              <w:tc>
                <w:tcPr>
                  <w:tcW w:w="392" w:type="pct"/>
                  <w:tcBorders>
                    <w:tl2br w:val="nil"/>
                    <w:tr2bl w:val="nil"/>
                  </w:tcBorders>
                  <w:noWrap w:val="0"/>
                  <w:vAlign w:val="center"/>
                </w:tcPr>
                <w:p w14:paraId="41566D0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7"/>
                      <w:szCs w:val="21"/>
                    </w:rPr>
                    <w:t>19</w:t>
                  </w:r>
                </w:p>
              </w:tc>
              <w:tc>
                <w:tcPr>
                  <w:tcW w:w="786" w:type="pct"/>
                  <w:tcBorders>
                    <w:tl2br w:val="nil"/>
                    <w:tr2bl w:val="nil"/>
                  </w:tcBorders>
                  <w:noWrap w:val="0"/>
                  <w:vAlign w:val="center"/>
                </w:tcPr>
                <w:p w14:paraId="4E1B784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3"/>
                      <w:szCs w:val="21"/>
                    </w:rPr>
                    <w:t>机油滤芯</w:t>
                  </w:r>
                </w:p>
              </w:tc>
              <w:tc>
                <w:tcPr>
                  <w:tcW w:w="384" w:type="pct"/>
                  <w:tcBorders>
                    <w:tl2br w:val="nil"/>
                    <w:tr2bl w:val="nil"/>
                  </w:tcBorders>
                  <w:noWrap w:val="0"/>
                  <w:vAlign w:val="center"/>
                </w:tcPr>
                <w:p w14:paraId="7B0DE44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5"/>
                      <w:szCs w:val="21"/>
                    </w:rPr>
                    <w:t>块/a</w:t>
                  </w:r>
                </w:p>
              </w:tc>
              <w:tc>
                <w:tcPr>
                  <w:tcW w:w="577" w:type="pct"/>
                  <w:tcBorders>
                    <w:tl2br w:val="nil"/>
                    <w:tr2bl w:val="nil"/>
                  </w:tcBorders>
                  <w:noWrap w:val="0"/>
                  <w:vAlign w:val="center"/>
                </w:tcPr>
                <w:p w14:paraId="5AFF28F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Cs w:val="21"/>
                    </w:rPr>
                    <w:t>7200</w:t>
                  </w:r>
                </w:p>
              </w:tc>
              <w:tc>
                <w:tcPr>
                  <w:tcW w:w="670" w:type="pct"/>
                  <w:tcBorders>
                    <w:tl2br w:val="nil"/>
                    <w:tr2bl w:val="nil"/>
                  </w:tcBorders>
                  <w:noWrap w:val="0"/>
                  <w:vAlign w:val="center"/>
                </w:tcPr>
                <w:p w14:paraId="001D099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Cs w:val="21"/>
                    </w:rPr>
                    <w:t>7200</w:t>
                  </w:r>
                </w:p>
              </w:tc>
              <w:tc>
                <w:tcPr>
                  <w:tcW w:w="670" w:type="pct"/>
                  <w:tcBorders>
                    <w:tl2br w:val="nil"/>
                    <w:tr2bl w:val="nil"/>
                  </w:tcBorders>
                  <w:noWrap w:val="0"/>
                  <w:vAlign w:val="center"/>
                </w:tcPr>
                <w:p w14:paraId="79673E42">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3"/>
                      <w:szCs w:val="21"/>
                    </w:rPr>
                    <w:t>600块</w:t>
                  </w:r>
                </w:p>
              </w:tc>
              <w:tc>
                <w:tcPr>
                  <w:tcW w:w="1518" w:type="pct"/>
                  <w:tcBorders>
                    <w:tl2br w:val="nil"/>
                    <w:tr2bl w:val="nil"/>
                  </w:tcBorders>
                  <w:noWrap w:val="0"/>
                  <w:vAlign w:val="center"/>
                </w:tcPr>
                <w:p w14:paraId="79F3B49B">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3"/>
                      <w:szCs w:val="21"/>
                    </w:rPr>
                    <w:t>外购，车辆维护</w:t>
                  </w:r>
                </w:p>
              </w:tc>
            </w:tr>
            <w:tr w14:paraId="642515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0" w:hRule="atLeast"/>
                <w:jc w:val="center"/>
              </w:trPr>
              <w:tc>
                <w:tcPr>
                  <w:tcW w:w="392" w:type="pct"/>
                  <w:tcBorders>
                    <w:tl2br w:val="nil"/>
                    <w:tr2bl w:val="nil"/>
                  </w:tcBorders>
                  <w:noWrap w:val="0"/>
                  <w:vAlign w:val="center"/>
                </w:tcPr>
                <w:p w14:paraId="1E126C2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pacing w:val="-7"/>
                      <w:szCs w:val="21"/>
                      <w:lang w:val="en-US" w:eastAsia="zh-CN"/>
                    </w:rPr>
                    <w:t>20</w:t>
                  </w:r>
                </w:p>
              </w:tc>
              <w:tc>
                <w:tcPr>
                  <w:tcW w:w="786" w:type="pct"/>
                  <w:tcBorders>
                    <w:tl2br w:val="nil"/>
                    <w:tr2bl w:val="nil"/>
                  </w:tcBorders>
                  <w:noWrap w:val="0"/>
                  <w:vAlign w:val="center"/>
                </w:tcPr>
                <w:p w14:paraId="747B32F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3"/>
                      <w:szCs w:val="21"/>
                    </w:rPr>
                    <w:t>清洗液（不含</w:t>
                  </w:r>
                  <w:r>
                    <w:rPr>
                      <w:rFonts w:hint="default" w:ascii="Times New Roman" w:hAnsi="Times New Roman" w:eastAsia="宋体" w:cs="Times New Roman"/>
                      <w:color w:val="auto"/>
                      <w:spacing w:val="-7"/>
                      <w:szCs w:val="21"/>
                    </w:rPr>
                    <w:t>磷）</w:t>
                  </w:r>
                </w:p>
              </w:tc>
              <w:tc>
                <w:tcPr>
                  <w:tcW w:w="384" w:type="pct"/>
                  <w:tcBorders>
                    <w:tl2br w:val="nil"/>
                    <w:tr2bl w:val="nil"/>
                  </w:tcBorders>
                  <w:noWrap w:val="0"/>
                  <w:vAlign w:val="center"/>
                </w:tcPr>
                <w:p w14:paraId="2622B99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1"/>
                      <w:szCs w:val="21"/>
                    </w:rPr>
                    <w:t>t/a</w:t>
                  </w:r>
                </w:p>
              </w:tc>
              <w:tc>
                <w:tcPr>
                  <w:tcW w:w="577" w:type="pct"/>
                  <w:tcBorders>
                    <w:tl2br w:val="nil"/>
                    <w:tr2bl w:val="nil"/>
                  </w:tcBorders>
                  <w:noWrap w:val="0"/>
                  <w:vAlign w:val="center"/>
                </w:tcPr>
                <w:p w14:paraId="7BEDFB7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spacing w:val="-2"/>
                      <w:kern w:val="2"/>
                      <w:sz w:val="21"/>
                      <w:szCs w:val="21"/>
                      <w:lang w:val="en-US" w:eastAsia="zh-CN" w:bidi="ar-SA"/>
                    </w:rPr>
                  </w:pPr>
                  <w:r>
                    <w:rPr>
                      <w:rFonts w:hint="default" w:ascii="Times New Roman" w:hAnsi="Times New Roman" w:eastAsia="宋体" w:cs="Times New Roman"/>
                      <w:color w:val="auto"/>
                      <w:spacing w:val="-2"/>
                      <w:szCs w:val="21"/>
                    </w:rPr>
                    <w:t>0.6</w:t>
                  </w:r>
                </w:p>
              </w:tc>
              <w:tc>
                <w:tcPr>
                  <w:tcW w:w="670" w:type="pct"/>
                  <w:tcBorders>
                    <w:tl2br w:val="nil"/>
                    <w:tr2bl w:val="nil"/>
                  </w:tcBorders>
                  <w:noWrap w:val="0"/>
                  <w:vAlign w:val="center"/>
                </w:tcPr>
                <w:p w14:paraId="06E4158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2"/>
                      <w:kern w:val="2"/>
                      <w:sz w:val="21"/>
                      <w:szCs w:val="21"/>
                      <w:lang w:val="en-US" w:eastAsia="zh-CN" w:bidi="ar-SA"/>
                    </w:rPr>
                  </w:pPr>
                  <w:r>
                    <w:rPr>
                      <w:rFonts w:hint="default" w:ascii="Times New Roman" w:hAnsi="Times New Roman" w:eastAsia="宋体" w:cs="Times New Roman"/>
                      <w:color w:val="auto"/>
                      <w:spacing w:val="-2"/>
                      <w:szCs w:val="21"/>
                    </w:rPr>
                    <w:t>0.6</w:t>
                  </w:r>
                </w:p>
              </w:tc>
              <w:tc>
                <w:tcPr>
                  <w:tcW w:w="670" w:type="pct"/>
                  <w:tcBorders>
                    <w:tl2br w:val="nil"/>
                    <w:tr2bl w:val="nil"/>
                  </w:tcBorders>
                  <w:noWrap w:val="0"/>
                  <w:vAlign w:val="center"/>
                </w:tcPr>
                <w:p w14:paraId="63818A9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Cs w:val="21"/>
                    </w:rPr>
                    <w:t>50kg</w:t>
                  </w:r>
                </w:p>
              </w:tc>
              <w:tc>
                <w:tcPr>
                  <w:tcW w:w="1518" w:type="pct"/>
                  <w:vMerge w:val="restart"/>
                  <w:tcBorders>
                    <w:tl2br w:val="nil"/>
                    <w:tr2bl w:val="nil"/>
                  </w:tcBorders>
                  <w:noWrap w:val="0"/>
                  <w:vAlign w:val="center"/>
                </w:tcPr>
                <w:p w14:paraId="742355E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pacing w:val="-2"/>
                      <w:szCs w:val="21"/>
                      <w:lang w:val="en-US" w:eastAsia="zh-CN"/>
                    </w:rPr>
                    <w:t>用于洗车</w:t>
                  </w:r>
                </w:p>
              </w:tc>
            </w:tr>
            <w:tr w14:paraId="2156DD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0" w:hRule="atLeast"/>
                <w:jc w:val="center"/>
              </w:trPr>
              <w:tc>
                <w:tcPr>
                  <w:tcW w:w="392" w:type="pct"/>
                  <w:tcBorders>
                    <w:tl2br w:val="nil"/>
                    <w:tr2bl w:val="nil"/>
                  </w:tcBorders>
                  <w:noWrap w:val="0"/>
                  <w:vAlign w:val="center"/>
                </w:tcPr>
                <w:p w14:paraId="25FD461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7"/>
                      <w:kern w:val="2"/>
                      <w:sz w:val="21"/>
                      <w:szCs w:val="21"/>
                      <w:lang w:val="en-US" w:eastAsia="zh-CN" w:bidi="ar-SA"/>
                    </w:rPr>
                  </w:pPr>
                  <w:r>
                    <w:rPr>
                      <w:rFonts w:hint="eastAsia" w:ascii="Times New Roman" w:hAnsi="Times New Roman" w:eastAsia="宋体" w:cs="Times New Roman"/>
                      <w:color w:val="auto"/>
                      <w:spacing w:val="-7"/>
                      <w:szCs w:val="21"/>
                      <w:lang w:val="en-US" w:eastAsia="zh-CN"/>
                    </w:rPr>
                    <w:t>21</w:t>
                  </w:r>
                </w:p>
              </w:tc>
              <w:tc>
                <w:tcPr>
                  <w:tcW w:w="786" w:type="pct"/>
                  <w:tcBorders>
                    <w:tl2br w:val="nil"/>
                    <w:tr2bl w:val="nil"/>
                  </w:tcBorders>
                  <w:noWrap w:val="0"/>
                  <w:vAlign w:val="center"/>
                </w:tcPr>
                <w:p w14:paraId="1416023B">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4"/>
                      <w:szCs w:val="21"/>
                    </w:rPr>
                    <w:t>清洗剂</w:t>
                  </w:r>
                </w:p>
              </w:tc>
              <w:tc>
                <w:tcPr>
                  <w:tcW w:w="384" w:type="pct"/>
                  <w:tcBorders>
                    <w:tl2br w:val="nil"/>
                    <w:tr2bl w:val="nil"/>
                  </w:tcBorders>
                  <w:noWrap w:val="0"/>
                  <w:vAlign w:val="center"/>
                </w:tcPr>
                <w:p w14:paraId="7064D1E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1"/>
                      <w:szCs w:val="21"/>
                    </w:rPr>
                    <w:t>t/a</w:t>
                  </w:r>
                </w:p>
              </w:tc>
              <w:tc>
                <w:tcPr>
                  <w:tcW w:w="577" w:type="pct"/>
                  <w:tcBorders>
                    <w:tl2br w:val="nil"/>
                    <w:tr2bl w:val="nil"/>
                  </w:tcBorders>
                  <w:noWrap w:val="0"/>
                  <w:vAlign w:val="center"/>
                </w:tcPr>
                <w:p w14:paraId="323D29D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2"/>
                      <w:kern w:val="2"/>
                      <w:sz w:val="21"/>
                      <w:szCs w:val="21"/>
                      <w:lang w:val="en-US" w:eastAsia="zh-CN" w:bidi="ar-SA"/>
                    </w:rPr>
                  </w:pPr>
                  <w:r>
                    <w:rPr>
                      <w:rFonts w:hint="default" w:ascii="Times New Roman" w:hAnsi="Times New Roman" w:eastAsia="宋体" w:cs="Times New Roman"/>
                      <w:color w:val="auto"/>
                      <w:spacing w:val="-2"/>
                      <w:szCs w:val="21"/>
                    </w:rPr>
                    <w:t>0.2</w:t>
                  </w:r>
                </w:p>
              </w:tc>
              <w:tc>
                <w:tcPr>
                  <w:tcW w:w="670" w:type="pct"/>
                  <w:tcBorders>
                    <w:tl2br w:val="nil"/>
                    <w:tr2bl w:val="nil"/>
                  </w:tcBorders>
                  <w:noWrap w:val="0"/>
                  <w:vAlign w:val="center"/>
                </w:tcPr>
                <w:p w14:paraId="39C7E6F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2"/>
                      <w:kern w:val="2"/>
                      <w:sz w:val="21"/>
                      <w:szCs w:val="21"/>
                      <w:lang w:val="en-US" w:eastAsia="zh-CN" w:bidi="ar-SA"/>
                    </w:rPr>
                  </w:pPr>
                  <w:r>
                    <w:rPr>
                      <w:rFonts w:hint="default" w:ascii="Times New Roman" w:hAnsi="Times New Roman" w:eastAsia="宋体" w:cs="Times New Roman"/>
                      <w:color w:val="auto"/>
                      <w:spacing w:val="-2"/>
                      <w:szCs w:val="21"/>
                    </w:rPr>
                    <w:t>0.2</w:t>
                  </w:r>
                </w:p>
              </w:tc>
              <w:tc>
                <w:tcPr>
                  <w:tcW w:w="670" w:type="pct"/>
                  <w:tcBorders>
                    <w:tl2br w:val="nil"/>
                    <w:tr2bl w:val="nil"/>
                  </w:tcBorders>
                  <w:noWrap w:val="0"/>
                  <w:vAlign w:val="center"/>
                </w:tcPr>
                <w:p w14:paraId="1F29B33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1"/>
                      <w:szCs w:val="21"/>
                    </w:rPr>
                    <w:t>20kg</w:t>
                  </w:r>
                </w:p>
              </w:tc>
              <w:tc>
                <w:tcPr>
                  <w:tcW w:w="1518" w:type="pct"/>
                  <w:vMerge w:val="continue"/>
                  <w:tcBorders>
                    <w:tl2br w:val="nil"/>
                    <w:tr2bl w:val="nil"/>
                  </w:tcBorders>
                  <w:noWrap w:val="0"/>
                  <w:vAlign w:val="center"/>
                </w:tcPr>
                <w:p w14:paraId="58FB8A1B">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Cs w:val="21"/>
                    </w:rPr>
                  </w:pPr>
                </w:p>
              </w:tc>
            </w:tr>
            <w:tr w14:paraId="683219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0" w:hRule="atLeast"/>
                <w:jc w:val="center"/>
              </w:trPr>
              <w:tc>
                <w:tcPr>
                  <w:tcW w:w="392" w:type="pct"/>
                  <w:tcBorders>
                    <w:tl2br w:val="nil"/>
                    <w:tr2bl w:val="nil"/>
                  </w:tcBorders>
                  <w:noWrap w:val="0"/>
                  <w:vAlign w:val="center"/>
                </w:tcPr>
                <w:p w14:paraId="32952D4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7"/>
                      <w:kern w:val="2"/>
                      <w:sz w:val="21"/>
                      <w:szCs w:val="21"/>
                      <w:lang w:val="en-US" w:eastAsia="zh-CN" w:bidi="ar-SA"/>
                    </w:rPr>
                  </w:pPr>
                  <w:r>
                    <w:rPr>
                      <w:rFonts w:hint="eastAsia" w:ascii="Times New Roman" w:hAnsi="Times New Roman" w:eastAsia="宋体" w:cs="Times New Roman"/>
                      <w:color w:val="auto"/>
                      <w:spacing w:val="-7"/>
                      <w:szCs w:val="21"/>
                      <w:lang w:val="en-US" w:eastAsia="zh-CN"/>
                    </w:rPr>
                    <w:t>22</w:t>
                  </w:r>
                </w:p>
              </w:tc>
              <w:tc>
                <w:tcPr>
                  <w:tcW w:w="786" w:type="pct"/>
                  <w:tcBorders>
                    <w:tl2br w:val="nil"/>
                    <w:tr2bl w:val="nil"/>
                  </w:tcBorders>
                  <w:noWrap w:val="0"/>
                  <w:vAlign w:val="center"/>
                </w:tcPr>
                <w:p w14:paraId="0C4E11BA">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4"/>
                      <w:szCs w:val="21"/>
                    </w:rPr>
                  </w:pPr>
                  <w:r>
                    <w:rPr>
                      <w:rFonts w:hint="default" w:ascii="Times New Roman" w:hAnsi="Times New Roman" w:eastAsia="宋体" w:cs="Times New Roman"/>
                      <w:color w:val="auto"/>
                      <w:spacing w:val="-4"/>
                      <w:szCs w:val="21"/>
                    </w:rPr>
                    <w:t>防冻液</w:t>
                  </w:r>
                </w:p>
              </w:tc>
              <w:tc>
                <w:tcPr>
                  <w:tcW w:w="384" w:type="pct"/>
                  <w:tcBorders>
                    <w:tl2br w:val="nil"/>
                    <w:tr2bl w:val="nil"/>
                  </w:tcBorders>
                  <w:noWrap w:val="0"/>
                  <w:vAlign w:val="center"/>
                </w:tcPr>
                <w:p w14:paraId="1B603CE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1"/>
                      <w:kern w:val="2"/>
                      <w:sz w:val="21"/>
                      <w:szCs w:val="21"/>
                      <w:lang w:val="en-US" w:eastAsia="zh-CN" w:bidi="ar-SA"/>
                    </w:rPr>
                  </w:pPr>
                  <w:r>
                    <w:rPr>
                      <w:rFonts w:hint="eastAsia" w:cs="Times New Roman"/>
                      <w:color w:val="auto"/>
                      <w:spacing w:val="-2"/>
                      <w:szCs w:val="21"/>
                      <w:lang w:val="en-US" w:eastAsia="zh-CN"/>
                    </w:rPr>
                    <w:t>t/a</w:t>
                  </w:r>
                </w:p>
              </w:tc>
              <w:tc>
                <w:tcPr>
                  <w:tcW w:w="577" w:type="pct"/>
                  <w:tcBorders>
                    <w:tl2br w:val="nil"/>
                    <w:tr2bl w:val="nil"/>
                  </w:tcBorders>
                  <w:noWrap w:val="0"/>
                  <w:vAlign w:val="center"/>
                </w:tcPr>
                <w:p w14:paraId="245A8FE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2"/>
                      <w:kern w:val="2"/>
                      <w:sz w:val="21"/>
                      <w:szCs w:val="21"/>
                      <w:lang w:val="en-US" w:eastAsia="zh-CN" w:bidi="ar-SA"/>
                    </w:rPr>
                  </w:pPr>
                  <w:r>
                    <w:rPr>
                      <w:rFonts w:hint="eastAsia" w:cs="Times New Roman"/>
                      <w:color w:val="auto"/>
                      <w:spacing w:val="-2"/>
                      <w:szCs w:val="21"/>
                      <w:lang w:val="en-US" w:eastAsia="zh-CN"/>
                    </w:rPr>
                    <w:t>0.5</w:t>
                  </w:r>
                </w:p>
              </w:tc>
              <w:tc>
                <w:tcPr>
                  <w:tcW w:w="670" w:type="pct"/>
                  <w:tcBorders>
                    <w:tl2br w:val="nil"/>
                    <w:tr2bl w:val="nil"/>
                  </w:tcBorders>
                  <w:noWrap w:val="0"/>
                  <w:vAlign w:val="center"/>
                </w:tcPr>
                <w:p w14:paraId="490CAE8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2"/>
                      <w:kern w:val="2"/>
                      <w:sz w:val="21"/>
                      <w:szCs w:val="21"/>
                      <w:lang w:val="en-US" w:eastAsia="zh-CN" w:bidi="ar-SA"/>
                    </w:rPr>
                  </w:pPr>
                  <w:r>
                    <w:rPr>
                      <w:rFonts w:hint="eastAsia" w:cs="Times New Roman"/>
                      <w:color w:val="auto"/>
                      <w:spacing w:val="-2"/>
                      <w:kern w:val="2"/>
                      <w:sz w:val="21"/>
                      <w:szCs w:val="21"/>
                      <w:lang w:val="en-US" w:eastAsia="zh-CN" w:bidi="ar-SA"/>
                    </w:rPr>
                    <w:t>0.2</w:t>
                  </w:r>
                </w:p>
              </w:tc>
              <w:tc>
                <w:tcPr>
                  <w:tcW w:w="670" w:type="pct"/>
                  <w:tcBorders>
                    <w:tl2br w:val="nil"/>
                    <w:tr2bl w:val="nil"/>
                  </w:tcBorders>
                  <w:noWrap w:val="0"/>
                  <w:vAlign w:val="center"/>
                </w:tcPr>
                <w:p w14:paraId="212028B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1"/>
                      <w:szCs w:val="21"/>
                      <w:lang w:val="en-US" w:eastAsia="zh-CN"/>
                    </w:rPr>
                  </w:pPr>
                  <w:r>
                    <w:rPr>
                      <w:rFonts w:hint="eastAsia" w:ascii="Times New Roman" w:hAnsi="Times New Roman" w:eastAsia="宋体" w:cs="Times New Roman"/>
                      <w:color w:val="auto"/>
                      <w:spacing w:val="-1"/>
                      <w:szCs w:val="21"/>
                      <w:lang w:val="en-US" w:eastAsia="zh-CN"/>
                    </w:rPr>
                    <w:t>100</w:t>
                  </w:r>
                  <w:r>
                    <w:rPr>
                      <w:rFonts w:hint="eastAsia" w:cs="Times New Roman"/>
                      <w:color w:val="auto"/>
                      <w:spacing w:val="-2"/>
                      <w:szCs w:val="21"/>
                      <w:lang w:val="en-US" w:eastAsia="zh-CN"/>
                    </w:rPr>
                    <w:t>kg</w:t>
                  </w:r>
                </w:p>
              </w:tc>
              <w:tc>
                <w:tcPr>
                  <w:tcW w:w="1518" w:type="pct"/>
                  <w:tcBorders>
                    <w:tl2br w:val="nil"/>
                    <w:tr2bl w:val="nil"/>
                  </w:tcBorders>
                  <w:noWrap w:val="0"/>
                  <w:vAlign w:val="center"/>
                </w:tcPr>
                <w:p w14:paraId="6AE10431">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3"/>
                      <w:szCs w:val="21"/>
                      <w:lang w:val="en-US" w:eastAsia="zh-CN"/>
                    </w:rPr>
                  </w:pPr>
                  <w:r>
                    <w:rPr>
                      <w:rFonts w:hint="eastAsia" w:ascii="Times New Roman" w:hAnsi="Times New Roman" w:eastAsia="宋体" w:cs="Times New Roman"/>
                      <w:color w:val="auto"/>
                      <w:spacing w:val="-3"/>
                      <w:szCs w:val="21"/>
                      <w:lang w:val="en-US" w:eastAsia="zh-CN"/>
                    </w:rPr>
                    <w:t>外购</w:t>
                  </w:r>
                </w:p>
              </w:tc>
            </w:tr>
            <w:tr w14:paraId="5D7181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0" w:hRule="atLeast"/>
                <w:jc w:val="center"/>
              </w:trPr>
              <w:tc>
                <w:tcPr>
                  <w:tcW w:w="392" w:type="pct"/>
                  <w:tcBorders>
                    <w:tl2br w:val="nil"/>
                    <w:tr2bl w:val="nil"/>
                  </w:tcBorders>
                  <w:noWrap w:val="0"/>
                  <w:vAlign w:val="center"/>
                </w:tcPr>
                <w:p w14:paraId="4CFCFA3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spacing w:val="-7"/>
                      <w:szCs w:val="21"/>
                      <w:lang w:val="en-US" w:eastAsia="zh-CN"/>
                    </w:rPr>
                  </w:pPr>
                  <w:r>
                    <w:rPr>
                      <w:rFonts w:hint="eastAsia" w:ascii="Times New Roman" w:hAnsi="Times New Roman" w:eastAsia="宋体" w:cs="Times New Roman"/>
                      <w:color w:val="auto"/>
                      <w:spacing w:val="-7"/>
                      <w:szCs w:val="21"/>
                      <w:lang w:val="en-US" w:eastAsia="zh-CN"/>
                    </w:rPr>
                    <w:t>23</w:t>
                  </w:r>
                </w:p>
              </w:tc>
              <w:tc>
                <w:tcPr>
                  <w:tcW w:w="786" w:type="pct"/>
                  <w:tcBorders>
                    <w:tl2br w:val="nil"/>
                    <w:tr2bl w:val="nil"/>
                  </w:tcBorders>
                  <w:noWrap w:val="0"/>
                  <w:vAlign w:val="center"/>
                </w:tcPr>
                <w:p w14:paraId="6DD25EC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color w:val="auto"/>
                      <w:spacing w:val="-4"/>
                      <w:szCs w:val="21"/>
                      <w:lang w:val="en-US" w:eastAsia="zh-CN"/>
                    </w:rPr>
                  </w:pPr>
                  <w:r>
                    <w:rPr>
                      <w:rFonts w:hint="eastAsia" w:ascii="Times New Roman" w:hAnsi="Times New Roman" w:eastAsia="宋体" w:cs="Times New Roman"/>
                      <w:color w:val="auto"/>
                      <w:spacing w:val="-4"/>
                      <w:szCs w:val="21"/>
                      <w:lang w:val="en-US" w:eastAsia="zh-CN"/>
                    </w:rPr>
                    <w:t>水溶抛光蜡</w:t>
                  </w:r>
                </w:p>
              </w:tc>
              <w:tc>
                <w:tcPr>
                  <w:tcW w:w="384" w:type="pct"/>
                  <w:tcBorders>
                    <w:tl2br w:val="nil"/>
                    <w:tr2bl w:val="nil"/>
                  </w:tcBorders>
                  <w:noWrap w:val="0"/>
                  <w:vAlign w:val="center"/>
                </w:tcPr>
                <w:p w14:paraId="010F6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2"/>
                      <w:szCs w:val="21"/>
                      <w:lang w:val="en-US" w:eastAsia="zh-CN"/>
                    </w:rPr>
                  </w:pPr>
                  <w:r>
                    <w:rPr>
                      <w:rFonts w:hint="eastAsia" w:ascii="Times New Roman" w:hAnsi="Times New Roman" w:eastAsia="宋体" w:cs="Times New Roman"/>
                      <w:color w:val="auto"/>
                      <w:spacing w:val="-2"/>
                      <w:szCs w:val="21"/>
                      <w:lang w:val="en-US" w:eastAsia="zh-CN"/>
                    </w:rPr>
                    <w:t>t/a</w:t>
                  </w:r>
                </w:p>
              </w:tc>
              <w:tc>
                <w:tcPr>
                  <w:tcW w:w="577" w:type="pct"/>
                  <w:tcBorders>
                    <w:tl2br w:val="nil"/>
                    <w:tr2bl w:val="nil"/>
                  </w:tcBorders>
                  <w:noWrap w:val="0"/>
                  <w:vAlign w:val="center"/>
                </w:tcPr>
                <w:p w14:paraId="516E18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2"/>
                      <w:szCs w:val="21"/>
                      <w:lang w:val="en-US" w:eastAsia="zh-CN"/>
                    </w:rPr>
                  </w:pPr>
                  <w:r>
                    <w:rPr>
                      <w:rFonts w:hint="eastAsia" w:ascii="Times New Roman" w:hAnsi="Times New Roman" w:eastAsia="宋体" w:cs="Times New Roman"/>
                      <w:color w:val="auto"/>
                      <w:spacing w:val="-2"/>
                      <w:szCs w:val="21"/>
                      <w:lang w:val="en-US" w:eastAsia="zh-CN"/>
                    </w:rPr>
                    <w:t>0.052</w:t>
                  </w:r>
                </w:p>
              </w:tc>
              <w:tc>
                <w:tcPr>
                  <w:tcW w:w="670" w:type="pct"/>
                  <w:tcBorders>
                    <w:tl2br w:val="nil"/>
                    <w:tr2bl w:val="nil"/>
                  </w:tcBorders>
                  <w:noWrap w:val="0"/>
                  <w:vAlign w:val="center"/>
                </w:tcPr>
                <w:p w14:paraId="269D788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spacing w:val="-2"/>
                      <w:kern w:val="2"/>
                      <w:sz w:val="21"/>
                      <w:szCs w:val="21"/>
                      <w:lang w:val="en-US" w:eastAsia="zh-CN" w:bidi="ar-SA"/>
                    </w:rPr>
                  </w:pPr>
                  <w:r>
                    <w:rPr>
                      <w:rFonts w:hint="eastAsia" w:ascii="Times New Roman" w:hAnsi="Times New Roman" w:eastAsia="宋体" w:cs="Times New Roman"/>
                      <w:color w:val="auto"/>
                      <w:spacing w:val="-2"/>
                      <w:szCs w:val="21"/>
                      <w:lang w:val="en-US" w:eastAsia="zh-CN"/>
                    </w:rPr>
                    <w:t>0.01</w:t>
                  </w:r>
                </w:p>
              </w:tc>
              <w:tc>
                <w:tcPr>
                  <w:tcW w:w="670" w:type="pct"/>
                  <w:tcBorders>
                    <w:tl2br w:val="nil"/>
                    <w:tr2bl w:val="nil"/>
                  </w:tcBorders>
                  <w:noWrap w:val="0"/>
                  <w:vAlign w:val="center"/>
                </w:tcPr>
                <w:p w14:paraId="3B0A691F">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1"/>
                      <w:szCs w:val="21"/>
                      <w:lang w:val="en-US" w:eastAsia="zh-CN"/>
                    </w:rPr>
                  </w:pPr>
                  <w:r>
                    <w:rPr>
                      <w:rFonts w:hint="eastAsia" w:ascii="Times New Roman" w:hAnsi="Times New Roman" w:eastAsia="宋体" w:cs="Times New Roman"/>
                      <w:color w:val="auto"/>
                      <w:spacing w:val="-1"/>
                      <w:szCs w:val="21"/>
                      <w:lang w:val="en-US" w:eastAsia="zh-CN"/>
                    </w:rPr>
                    <w:t>1kg</w:t>
                  </w:r>
                </w:p>
              </w:tc>
              <w:tc>
                <w:tcPr>
                  <w:tcW w:w="1518" w:type="pct"/>
                  <w:tcBorders>
                    <w:tl2br w:val="nil"/>
                    <w:tr2bl w:val="nil"/>
                  </w:tcBorders>
                  <w:noWrap w:val="0"/>
                  <w:vAlign w:val="center"/>
                </w:tcPr>
                <w:p w14:paraId="107E9CD9">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3"/>
                      <w:szCs w:val="21"/>
                      <w:lang w:val="en-US" w:eastAsia="zh-CN"/>
                    </w:rPr>
                  </w:pPr>
                  <w:r>
                    <w:rPr>
                      <w:rFonts w:hint="eastAsia" w:ascii="Times New Roman" w:hAnsi="Times New Roman" w:eastAsia="宋体" w:cs="Times New Roman"/>
                      <w:color w:val="auto"/>
                      <w:spacing w:val="-3"/>
                      <w:szCs w:val="21"/>
                      <w:lang w:val="en-US" w:eastAsia="zh-CN"/>
                    </w:rPr>
                    <w:t>外购</w:t>
                  </w:r>
                </w:p>
              </w:tc>
            </w:tr>
            <w:tr w14:paraId="3E1145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0" w:hRule="atLeast"/>
                <w:jc w:val="center"/>
              </w:trPr>
              <w:tc>
                <w:tcPr>
                  <w:tcW w:w="392" w:type="pct"/>
                  <w:tcBorders>
                    <w:tl2br w:val="nil"/>
                    <w:tr2bl w:val="nil"/>
                  </w:tcBorders>
                  <w:noWrap w:val="0"/>
                  <w:vAlign w:val="center"/>
                </w:tcPr>
                <w:p w14:paraId="3BB8449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7"/>
                      <w:kern w:val="2"/>
                      <w:sz w:val="21"/>
                      <w:szCs w:val="21"/>
                      <w:lang w:val="en-US" w:eastAsia="zh-CN" w:bidi="ar-SA"/>
                    </w:rPr>
                  </w:pPr>
                  <w:r>
                    <w:rPr>
                      <w:rFonts w:hint="eastAsia" w:ascii="Times New Roman" w:hAnsi="Times New Roman" w:eastAsia="宋体" w:cs="Times New Roman"/>
                      <w:color w:val="auto"/>
                      <w:spacing w:val="-7"/>
                      <w:kern w:val="2"/>
                      <w:sz w:val="21"/>
                      <w:szCs w:val="21"/>
                      <w:lang w:val="en-US" w:eastAsia="zh-CN" w:bidi="ar-SA"/>
                    </w:rPr>
                    <w:t>24</w:t>
                  </w:r>
                </w:p>
              </w:tc>
              <w:tc>
                <w:tcPr>
                  <w:tcW w:w="786" w:type="pct"/>
                  <w:tcBorders>
                    <w:tl2br w:val="nil"/>
                    <w:tr2bl w:val="nil"/>
                  </w:tcBorders>
                  <w:noWrap w:val="0"/>
                  <w:vAlign w:val="center"/>
                </w:tcPr>
                <w:p w14:paraId="4948ECA5">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4"/>
                      <w:szCs w:val="21"/>
                      <w:lang w:val="en-US" w:eastAsia="zh-CN"/>
                    </w:rPr>
                  </w:pPr>
                  <w:r>
                    <w:rPr>
                      <w:rFonts w:hint="eastAsia" w:ascii="Times New Roman" w:hAnsi="Times New Roman" w:eastAsia="宋体" w:cs="Times New Roman"/>
                      <w:color w:val="auto"/>
                      <w:spacing w:val="-4"/>
                      <w:szCs w:val="21"/>
                      <w:lang w:val="en-US" w:eastAsia="zh-CN"/>
                    </w:rPr>
                    <w:t>遮蔽纸</w:t>
                  </w:r>
                </w:p>
              </w:tc>
              <w:tc>
                <w:tcPr>
                  <w:tcW w:w="384" w:type="pct"/>
                  <w:tcBorders>
                    <w:tl2br w:val="nil"/>
                    <w:tr2bl w:val="nil"/>
                  </w:tcBorders>
                  <w:noWrap w:val="0"/>
                  <w:vAlign w:val="center"/>
                </w:tcPr>
                <w:p w14:paraId="1191FAA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spacing w:val="-2"/>
                      <w:szCs w:val="21"/>
                      <w:lang w:val="en-US" w:eastAsia="zh-CN"/>
                    </w:rPr>
                  </w:pPr>
                  <w:r>
                    <w:rPr>
                      <w:rFonts w:hint="eastAsia" w:ascii="Times New Roman" w:hAnsi="Times New Roman" w:eastAsia="宋体" w:cs="Times New Roman"/>
                      <w:color w:val="auto"/>
                      <w:spacing w:val="-2"/>
                      <w:szCs w:val="21"/>
                      <w:lang w:val="en-US" w:eastAsia="zh-CN"/>
                    </w:rPr>
                    <w:t>t/a</w:t>
                  </w:r>
                </w:p>
              </w:tc>
              <w:tc>
                <w:tcPr>
                  <w:tcW w:w="577" w:type="pct"/>
                  <w:tcBorders>
                    <w:tl2br w:val="nil"/>
                    <w:tr2bl w:val="nil"/>
                  </w:tcBorders>
                  <w:noWrap w:val="0"/>
                  <w:vAlign w:val="center"/>
                </w:tcPr>
                <w:p w14:paraId="4B0BB3A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2"/>
                      <w:szCs w:val="21"/>
                      <w:lang w:val="en-US" w:eastAsia="zh-CN"/>
                    </w:rPr>
                  </w:pPr>
                  <w:r>
                    <w:rPr>
                      <w:rFonts w:hint="eastAsia" w:ascii="Times New Roman" w:hAnsi="Times New Roman" w:eastAsia="宋体" w:cs="Times New Roman"/>
                      <w:color w:val="auto"/>
                      <w:spacing w:val="-2"/>
                      <w:szCs w:val="21"/>
                      <w:lang w:val="en-US" w:eastAsia="zh-CN"/>
                    </w:rPr>
                    <w:t>0.2</w:t>
                  </w:r>
                </w:p>
              </w:tc>
              <w:tc>
                <w:tcPr>
                  <w:tcW w:w="670" w:type="pct"/>
                  <w:tcBorders>
                    <w:tl2br w:val="nil"/>
                    <w:tr2bl w:val="nil"/>
                  </w:tcBorders>
                  <w:noWrap w:val="0"/>
                  <w:vAlign w:val="center"/>
                </w:tcPr>
                <w:p w14:paraId="259B9FD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2"/>
                      <w:szCs w:val="21"/>
                      <w:lang w:val="en-US" w:eastAsia="zh-CN"/>
                    </w:rPr>
                  </w:pPr>
                  <w:r>
                    <w:rPr>
                      <w:rFonts w:hint="eastAsia" w:ascii="Times New Roman" w:hAnsi="Times New Roman" w:eastAsia="宋体" w:cs="Times New Roman"/>
                      <w:color w:val="auto"/>
                      <w:spacing w:val="-2"/>
                      <w:szCs w:val="21"/>
                      <w:lang w:val="en-US" w:eastAsia="zh-CN"/>
                    </w:rPr>
                    <w:t>0.2</w:t>
                  </w:r>
                </w:p>
              </w:tc>
              <w:tc>
                <w:tcPr>
                  <w:tcW w:w="670" w:type="pct"/>
                  <w:tcBorders>
                    <w:tl2br w:val="nil"/>
                    <w:tr2bl w:val="nil"/>
                  </w:tcBorders>
                  <w:noWrap w:val="0"/>
                  <w:vAlign w:val="center"/>
                </w:tcPr>
                <w:p w14:paraId="2DEDF4E4">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1"/>
                      <w:szCs w:val="21"/>
                      <w:lang w:val="en-US" w:eastAsia="zh-CN"/>
                    </w:rPr>
                  </w:pPr>
                  <w:r>
                    <w:rPr>
                      <w:rFonts w:hint="eastAsia" w:ascii="Times New Roman" w:hAnsi="Times New Roman" w:eastAsia="宋体" w:cs="Times New Roman"/>
                      <w:color w:val="auto"/>
                      <w:spacing w:val="-1"/>
                      <w:szCs w:val="21"/>
                      <w:lang w:val="en-US" w:eastAsia="zh-CN"/>
                    </w:rPr>
                    <w:t>/</w:t>
                  </w:r>
                </w:p>
              </w:tc>
              <w:tc>
                <w:tcPr>
                  <w:tcW w:w="1518" w:type="pct"/>
                  <w:tcBorders>
                    <w:tl2br w:val="nil"/>
                    <w:tr2bl w:val="nil"/>
                  </w:tcBorders>
                  <w:noWrap w:val="0"/>
                  <w:vAlign w:val="center"/>
                </w:tcPr>
                <w:p w14:paraId="011ABC6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color w:val="auto"/>
                      <w:spacing w:val="-3"/>
                      <w:szCs w:val="21"/>
                      <w:lang w:val="en-US" w:eastAsia="zh-CN"/>
                    </w:rPr>
                  </w:pPr>
                  <w:r>
                    <w:rPr>
                      <w:rFonts w:hint="eastAsia" w:ascii="Times New Roman" w:hAnsi="Times New Roman" w:eastAsia="宋体" w:cs="Times New Roman"/>
                      <w:color w:val="auto"/>
                      <w:spacing w:val="-3"/>
                      <w:szCs w:val="21"/>
                      <w:lang w:val="en-US" w:eastAsia="zh-CN"/>
                    </w:rPr>
                    <w:t>外购</w:t>
                  </w:r>
                </w:p>
              </w:tc>
            </w:tr>
            <w:tr w14:paraId="621B51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0" w:hRule="atLeast"/>
                <w:jc w:val="center"/>
              </w:trPr>
              <w:tc>
                <w:tcPr>
                  <w:tcW w:w="392" w:type="pct"/>
                  <w:tcBorders>
                    <w:tl2br w:val="nil"/>
                    <w:tr2bl w:val="nil"/>
                  </w:tcBorders>
                  <w:noWrap w:val="0"/>
                  <w:vAlign w:val="center"/>
                </w:tcPr>
                <w:p w14:paraId="689CFB1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7"/>
                      <w:kern w:val="2"/>
                      <w:sz w:val="21"/>
                      <w:szCs w:val="21"/>
                      <w:lang w:val="en-US" w:eastAsia="zh-CN" w:bidi="ar-SA"/>
                    </w:rPr>
                  </w:pPr>
                  <w:r>
                    <w:rPr>
                      <w:rFonts w:hint="eastAsia" w:ascii="Times New Roman" w:hAnsi="Times New Roman" w:eastAsia="宋体" w:cs="Times New Roman"/>
                      <w:color w:val="auto"/>
                      <w:spacing w:val="-7"/>
                      <w:kern w:val="2"/>
                      <w:sz w:val="21"/>
                      <w:szCs w:val="21"/>
                      <w:lang w:val="en-US" w:eastAsia="zh-CN" w:bidi="ar-SA"/>
                    </w:rPr>
                    <w:t>25</w:t>
                  </w:r>
                </w:p>
              </w:tc>
              <w:tc>
                <w:tcPr>
                  <w:tcW w:w="786" w:type="pct"/>
                  <w:tcBorders>
                    <w:tl2br w:val="nil"/>
                    <w:tr2bl w:val="nil"/>
                  </w:tcBorders>
                  <w:noWrap w:val="0"/>
                  <w:vAlign w:val="center"/>
                </w:tcPr>
                <w:p w14:paraId="783E344A">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4"/>
                      <w:szCs w:val="21"/>
                      <w:lang w:val="en-US" w:eastAsia="zh-CN"/>
                    </w:rPr>
                  </w:pPr>
                  <w:r>
                    <w:rPr>
                      <w:rFonts w:hint="eastAsia" w:ascii="Times New Roman" w:hAnsi="Times New Roman" w:eastAsia="宋体" w:cs="Times New Roman"/>
                      <w:color w:val="auto"/>
                      <w:spacing w:val="-4"/>
                      <w:szCs w:val="21"/>
                      <w:lang w:val="en-US" w:eastAsia="zh-CN"/>
                    </w:rPr>
                    <w:t>过滤棉</w:t>
                  </w:r>
                </w:p>
              </w:tc>
              <w:tc>
                <w:tcPr>
                  <w:tcW w:w="384" w:type="pct"/>
                  <w:tcBorders>
                    <w:tl2br w:val="nil"/>
                    <w:tr2bl w:val="nil"/>
                  </w:tcBorders>
                  <w:noWrap w:val="0"/>
                  <w:vAlign w:val="center"/>
                </w:tcPr>
                <w:p w14:paraId="7047098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spacing w:val="-2"/>
                      <w:szCs w:val="21"/>
                      <w:lang w:val="en-US" w:eastAsia="zh-CN"/>
                    </w:rPr>
                  </w:pPr>
                  <w:r>
                    <w:rPr>
                      <w:rFonts w:hint="eastAsia" w:ascii="Times New Roman" w:hAnsi="Times New Roman" w:eastAsia="宋体" w:cs="Times New Roman"/>
                      <w:color w:val="auto"/>
                      <w:spacing w:val="-2"/>
                      <w:szCs w:val="21"/>
                      <w:lang w:val="en-US" w:eastAsia="zh-CN"/>
                    </w:rPr>
                    <w:t>t/a</w:t>
                  </w:r>
                </w:p>
              </w:tc>
              <w:tc>
                <w:tcPr>
                  <w:tcW w:w="577" w:type="pct"/>
                  <w:tcBorders>
                    <w:tl2br w:val="nil"/>
                    <w:tr2bl w:val="nil"/>
                  </w:tcBorders>
                  <w:noWrap w:val="0"/>
                  <w:vAlign w:val="center"/>
                </w:tcPr>
                <w:p w14:paraId="7360BBD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2"/>
                      <w:szCs w:val="21"/>
                      <w:lang w:val="en-US" w:eastAsia="zh-CN"/>
                    </w:rPr>
                  </w:pPr>
                  <w:r>
                    <w:rPr>
                      <w:rFonts w:hint="eastAsia" w:cs="Times New Roman"/>
                      <w:color w:val="auto"/>
                      <w:spacing w:val="-2"/>
                      <w:szCs w:val="21"/>
                      <w:lang w:val="en-US" w:eastAsia="zh-CN"/>
                    </w:rPr>
                    <w:t>1.516</w:t>
                  </w:r>
                </w:p>
              </w:tc>
              <w:tc>
                <w:tcPr>
                  <w:tcW w:w="670" w:type="pct"/>
                  <w:tcBorders>
                    <w:tl2br w:val="nil"/>
                    <w:tr2bl w:val="nil"/>
                  </w:tcBorders>
                  <w:noWrap w:val="0"/>
                  <w:vAlign w:val="center"/>
                </w:tcPr>
                <w:p w14:paraId="51E352C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2"/>
                      <w:szCs w:val="21"/>
                      <w:lang w:val="en-US" w:eastAsia="zh-CN"/>
                    </w:rPr>
                  </w:pPr>
                  <w:r>
                    <w:rPr>
                      <w:rFonts w:hint="eastAsia" w:cs="Times New Roman"/>
                      <w:color w:val="auto"/>
                      <w:spacing w:val="-2"/>
                      <w:szCs w:val="21"/>
                      <w:lang w:val="en-US" w:eastAsia="zh-CN"/>
                    </w:rPr>
                    <w:t>/</w:t>
                  </w:r>
                </w:p>
              </w:tc>
              <w:tc>
                <w:tcPr>
                  <w:tcW w:w="670" w:type="pct"/>
                  <w:tcBorders>
                    <w:tl2br w:val="nil"/>
                    <w:tr2bl w:val="nil"/>
                  </w:tcBorders>
                  <w:noWrap w:val="0"/>
                  <w:vAlign w:val="center"/>
                </w:tcPr>
                <w:p w14:paraId="6CF1A9E8">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1"/>
                      <w:szCs w:val="21"/>
                      <w:lang w:val="en-US" w:eastAsia="zh-CN"/>
                    </w:rPr>
                  </w:pPr>
                  <w:r>
                    <w:rPr>
                      <w:rFonts w:hint="eastAsia" w:ascii="Times New Roman" w:hAnsi="Times New Roman" w:eastAsia="宋体" w:cs="Times New Roman"/>
                      <w:color w:val="auto"/>
                      <w:spacing w:val="-1"/>
                      <w:szCs w:val="21"/>
                      <w:lang w:val="en-US" w:eastAsia="zh-CN"/>
                    </w:rPr>
                    <w:t>/</w:t>
                  </w:r>
                </w:p>
              </w:tc>
              <w:tc>
                <w:tcPr>
                  <w:tcW w:w="1518" w:type="pct"/>
                  <w:tcBorders>
                    <w:tl2br w:val="nil"/>
                    <w:tr2bl w:val="nil"/>
                  </w:tcBorders>
                  <w:noWrap w:val="0"/>
                  <w:vAlign w:val="center"/>
                </w:tcPr>
                <w:p w14:paraId="7E00A471">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color w:val="auto"/>
                      <w:spacing w:val="-3"/>
                      <w:szCs w:val="21"/>
                      <w:lang w:val="en-US" w:eastAsia="zh-CN"/>
                    </w:rPr>
                  </w:pPr>
                  <w:r>
                    <w:rPr>
                      <w:rFonts w:hint="eastAsia" w:ascii="Times New Roman" w:hAnsi="Times New Roman" w:eastAsia="宋体" w:cs="Times New Roman"/>
                      <w:color w:val="auto"/>
                      <w:spacing w:val="-3"/>
                      <w:szCs w:val="21"/>
                      <w:lang w:val="en-US" w:eastAsia="zh-CN"/>
                    </w:rPr>
                    <w:t>外购</w:t>
                  </w:r>
                </w:p>
              </w:tc>
            </w:tr>
            <w:tr w14:paraId="0515E5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0" w:hRule="atLeast"/>
                <w:jc w:val="center"/>
              </w:trPr>
              <w:tc>
                <w:tcPr>
                  <w:tcW w:w="392" w:type="pct"/>
                  <w:vMerge w:val="restart"/>
                  <w:tcBorders>
                    <w:tl2br w:val="nil"/>
                    <w:tr2bl w:val="nil"/>
                  </w:tcBorders>
                  <w:noWrap w:val="0"/>
                  <w:vAlign w:val="center"/>
                </w:tcPr>
                <w:p w14:paraId="0849350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7"/>
                      <w:kern w:val="2"/>
                      <w:sz w:val="21"/>
                      <w:szCs w:val="21"/>
                      <w:lang w:val="en-US" w:eastAsia="zh-CN" w:bidi="ar-SA"/>
                    </w:rPr>
                  </w:pPr>
                  <w:r>
                    <w:rPr>
                      <w:rFonts w:hint="eastAsia" w:ascii="Times New Roman" w:hAnsi="Times New Roman" w:eastAsia="宋体" w:cs="Times New Roman"/>
                      <w:color w:val="auto"/>
                      <w:spacing w:val="-7"/>
                      <w:kern w:val="2"/>
                      <w:sz w:val="21"/>
                      <w:szCs w:val="21"/>
                      <w:lang w:val="en-US" w:eastAsia="zh-CN" w:bidi="ar-SA"/>
                    </w:rPr>
                    <w:t>26</w:t>
                  </w:r>
                </w:p>
              </w:tc>
              <w:tc>
                <w:tcPr>
                  <w:tcW w:w="786" w:type="pct"/>
                  <w:tcBorders>
                    <w:tl2br w:val="nil"/>
                    <w:tr2bl w:val="nil"/>
                  </w:tcBorders>
                  <w:noWrap w:val="0"/>
                  <w:vAlign w:val="center"/>
                </w:tcPr>
                <w:p w14:paraId="1CFA0BDA">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4"/>
                      <w:szCs w:val="21"/>
                      <w:lang w:val="en-US" w:eastAsia="zh-CN"/>
                    </w:rPr>
                  </w:pPr>
                  <w:r>
                    <w:rPr>
                      <w:rFonts w:hint="eastAsia" w:cs="Times New Roman"/>
                      <w:color w:val="auto"/>
                      <w:spacing w:val="-4"/>
                      <w:szCs w:val="21"/>
                      <w:lang w:val="en-US" w:eastAsia="zh-CN"/>
                    </w:rPr>
                    <w:t>蜂窝</w:t>
                  </w:r>
                  <w:r>
                    <w:rPr>
                      <w:rFonts w:hint="eastAsia" w:ascii="Times New Roman" w:hAnsi="Times New Roman" w:eastAsia="宋体" w:cs="Times New Roman"/>
                      <w:color w:val="auto"/>
                      <w:spacing w:val="-4"/>
                      <w:szCs w:val="21"/>
                      <w:lang w:val="en-US" w:eastAsia="zh-CN"/>
                    </w:rPr>
                    <w:t>活性炭</w:t>
                  </w:r>
                </w:p>
              </w:tc>
              <w:tc>
                <w:tcPr>
                  <w:tcW w:w="384" w:type="pct"/>
                  <w:tcBorders>
                    <w:tl2br w:val="nil"/>
                    <w:tr2bl w:val="nil"/>
                  </w:tcBorders>
                  <w:noWrap w:val="0"/>
                  <w:vAlign w:val="center"/>
                </w:tcPr>
                <w:p w14:paraId="55EA414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spacing w:val="-2"/>
                      <w:szCs w:val="21"/>
                      <w:lang w:val="en-US" w:eastAsia="zh-CN"/>
                    </w:rPr>
                  </w:pPr>
                  <w:r>
                    <w:rPr>
                      <w:rFonts w:hint="eastAsia" w:ascii="Times New Roman" w:hAnsi="Times New Roman" w:eastAsia="宋体" w:cs="Times New Roman"/>
                      <w:color w:val="auto"/>
                      <w:spacing w:val="-2"/>
                      <w:szCs w:val="21"/>
                      <w:lang w:val="en-US" w:eastAsia="zh-CN"/>
                    </w:rPr>
                    <w:t>t/a</w:t>
                  </w:r>
                </w:p>
              </w:tc>
              <w:tc>
                <w:tcPr>
                  <w:tcW w:w="577" w:type="pct"/>
                  <w:tcBorders>
                    <w:tl2br w:val="nil"/>
                    <w:tr2bl w:val="nil"/>
                  </w:tcBorders>
                  <w:noWrap w:val="0"/>
                  <w:vAlign w:val="center"/>
                </w:tcPr>
                <w:p w14:paraId="257B91B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2"/>
                      <w:szCs w:val="21"/>
                      <w:lang w:val="en-US" w:eastAsia="zh-CN"/>
                    </w:rPr>
                  </w:pPr>
                  <w:r>
                    <w:rPr>
                      <w:rFonts w:hint="eastAsia" w:cs="Times New Roman"/>
                      <w:color w:val="auto"/>
                      <w:spacing w:val="-2"/>
                      <w:szCs w:val="21"/>
                      <w:lang w:val="en-US" w:eastAsia="zh-CN"/>
                    </w:rPr>
                    <w:t>10.841</w:t>
                  </w:r>
                </w:p>
              </w:tc>
              <w:tc>
                <w:tcPr>
                  <w:tcW w:w="670" w:type="pct"/>
                  <w:tcBorders>
                    <w:tl2br w:val="nil"/>
                    <w:tr2bl w:val="nil"/>
                  </w:tcBorders>
                  <w:noWrap w:val="0"/>
                  <w:vAlign w:val="center"/>
                </w:tcPr>
                <w:p w14:paraId="6B32FDF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2"/>
                      <w:szCs w:val="21"/>
                      <w:lang w:val="en-US" w:eastAsia="zh-CN"/>
                    </w:rPr>
                  </w:pPr>
                  <w:r>
                    <w:rPr>
                      <w:rFonts w:hint="eastAsia" w:ascii="Times New Roman" w:hAnsi="Times New Roman" w:eastAsia="宋体" w:cs="Times New Roman"/>
                      <w:color w:val="auto"/>
                      <w:spacing w:val="-2"/>
                      <w:szCs w:val="21"/>
                      <w:lang w:val="en-US" w:eastAsia="zh-CN"/>
                    </w:rPr>
                    <w:t>/</w:t>
                  </w:r>
                </w:p>
              </w:tc>
              <w:tc>
                <w:tcPr>
                  <w:tcW w:w="670" w:type="pct"/>
                  <w:tcBorders>
                    <w:tl2br w:val="nil"/>
                    <w:tr2bl w:val="nil"/>
                  </w:tcBorders>
                  <w:noWrap w:val="0"/>
                  <w:vAlign w:val="center"/>
                </w:tcPr>
                <w:p w14:paraId="3C87B57D">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1"/>
                      <w:szCs w:val="21"/>
                      <w:lang w:val="en-US" w:eastAsia="zh-CN"/>
                    </w:rPr>
                  </w:pPr>
                  <w:r>
                    <w:rPr>
                      <w:rFonts w:hint="eastAsia" w:ascii="Times New Roman" w:hAnsi="Times New Roman" w:eastAsia="宋体" w:cs="Times New Roman"/>
                      <w:color w:val="auto"/>
                      <w:spacing w:val="-1"/>
                      <w:szCs w:val="21"/>
                      <w:lang w:val="en-US" w:eastAsia="zh-CN"/>
                    </w:rPr>
                    <w:t>/</w:t>
                  </w:r>
                </w:p>
              </w:tc>
              <w:tc>
                <w:tcPr>
                  <w:tcW w:w="1518" w:type="pct"/>
                  <w:tcBorders>
                    <w:tl2br w:val="nil"/>
                    <w:tr2bl w:val="nil"/>
                  </w:tcBorders>
                  <w:noWrap w:val="0"/>
                  <w:vAlign w:val="center"/>
                </w:tcPr>
                <w:p w14:paraId="173FAC97">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color w:val="auto"/>
                      <w:spacing w:val="-3"/>
                      <w:szCs w:val="21"/>
                      <w:lang w:val="en-US" w:eastAsia="zh-CN"/>
                    </w:rPr>
                  </w:pPr>
                  <w:r>
                    <w:rPr>
                      <w:rFonts w:hint="eastAsia" w:ascii="Times New Roman" w:hAnsi="Times New Roman" w:eastAsia="宋体" w:cs="Times New Roman"/>
                      <w:color w:val="auto"/>
                      <w:spacing w:val="-3"/>
                      <w:szCs w:val="21"/>
                      <w:lang w:val="en-US" w:eastAsia="zh-CN"/>
                    </w:rPr>
                    <w:t>外购</w:t>
                  </w:r>
                </w:p>
              </w:tc>
            </w:tr>
            <w:tr w14:paraId="235DAA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0" w:hRule="atLeast"/>
                <w:jc w:val="center"/>
              </w:trPr>
              <w:tc>
                <w:tcPr>
                  <w:tcW w:w="392" w:type="pct"/>
                  <w:vMerge w:val="continue"/>
                  <w:tcBorders>
                    <w:tl2br w:val="nil"/>
                    <w:tr2bl w:val="nil"/>
                  </w:tcBorders>
                  <w:noWrap w:val="0"/>
                  <w:vAlign w:val="center"/>
                </w:tcPr>
                <w:p w14:paraId="7FE85DB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spacing w:val="-7"/>
                      <w:kern w:val="2"/>
                      <w:sz w:val="21"/>
                      <w:szCs w:val="21"/>
                      <w:lang w:val="en-US" w:eastAsia="zh-CN" w:bidi="ar-SA"/>
                    </w:rPr>
                  </w:pPr>
                </w:p>
              </w:tc>
              <w:tc>
                <w:tcPr>
                  <w:tcW w:w="786" w:type="pct"/>
                  <w:tcBorders>
                    <w:tl2br w:val="nil"/>
                    <w:tr2bl w:val="nil"/>
                  </w:tcBorders>
                  <w:noWrap w:val="0"/>
                  <w:vAlign w:val="center"/>
                </w:tcPr>
                <w:p w14:paraId="77CA882D">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4"/>
                      <w:szCs w:val="21"/>
                      <w:lang w:val="en-US" w:eastAsia="zh-CN"/>
                    </w:rPr>
                  </w:pPr>
                  <w:r>
                    <w:rPr>
                      <w:rFonts w:hint="eastAsia" w:cs="Times New Roman"/>
                      <w:color w:val="auto"/>
                      <w:spacing w:val="-4"/>
                      <w:szCs w:val="21"/>
                      <w:lang w:val="en-US" w:eastAsia="zh-CN"/>
                    </w:rPr>
                    <w:t>颗粒活性炭</w:t>
                  </w:r>
                </w:p>
              </w:tc>
              <w:tc>
                <w:tcPr>
                  <w:tcW w:w="384" w:type="pct"/>
                  <w:tcBorders>
                    <w:tl2br w:val="nil"/>
                    <w:tr2bl w:val="nil"/>
                  </w:tcBorders>
                  <w:noWrap w:val="0"/>
                  <w:vAlign w:val="center"/>
                </w:tcPr>
                <w:p w14:paraId="793085C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2"/>
                      <w:szCs w:val="21"/>
                      <w:lang w:val="en-US" w:eastAsia="zh-CN"/>
                    </w:rPr>
                  </w:pPr>
                  <w:r>
                    <w:rPr>
                      <w:rFonts w:hint="eastAsia" w:cs="Times New Roman"/>
                      <w:color w:val="auto"/>
                      <w:spacing w:val="-2"/>
                      <w:szCs w:val="21"/>
                      <w:lang w:val="en-US" w:eastAsia="zh-CN"/>
                    </w:rPr>
                    <w:t>t/a</w:t>
                  </w:r>
                </w:p>
              </w:tc>
              <w:tc>
                <w:tcPr>
                  <w:tcW w:w="577" w:type="pct"/>
                  <w:tcBorders>
                    <w:tl2br w:val="nil"/>
                    <w:tr2bl w:val="nil"/>
                  </w:tcBorders>
                  <w:noWrap w:val="0"/>
                  <w:vAlign w:val="center"/>
                </w:tcPr>
                <w:p w14:paraId="7387798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spacing w:val="-2"/>
                      <w:szCs w:val="21"/>
                      <w:lang w:val="en-US" w:eastAsia="zh-CN"/>
                    </w:rPr>
                  </w:pPr>
                  <w:r>
                    <w:rPr>
                      <w:rFonts w:hint="eastAsia" w:cs="Times New Roman"/>
                      <w:color w:val="auto"/>
                      <w:spacing w:val="-2"/>
                      <w:szCs w:val="21"/>
                      <w:lang w:val="en-US" w:eastAsia="zh-CN"/>
                    </w:rPr>
                    <w:t>0.32</w:t>
                  </w:r>
                </w:p>
              </w:tc>
              <w:tc>
                <w:tcPr>
                  <w:tcW w:w="670" w:type="pct"/>
                  <w:tcBorders>
                    <w:tl2br w:val="nil"/>
                    <w:tr2bl w:val="nil"/>
                  </w:tcBorders>
                  <w:noWrap w:val="0"/>
                  <w:vAlign w:val="center"/>
                </w:tcPr>
                <w:p w14:paraId="63C3018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2"/>
                      <w:szCs w:val="21"/>
                      <w:lang w:val="en-US" w:eastAsia="zh-CN"/>
                    </w:rPr>
                  </w:pPr>
                  <w:r>
                    <w:rPr>
                      <w:rFonts w:hint="eastAsia" w:cs="Times New Roman"/>
                      <w:color w:val="auto"/>
                      <w:spacing w:val="-2"/>
                      <w:szCs w:val="21"/>
                      <w:lang w:val="en-US" w:eastAsia="zh-CN"/>
                    </w:rPr>
                    <w:t>/</w:t>
                  </w:r>
                </w:p>
              </w:tc>
              <w:tc>
                <w:tcPr>
                  <w:tcW w:w="670" w:type="pct"/>
                  <w:tcBorders>
                    <w:tl2br w:val="nil"/>
                    <w:tr2bl w:val="nil"/>
                  </w:tcBorders>
                  <w:noWrap w:val="0"/>
                  <w:vAlign w:val="center"/>
                </w:tcPr>
                <w:p w14:paraId="3B32C275">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1"/>
                      <w:szCs w:val="21"/>
                      <w:lang w:val="en-US" w:eastAsia="zh-CN"/>
                    </w:rPr>
                  </w:pPr>
                  <w:r>
                    <w:rPr>
                      <w:rFonts w:hint="eastAsia" w:cs="Times New Roman"/>
                      <w:color w:val="auto"/>
                      <w:spacing w:val="-1"/>
                      <w:szCs w:val="21"/>
                      <w:lang w:val="en-US" w:eastAsia="zh-CN"/>
                    </w:rPr>
                    <w:t>/</w:t>
                  </w:r>
                </w:p>
              </w:tc>
              <w:tc>
                <w:tcPr>
                  <w:tcW w:w="1518" w:type="pct"/>
                  <w:tcBorders>
                    <w:tl2br w:val="nil"/>
                    <w:tr2bl w:val="nil"/>
                  </w:tcBorders>
                  <w:noWrap w:val="0"/>
                  <w:vAlign w:val="center"/>
                </w:tcPr>
                <w:p w14:paraId="6EC6DEBB">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3"/>
                      <w:szCs w:val="21"/>
                      <w:lang w:val="en-US" w:eastAsia="zh-CN"/>
                    </w:rPr>
                  </w:pPr>
                  <w:r>
                    <w:rPr>
                      <w:rFonts w:hint="eastAsia" w:cs="Times New Roman"/>
                      <w:color w:val="auto"/>
                      <w:spacing w:val="-3"/>
                      <w:szCs w:val="21"/>
                      <w:lang w:val="en-US" w:eastAsia="zh-CN"/>
                    </w:rPr>
                    <w:t>外购</w:t>
                  </w:r>
                </w:p>
              </w:tc>
            </w:tr>
            <w:tr w14:paraId="38BE44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0" w:hRule="atLeast"/>
                <w:jc w:val="center"/>
              </w:trPr>
              <w:tc>
                <w:tcPr>
                  <w:tcW w:w="392" w:type="pct"/>
                  <w:tcBorders>
                    <w:tl2br w:val="nil"/>
                    <w:tr2bl w:val="nil"/>
                  </w:tcBorders>
                  <w:noWrap w:val="0"/>
                  <w:vAlign w:val="center"/>
                </w:tcPr>
                <w:p w14:paraId="7842B0D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7"/>
                      <w:kern w:val="2"/>
                      <w:sz w:val="21"/>
                      <w:szCs w:val="21"/>
                      <w:lang w:val="en-US" w:eastAsia="zh-CN" w:bidi="ar-SA"/>
                    </w:rPr>
                  </w:pPr>
                  <w:r>
                    <w:rPr>
                      <w:rFonts w:hint="eastAsia" w:ascii="Times New Roman" w:hAnsi="Times New Roman" w:eastAsia="宋体" w:cs="Times New Roman"/>
                      <w:color w:val="auto"/>
                      <w:spacing w:val="-7"/>
                      <w:kern w:val="2"/>
                      <w:sz w:val="21"/>
                      <w:szCs w:val="21"/>
                      <w:lang w:val="en-US" w:eastAsia="zh-CN" w:bidi="ar-SA"/>
                    </w:rPr>
                    <w:t>27</w:t>
                  </w:r>
                </w:p>
              </w:tc>
              <w:tc>
                <w:tcPr>
                  <w:tcW w:w="786" w:type="pct"/>
                  <w:tcBorders>
                    <w:tl2br w:val="nil"/>
                    <w:tr2bl w:val="nil"/>
                  </w:tcBorders>
                  <w:noWrap w:val="0"/>
                  <w:vAlign w:val="center"/>
                </w:tcPr>
                <w:p w14:paraId="10E8E01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4"/>
                      <w:szCs w:val="21"/>
                      <w:lang w:val="en-US" w:eastAsia="zh-CN"/>
                    </w:rPr>
                  </w:pPr>
                  <w:r>
                    <w:rPr>
                      <w:rFonts w:hint="eastAsia" w:ascii="Times New Roman" w:hAnsi="Times New Roman" w:eastAsia="宋体" w:cs="Times New Roman"/>
                      <w:color w:val="auto"/>
                      <w:spacing w:val="-4"/>
                      <w:szCs w:val="21"/>
                      <w:lang w:val="en-US" w:eastAsia="zh-CN"/>
                    </w:rPr>
                    <w:t>荧光灯管</w:t>
                  </w:r>
                </w:p>
              </w:tc>
              <w:tc>
                <w:tcPr>
                  <w:tcW w:w="384" w:type="pct"/>
                  <w:tcBorders>
                    <w:tl2br w:val="nil"/>
                    <w:tr2bl w:val="nil"/>
                  </w:tcBorders>
                  <w:noWrap w:val="0"/>
                  <w:vAlign w:val="center"/>
                </w:tcPr>
                <w:p w14:paraId="4C50548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2"/>
                      <w:szCs w:val="21"/>
                      <w:lang w:val="en-US" w:eastAsia="zh-CN"/>
                    </w:rPr>
                  </w:pPr>
                  <w:r>
                    <w:rPr>
                      <w:rFonts w:hint="eastAsia" w:ascii="Times New Roman" w:hAnsi="Times New Roman" w:eastAsia="宋体" w:cs="Times New Roman"/>
                      <w:color w:val="auto"/>
                      <w:spacing w:val="-2"/>
                      <w:szCs w:val="21"/>
                      <w:lang w:val="en-US" w:eastAsia="zh-CN"/>
                    </w:rPr>
                    <w:t>根/年</w:t>
                  </w:r>
                </w:p>
              </w:tc>
              <w:tc>
                <w:tcPr>
                  <w:tcW w:w="577" w:type="pct"/>
                  <w:tcBorders>
                    <w:tl2br w:val="nil"/>
                    <w:tr2bl w:val="nil"/>
                  </w:tcBorders>
                  <w:noWrap w:val="0"/>
                  <w:vAlign w:val="center"/>
                </w:tcPr>
                <w:p w14:paraId="4AC593D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2"/>
                      <w:szCs w:val="21"/>
                      <w:lang w:val="en-US" w:eastAsia="zh-CN"/>
                    </w:rPr>
                  </w:pPr>
                  <w:r>
                    <w:rPr>
                      <w:rFonts w:hint="eastAsia" w:ascii="Times New Roman" w:hAnsi="Times New Roman" w:eastAsia="宋体" w:cs="Times New Roman"/>
                      <w:color w:val="auto"/>
                      <w:spacing w:val="-2"/>
                      <w:szCs w:val="21"/>
                      <w:lang w:val="en-US" w:eastAsia="zh-CN"/>
                    </w:rPr>
                    <w:t>5根</w:t>
                  </w:r>
                </w:p>
              </w:tc>
              <w:tc>
                <w:tcPr>
                  <w:tcW w:w="670" w:type="pct"/>
                  <w:tcBorders>
                    <w:tl2br w:val="nil"/>
                    <w:tr2bl w:val="nil"/>
                  </w:tcBorders>
                  <w:noWrap w:val="0"/>
                  <w:vAlign w:val="center"/>
                </w:tcPr>
                <w:p w14:paraId="45427A8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2"/>
                      <w:szCs w:val="21"/>
                      <w:lang w:val="en-US" w:eastAsia="zh-CN"/>
                    </w:rPr>
                  </w:pPr>
                  <w:r>
                    <w:rPr>
                      <w:rFonts w:hint="eastAsia" w:ascii="Times New Roman" w:hAnsi="Times New Roman" w:eastAsia="宋体" w:cs="Times New Roman"/>
                      <w:color w:val="auto"/>
                      <w:spacing w:val="-2"/>
                      <w:szCs w:val="21"/>
                      <w:lang w:val="en-US" w:eastAsia="zh-CN"/>
                    </w:rPr>
                    <w:t>5根</w:t>
                  </w:r>
                </w:p>
              </w:tc>
              <w:tc>
                <w:tcPr>
                  <w:tcW w:w="670" w:type="pct"/>
                  <w:tcBorders>
                    <w:tl2br w:val="nil"/>
                    <w:tr2bl w:val="nil"/>
                  </w:tcBorders>
                  <w:noWrap w:val="0"/>
                  <w:vAlign w:val="center"/>
                </w:tcPr>
                <w:p w14:paraId="387F58D9">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1"/>
                      <w:szCs w:val="21"/>
                      <w:lang w:val="en-US" w:eastAsia="zh-CN"/>
                    </w:rPr>
                  </w:pPr>
                  <w:r>
                    <w:rPr>
                      <w:rFonts w:hint="eastAsia" w:ascii="Times New Roman" w:hAnsi="Times New Roman" w:eastAsia="宋体" w:cs="Times New Roman"/>
                      <w:color w:val="auto"/>
                      <w:spacing w:val="-1"/>
                      <w:szCs w:val="21"/>
                      <w:lang w:val="en-US" w:eastAsia="zh-CN"/>
                    </w:rPr>
                    <w:t>/</w:t>
                  </w:r>
                </w:p>
              </w:tc>
              <w:tc>
                <w:tcPr>
                  <w:tcW w:w="1518" w:type="pct"/>
                  <w:tcBorders>
                    <w:tl2br w:val="nil"/>
                    <w:tr2bl w:val="nil"/>
                  </w:tcBorders>
                  <w:noWrap w:val="0"/>
                  <w:vAlign w:val="center"/>
                </w:tcPr>
                <w:p w14:paraId="6456DC02">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3"/>
                      <w:szCs w:val="21"/>
                      <w:lang w:val="en-US" w:eastAsia="zh-CN"/>
                    </w:rPr>
                  </w:pPr>
                  <w:r>
                    <w:rPr>
                      <w:rFonts w:hint="eastAsia" w:ascii="Times New Roman" w:hAnsi="Times New Roman" w:eastAsia="宋体" w:cs="Times New Roman"/>
                      <w:color w:val="auto"/>
                      <w:spacing w:val="-3"/>
                      <w:szCs w:val="21"/>
                      <w:lang w:val="en-US" w:eastAsia="zh-CN"/>
                    </w:rPr>
                    <w:t>外购</w:t>
                  </w:r>
                </w:p>
              </w:tc>
            </w:tr>
            <w:tr w14:paraId="6295F9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0" w:hRule="atLeast"/>
                <w:jc w:val="center"/>
              </w:trPr>
              <w:tc>
                <w:tcPr>
                  <w:tcW w:w="392" w:type="pct"/>
                  <w:tcBorders>
                    <w:tl2br w:val="nil"/>
                    <w:tr2bl w:val="nil"/>
                  </w:tcBorders>
                  <w:noWrap w:val="0"/>
                  <w:vAlign w:val="center"/>
                </w:tcPr>
                <w:p w14:paraId="1C6CC3D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7"/>
                      <w:kern w:val="2"/>
                      <w:sz w:val="21"/>
                      <w:szCs w:val="21"/>
                      <w:lang w:val="en-US" w:eastAsia="zh-CN" w:bidi="ar-SA"/>
                    </w:rPr>
                  </w:pPr>
                  <w:r>
                    <w:rPr>
                      <w:rFonts w:hint="eastAsia" w:ascii="Times New Roman" w:hAnsi="Times New Roman" w:eastAsia="宋体" w:cs="Times New Roman"/>
                      <w:color w:val="auto"/>
                      <w:spacing w:val="-7"/>
                      <w:szCs w:val="21"/>
                      <w:lang w:val="en-US" w:eastAsia="zh-CN"/>
                    </w:rPr>
                    <w:t>28</w:t>
                  </w:r>
                </w:p>
              </w:tc>
              <w:tc>
                <w:tcPr>
                  <w:tcW w:w="786" w:type="pct"/>
                  <w:tcBorders>
                    <w:tl2br w:val="nil"/>
                    <w:tr2bl w:val="nil"/>
                  </w:tcBorders>
                  <w:noWrap w:val="0"/>
                  <w:vAlign w:val="center"/>
                </w:tcPr>
                <w:p w14:paraId="2908140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color w:val="auto"/>
                      <w:spacing w:val="-4"/>
                      <w:szCs w:val="21"/>
                      <w:lang w:val="en-US" w:eastAsia="zh-CN"/>
                    </w:rPr>
                  </w:pPr>
                  <w:r>
                    <w:rPr>
                      <w:rFonts w:hint="eastAsia" w:ascii="Times New Roman" w:hAnsi="Times New Roman" w:eastAsia="宋体" w:cs="Times New Roman"/>
                      <w:color w:val="auto"/>
                      <w:spacing w:val="-4"/>
                      <w:szCs w:val="21"/>
                      <w:lang w:val="en-US" w:eastAsia="zh-CN"/>
                    </w:rPr>
                    <w:t>水</w:t>
                  </w:r>
                </w:p>
              </w:tc>
              <w:tc>
                <w:tcPr>
                  <w:tcW w:w="384" w:type="pct"/>
                  <w:tcBorders>
                    <w:tl2br w:val="nil"/>
                    <w:tr2bl w:val="nil"/>
                  </w:tcBorders>
                  <w:noWrap w:val="0"/>
                  <w:vAlign w:val="center"/>
                </w:tcPr>
                <w:p w14:paraId="029C0EE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1"/>
                      <w:kern w:val="2"/>
                      <w:sz w:val="21"/>
                      <w:szCs w:val="21"/>
                      <w:lang w:val="en-US" w:eastAsia="zh-CN" w:bidi="ar-SA"/>
                    </w:rPr>
                  </w:pPr>
                  <w:r>
                    <w:rPr>
                      <w:rFonts w:hint="eastAsia" w:ascii="Times New Roman" w:hAnsi="Times New Roman" w:eastAsia="宋体" w:cs="Times New Roman"/>
                      <w:color w:val="auto"/>
                      <w:spacing w:val="-1"/>
                      <w:kern w:val="2"/>
                      <w:sz w:val="21"/>
                      <w:szCs w:val="21"/>
                      <w:lang w:val="en-US" w:eastAsia="zh-CN" w:bidi="ar-SA"/>
                    </w:rPr>
                    <w:t>立方</w:t>
                  </w:r>
                </w:p>
              </w:tc>
              <w:tc>
                <w:tcPr>
                  <w:tcW w:w="577" w:type="pct"/>
                  <w:tcBorders>
                    <w:tl2br w:val="nil"/>
                    <w:tr2bl w:val="nil"/>
                  </w:tcBorders>
                  <w:noWrap w:val="0"/>
                  <w:vAlign w:val="center"/>
                </w:tcPr>
                <w:p w14:paraId="2AAB6EC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2"/>
                      <w:kern w:val="2"/>
                      <w:sz w:val="21"/>
                      <w:szCs w:val="21"/>
                      <w:lang w:val="en-US" w:eastAsia="zh-CN" w:bidi="ar-SA"/>
                    </w:rPr>
                  </w:pPr>
                  <w:r>
                    <w:rPr>
                      <w:rFonts w:hint="eastAsia" w:ascii="Times New Roman" w:hAnsi="Times New Roman" w:eastAsia="宋体" w:cs="Times New Roman"/>
                      <w:color w:val="auto"/>
                      <w:spacing w:val="-2"/>
                      <w:kern w:val="2"/>
                      <w:sz w:val="21"/>
                      <w:szCs w:val="21"/>
                      <w:lang w:val="en-US" w:eastAsia="zh-CN" w:bidi="ar-SA"/>
                    </w:rPr>
                    <w:t>1</w:t>
                  </w:r>
                  <w:r>
                    <w:rPr>
                      <w:rFonts w:hint="eastAsia" w:cs="Times New Roman"/>
                      <w:color w:val="auto"/>
                      <w:spacing w:val="-2"/>
                      <w:kern w:val="2"/>
                      <w:sz w:val="21"/>
                      <w:szCs w:val="21"/>
                      <w:lang w:val="en-US" w:eastAsia="zh-CN" w:bidi="ar-SA"/>
                    </w:rPr>
                    <w:t>755</w:t>
                  </w:r>
                </w:p>
              </w:tc>
              <w:tc>
                <w:tcPr>
                  <w:tcW w:w="670" w:type="pct"/>
                  <w:tcBorders>
                    <w:tl2br w:val="nil"/>
                    <w:tr2bl w:val="nil"/>
                  </w:tcBorders>
                  <w:noWrap w:val="0"/>
                  <w:vAlign w:val="center"/>
                </w:tcPr>
                <w:p w14:paraId="0EEBC34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2"/>
                      <w:kern w:val="2"/>
                      <w:sz w:val="21"/>
                      <w:szCs w:val="21"/>
                      <w:lang w:val="en-US" w:eastAsia="zh-CN" w:bidi="ar-SA"/>
                    </w:rPr>
                  </w:pPr>
                  <w:r>
                    <w:rPr>
                      <w:rFonts w:hint="eastAsia" w:ascii="Times New Roman" w:hAnsi="Times New Roman" w:eastAsia="宋体" w:cs="Times New Roman"/>
                      <w:color w:val="auto"/>
                      <w:spacing w:val="-2"/>
                      <w:kern w:val="2"/>
                      <w:sz w:val="21"/>
                      <w:szCs w:val="21"/>
                      <w:lang w:val="en-US" w:eastAsia="zh-CN" w:bidi="ar-SA"/>
                    </w:rPr>
                    <w:t>/</w:t>
                  </w:r>
                </w:p>
              </w:tc>
              <w:tc>
                <w:tcPr>
                  <w:tcW w:w="670" w:type="pct"/>
                  <w:tcBorders>
                    <w:tl2br w:val="nil"/>
                    <w:tr2bl w:val="nil"/>
                  </w:tcBorders>
                  <w:noWrap w:val="0"/>
                  <w:vAlign w:val="center"/>
                </w:tcPr>
                <w:p w14:paraId="76D650C5">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color w:val="auto"/>
                      <w:spacing w:val="-1"/>
                      <w:szCs w:val="21"/>
                      <w:lang w:val="en-US" w:eastAsia="zh-CN"/>
                    </w:rPr>
                  </w:pPr>
                  <w:r>
                    <w:rPr>
                      <w:rFonts w:hint="eastAsia" w:ascii="Times New Roman" w:hAnsi="Times New Roman" w:eastAsia="宋体" w:cs="Times New Roman"/>
                      <w:color w:val="auto"/>
                      <w:spacing w:val="-1"/>
                      <w:szCs w:val="21"/>
                      <w:lang w:val="en-US" w:eastAsia="zh-CN"/>
                    </w:rPr>
                    <w:t>/</w:t>
                  </w:r>
                </w:p>
              </w:tc>
              <w:tc>
                <w:tcPr>
                  <w:tcW w:w="1518" w:type="pct"/>
                  <w:tcBorders>
                    <w:tl2br w:val="nil"/>
                    <w:tr2bl w:val="nil"/>
                  </w:tcBorders>
                  <w:noWrap w:val="0"/>
                  <w:vAlign w:val="center"/>
                </w:tcPr>
                <w:p w14:paraId="45CE14F7">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color w:val="auto"/>
                      <w:spacing w:val="-3"/>
                      <w:szCs w:val="21"/>
                      <w:lang w:val="en-US" w:eastAsia="zh-CN"/>
                    </w:rPr>
                  </w:pPr>
                  <w:r>
                    <w:rPr>
                      <w:rFonts w:hint="eastAsia" w:ascii="Times New Roman" w:hAnsi="Times New Roman" w:eastAsia="宋体" w:cs="Times New Roman"/>
                      <w:color w:val="auto"/>
                      <w:spacing w:val="-3"/>
                      <w:szCs w:val="21"/>
                      <w:lang w:val="en-US" w:eastAsia="zh-CN"/>
                    </w:rPr>
                    <w:t>/</w:t>
                  </w:r>
                </w:p>
              </w:tc>
            </w:tr>
            <w:tr w14:paraId="040BB9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20" w:hRule="atLeast"/>
                <w:jc w:val="center"/>
              </w:trPr>
              <w:tc>
                <w:tcPr>
                  <w:tcW w:w="392" w:type="pct"/>
                  <w:tcBorders>
                    <w:tl2br w:val="nil"/>
                    <w:tr2bl w:val="nil"/>
                  </w:tcBorders>
                  <w:noWrap w:val="0"/>
                  <w:vAlign w:val="center"/>
                </w:tcPr>
                <w:p w14:paraId="10012D24">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7"/>
                      <w:szCs w:val="21"/>
                      <w:lang w:val="en-US" w:eastAsia="zh-CN"/>
                    </w:rPr>
                  </w:pPr>
                  <w:r>
                    <w:rPr>
                      <w:rFonts w:hint="eastAsia" w:ascii="Times New Roman" w:hAnsi="Times New Roman" w:eastAsia="宋体" w:cs="Times New Roman"/>
                      <w:color w:val="auto"/>
                      <w:spacing w:val="-7"/>
                      <w:szCs w:val="21"/>
                      <w:lang w:val="en-US" w:eastAsia="zh-CN"/>
                    </w:rPr>
                    <w:t>29</w:t>
                  </w:r>
                </w:p>
              </w:tc>
              <w:tc>
                <w:tcPr>
                  <w:tcW w:w="786" w:type="pct"/>
                  <w:tcBorders>
                    <w:tl2br w:val="nil"/>
                    <w:tr2bl w:val="nil"/>
                  </w:tcBorders>
                  <w:noWrap w:val="0"/>
                  <w:vAlign w:val="center"/>
                </w:tcPr>
                <w:p w14:paraId="7375B6DA">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pacing w:val="-4"/>
                      <w:szCs w:val="21"/>
                      <w:lang w:val="en-US" w:eastAsia="zh-CN"/>
                    </w:rPr>
                  </w:pPr>
                  <w:r>
                    <w:rPr>
                      <w:rFonts w:hint="eastAsia" w:ascii="Times New Roman" w:hAnsi="Times New Roman" w:eastAsia="宋体" w:cs="Times New Roman"/>
                      <w:color w:val="auto"/>
                      <w:spacing w:val="-4"/>
                      <w:szCs w:val="21"/>
                      <w:lang w:val="en-US" w:eastAsia="zh-CN"/>
                    </w:rPr>
                    <w:t>电</w:t>
                  </w:r>
                </w:p>
              </w:tc>
              <w:tc>
                <w:tcPr>
                  <w:tcW w:w="384" w:type="pct"/>
                  <w:tcBorders>
                    <w:tl2br w:val="nil"/>
                    <w:tr2bl w:val="nil"/>
                  </w:tcBorders>
                  <w:noWrap w:val="0"/>
                  <w:vAlign w:val="center"/>
                </w:tcPr>
                <w:p w14:paraId="24F2A99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spacing w:val="-1"/>
                      <w:kern w:val="2"/>
                      <w:sz w:val="21"/>
                      <w:szCs w:val="21"/>
                      <w:lang w:val="en-US" w:eastAsia="zh-CN" w:bidi="ar-SA"/>
                    </w:rPr>
                  </w:pPr>
                  <w:r>
                    <w:rPr>
                      <w:rFonts w:hint="eastAsia" w:ascii="Times New Roman" w:hAnsi="Times New Roman" w:eastAsia="宋体" w:cs="Times New Roman"/>
                      <w:color w:val="auto"/>
                      <w:spacing w:val="-1"/>
                      <w:szCs w:val="21"/>
                      <w:lang w:val="en-US" w:eastAsia="zh-CN"/>
                    </w:rPr>
                    <w:t>万度</w:t>
                  </w:r>
                </w:p>
              </w:tc>
              <w:tc>
                <w:tcPr>
                  <w:tcW w:w="577" w:type="pct"/>
                  <w:tcBorders>
                    <w:tl2br w:val="nil"/>
                    <w:tr2bl w:val="nil"/>
                  </w:tcBorders>
                  <w:noWrap w:val="0"/>
                  <w:vAlign w:val="center"/>
                </w:tcPr>
                <w:p w14:paraId="3CE1C81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2"/>
                      <w:kern w:val="2"/>
                      <w:sz w:val="21"/>
                      <w:szCs w:val="21"/>
                      <w:lang w:val="en-US" w:eastAsia="zh-CN" w:bidi="ar-SA"/>
                    </w:rPr>
                  </w:pPr>
                  <w:r>
                    <w:rPr>
                      <w:rFonts w:hint="eastAsia" w:ascii="Times New Roman" w:hAnsi="Times New Roman" w:eastAsia="宋体" w:cs="Times New Roman"/>
                      <w:color w:val="auto"/>
                      <w:spacing w:val="-2"/>
                      <w:szCs w:val="21"/>
                      <w:lang w:val="en-US" w:eastAsia="zh-CN"/>
                    </w:rPr>
                    <w:t>20</w:t>
                  </w:r>
                </w:p>
              </w:tc>
              <w:tc>
                <w:tcPr>
                  <w:tcW w:w="670" w:type="pct"/>
                  <w:tcBorders>
                    <w:tl2br w:val="nil"/>
                    <w:tr2bl w:val="nil"/>
                  </w:tcBorders>
                  <w:noWrap w:val="0"/>
                  <w:vAlign w:val="center"/>
                </w:tcPr>
                <w:p w14:paraId="607F41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2"/>
                      <w:szCs w:val="21"/>
                      <w:lang w:val="en-US" w:eastAsia="zh-CN"/>
                    </w:rPr>
                  </w:pPr>
                  <w:r>
                    <w:rPr>
                      <w:rFonts w:hint="eastAsia" w:ascii="Times New Roman" w:hAnsi="Times New Roman" w:eastAsia="宋体" w:cs="Times New Roman"/>
                      <w:color w:val="auto"/>
                      <w:spacing w:val="-2"/>
                      <w:szCs w:val="21"/>
                      <w:lang w:val="en-US" w:eastAsia="zh-CN"/>
                    </w:rPr>
                    <w:t>/</w:t>
                  </w:r>
                </w:p>
              </w:tc>
              <w:tc>
                <w:tcPr>
                  <w:tcW w:w="670" w:type="pct"/>
                  <w:tcBorders>
                    <w:tl2br w:val="nil"/>
                    <w:tr2bl w:val="nil"/>
                  </w:tcBorders>
                  <w:noWrap w:val="0"/>
                  <w:vAlign w:val="center"/>
                </w:tcPr>
                <w:p w14:paraId="04F2745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color w:val="auto"/>
                      <w:spacing w:val="-1"/>
                      <w:szCs w:val="21"/>
                      <w:lang w:val="en-US" w:eastAsia="zh-CN"/>
                    </w:rPr>
                  </w:pPr>
                  <w:r>
                    <w:rPr>
                      <w:rFonts w:hint="eastAsia" w:ascii="Times New Roman" w:hAnsi="Times New Roman" w:eastAsia="宋体" w:cs="Times New Roman"/>
                      <w:color w:val="auto"/>
                      <w:spacing w:val="-1"/>
                      <w:szCs w:val="21"/>
                      <w:lang w:val="en-US" w:eastAsia="zh-CN"/>
                    </w:rPr>
                    <w:t>/</w:t>
                  </w:r>
                </w:p>
              </w:tc>
              <w:tc>
                <w:tcPr>
                  <w:tcW w:w="1518" w:type="pct"/>
                  <w:tcBorders>
                    <w:tl2br w:val="nil"/>
                    <w:tr2bl w:val="nil"/>
                  </w:tcBorders>
                  <w:noWrap w:val="0"/>
                  <w:vAlign w:val="center"/>
                </w:tcPr>
                <w:p w14:paraId="1264C909">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color w:val="auto"/>
                      <w:spacing w:val="-3"/>
                      <w:szCs w:val="21"/>
                      <w:lang w:val="en-US" w:eastAsia="zh-CN"/>
                    </w:rPr>
                  </w:pPr>
                  <w:r>
                    <w:rPr>
                      <w:rFonts w:hint="eastAsia" w:ascii="Times New Roman" w:hAnsi="Times New Roman" w:eastAsia="宋体" w:cs="Times New Roman"/>
                      <w:color w:val="auto"/>
                      <w:spacing w:val="-3"/>
                      <w:szCs w:val="21"/>
                      <w:lang w:val="en-US" w:eastAsia="zh-CN"/>
                    </w:rPr>
                    <w:t>/</w:t>
                  </w:r>
                </w:p>
              </w:tc>
            </w:tr>
          </w:tbl>
          <w:p w14:paraId="3FDC92BF">
            <w:pPr>
              <w:spacing w:before="120" w:beforeLines="50" w:line="360" w:lineRule="auto"/>
              <w:ind w:firstLine="480" w:firstLineChars="200"/>
              <w:rPr>
                <w:rFonts w:hint="eastAsia"/>
                <w:color w:val="auto"/>
                <w:sz w:val="24"/>
              </w:rPr>
            </w:pPr>
            <w:r>
              <w:rPr>
                <w:rFonts w:hint="eastAsia"/>
                <w:color w:val="auto"/>
                <w:sz w:val="24"/>
              </w:rPr>
              <w:t>（2）主要原辅材料理化性质</w:t>
            </w:r>
          </w:p>
          <w:p w14:paraId="14987634">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sz w:val="24"/>
              </w:rPr>
            </w:pPr>
            <w:r>
              <w:rPr>
                <w:rFonts w:hint="eastAsia"/>
                <w:b/>
                <w:bCs/>
                <w:color w:val="auto"/>
                <w:sz w:val="24"/>
              </w:rPr>
              <w:t>表2-</w:t>
            </w:r>
            <w:r>
              <w:rPr>
                <w:rFonts w:hint="eastAsia"/>
                <w:b/>
                <w:bCs/>
                <w:color w:val="auto"/>
                <w:sz w:val="24"/>
                <w:lang w:val="en-US" w:eastAsia="zh-CN"/>
              </w:rPr>
              <w:t>4</w:t>
            </w:r>
            <w:r>
              <w:rPr>
                <w:rFonts w:hint="eastAsia"/>
                <w:b/>
                <w:bCs/>
                <w:color w:val="auto"/>
                <w:sz w:val="24"/>
              </w:rPr>
              <w:t xml:space="preserve">  项目主要原辅材料理化性质一览表</w:t>
            </w:r>
          </w:p>
          <w:tbl>
            <w:tblPr>
              <w:tblStyle w:val="25"/>
              <w:tblW w:w="821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87"/>
              <w:gridCol w:w="7124"/>
            </w:tblGrid>
            <w:tr w14:paraId="798FBA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7" w:type="dxa"/>
                  <w:noWrap w:val="0"/>
                  <w:vAlign w:val="center"/>
                </w:tcPr>
                <w:p w14:paraId="25A03CB6">
                  <w:pPr>
                    <w:jc w:val="center"/>
                    <w:rPr>
                      <w:b/>
                      <w:bCs/>
                      <w:color w:val="auto"/>
                      <w:szCs w:val="21"/>
                    </w:rPr>
                  </w:pPr>
                  <w:r>
                    <w:rPr>
                      <w:rFonts w:hint="eastAsia"/>
                      <w:b/>
                      <w:bCs/>
                      <w:color w:val="auto"/>
                      <w:szCs w:val="21"/>
                    </w:rPr>
                    <w:t>名称</w:t>
                  </w:r>
                </w:p>
              </w:tc>
              <w:tc>
                <w:tcPr>
                  <w:tcW w:w="7124" w:type="dxa"/>
                  <w:noWrap w:val="0"/>
                  <w:vAlign w:val="center"/>
                </w:tcPr>
                <w:p w14:paraId="4FEF7156">
                  <w:pPr>
                    <w:jc w:val="center"/>
                    <w:rPr>
                      <w:b/>
                      <w:bCs/>
                      <w:color w:val="auto"/>
                      <w:szCs w:val="21"/>
                    </w:rPr>
                  </w:pPr>
                  <w:r>
                    <w:rPr>
                      <w:rFonts w:hint="eastAsia"/>
                      <w:b/>
                      <w:bCs/>
                      <w:color w:val="auto"/>
                      <w:szCs w:val="21"/>
                    </w:rPr>
                    <w:t>理化性质</w:t>
                  </w:r>
                </w:p>
              </w:tc>
            </w:tr>
            <w:tr w14:paraId="23808C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087" w:type="dxa"/>
                  <w:noWrap w:val="0"/>
                  <w:vAlign w:val="center"/>
                </w:tcPr>
                <w:p w14:paraId="0C01F37B">
                  <w:pPr>
                    <w:jc w:val="center"/>
                    <w:rPr>
                      <w:rFonts w:hint="default" w:eastAsia="宋体"/>
                      <w:color w:val="auto"/>
                      <w:szCs w:val="21"/>
                      <w:lang w:val="en-US" w:eastAsia="zh-CN"/>
                    </w:rPr>
                  </w:pPr>
                  <w:r>
                    <w:rPr>
                      <w:rFonts w:hint="eastAsia" w:eastAsia="宋体"/>
                      <w:color w:val="auto"/>
                      <w:szCs w:val="21"/>
                      <w:lang w:val="en-US" w:eastAsia="zh-CN"/>
                    </w:rPr>
                    <w:t>原子灰</w:t>
                  </w:r>
                </w:p>
              </w:tc>
              <w:tc>
                <w:tcPr>
                  <w:tcW w:w="7124" w:type="dxa"/>
                  <w:noWrap w:val="0"/>
                  <w:vAlign w:val="center"/>
                </w:tcPr>
                <w:p w14:paraId="15F05C88">
                  <w:pPr>
                    <w:rPr>
                      <w:rFonts w:hint="eastAsia" w:eastAsia="宋体"/>
                      <w:color w:val="auto"/>
                      <w:szCs w:val="21"/>
                      <w:lang w:eastAsia="zh-CN"/>
                    </w:rPr>
                  </w:pPr>
                  <w:r>
                    <w:rPr>
                      <w:rFonts w:hint="eastAsia"/>
                      <w:color w:val="auto"/>
                      <w:szCs w:val="21"/>
                    </w:rPr>
                    <w:t>原子灰俗称腻子，又称不饱和聚酯树脂腻子</w:t>
                  </w:r>
                  <w:r>
                    <w:rPr>
                      <w:rFonts w:hint="eastAsia"/>
                      <w:color w:val="auto"/>
                      <w:szCs w:val="21"/>
                      <w:lang w:eastAsia="zh-CN"/>
                    </w:rPr>
                    <w:t>。是一种高分子材料，由主体灰（基灰）和固化剂两部分组成，主体灰的成分多是不饱和聚酯树脂和填料，固化剂的成分一般是引发剂和增塑剂，起到引发聚合，增强性能的作用。不饱和聚酯树脂是主体，在引发以后发生聚合，快速成型固化，粘附在物体表面。这种能够在物质表面粘附并快速成型的性质，特别适合表面涂料类的应用，比如汽车、轮船、家具等行业。</w:t>
                  </w:r>
                </w:p>
              </w:tc>
            </w:tr>
            <w:tr w14:paraId="541869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87" w:type="dxa"/>
                  <w:noWrap w:val="0"/>
                  <w:vAlign w:val="center"/>
                </w:tcPr>
                <w:p w14:paraId="617BD12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7"/>
                      <w:szCs w:val="21"/>
                    </w:rPr>
                    <w:t>中涂漆主漆</w:t>
                  </w:r>
                </w:p>
              </w:tc>
              <w:tc>
                <w:tcPr>
                  <w:tcW w:w="7124" w:type="dxa"/>
                  <w:noWrap w:val="0"/>
                  <w:vAlign w:val="center"/>
                </w:tcPr>
                <w:p w14:paraId="2DC880B4">
                  <w:pPr>
                    <w:rPr>
                      <w:rFonts w:hint="default" w:eastAsia="宋体"/>
                      <w:color w:val="auto"/>
                      <w:szCs w:val="21"/>
                      <w:lang w:val="en-US" w:eastAsia="zh-CN"/>
                    </w:rPr>
                  </w:pPr>
                  <w:r>
                    <w:rPr>
                      <w:rFonts w:hint="default" w:eastAsia="宋体"/>
                      <w:color w:val="auto"/>
                      <w:szCs w:val="21"/>
                      <w:lang w:val="en-US" w:eastAsia="zh-CN"/>
                    </w:rPr>
                    <w:t>水溶性部分混溶，蒸发速率比醚慢。远离氧化剂，强酸和强碱，以防止放热反应；如遇高温，可能产生有害分解物，如一氧化碳、二氧化碳、氮氧化物。</w:t>
                  </w:r>
                </w:p>
              </w:tc>
            </w:tr>
            <w:tr w14:paraId="498AB8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087" w:type="dxa"/>
                  <w:noWrap w:val="0"/>
                  <w:vAlign w:val="center"/>
                </w:tcPr>
                <w:p w14:paraId="4BA17DE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3"/>
                      <w:szCs w:val="21"/>
                    </w:rPr>
                    <w:t>水性底色漆</w:t>
                  </w:r>
                </w:p>
              </w:tc>
              <w:tc>
                <w:tcPr>
                  <w:tcW w:w="7124" w:type="dxa"/>
                  <w:noWrap w:val="0"/>
                  <w:vAlign w:val="center"/>
                </w:tcPr>
                <w:p w14:paraId="47AEB1B9">
                  <w:pPr>
                    <w:rPr>
                      <w:rFonts w:hint="default" w:eastAsia="宋体"/>
                      <w:color w:val="auto"/>
                      <w:szCs w:val="21"/>
                      <w:lang w:val="en-US" w:eastAsia="zh-CN"/>
                    </w:rPr>
                  </w:pPr>
                  <w:r>
                    <w:rPr>
                      <w:rFonts w:hint="default" w:eastAsia="宋体"/>
                      <w:color w:val="auto"/>
                      <w:szCs w:val="21"/>
                      <w:lang w:val="en-US" w:eastAsia="zh-CN"/>
                    </w:rPr>
                    <w:t>水性底漆为水溶性环保型金属防护底漆的简称。以水性树脂、无铅颜料、水等组成，具有干燥快、防护性能优等特点，可用于金属底材的底层保护用涂料。该涂料可采用浸涂、淋涂、喷涂等方法施工，适用于工业设备、交通工具和民用产品中金属底材的涂饰，特别适用于出口钢材表面的保护涂饰。</w:t>
                  </w:r>
                </w:p>
              </w:tc>
            </w:tr>
            <w:tr w14:paraId="675C50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087" w:type="dxa"/>
                  <w:noWrap w:val="0"/>
                  <w:vAlign w:val="center"/>
                </w:tcPr>
                <w:p w14:paraId="325C020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4"/>
                      <w:szCs w:val="21"/>
                    </w:rPr>
                    <w:t>清漆</w:t>
                  </w:r>
                </w:p>
              </w:tc>
              <w:tc>
                <w:tcPr>
                  <w:tcW w:w="7124" w:type="dxa"/>
                  <w:noWrap w:val="0"/>
                  <w:vAlign w:val="center"/>
                </w:tcPr>
                <w:p w14:paraId="38A18452">
                  <w:pPr>
                    <w:rPr>
                      <w:rFonts w:hint="default" w:eastAsia="宋体"/>
                      <w:color w:val="auto"/>
                      <w:szCs w:val="21"/>
                      <w:lang w:val="en-US" w:eastAsia="zh-CN"/>
                    </w:rPr>
                  </w:pPr>
                  <w:r>
                    <w:rPr>
                      <w:rFonts w:hint="default" w:eastAsia="宋体"/>
                      <w:color w:val="auto"/>
                      <w:szCs w:val="21"/>
                      <w:lang w:val="en-US" w:eastAsia="zh-CN"/>
                    </w:rPr>
                    <w:t>又名凡立水，是由树脂为主要成膜物质再加上溶剂组成的涂料。涂于物体表面后，形成具有保护、装饰和特殊性能的涂膜，干燥后形成光滑薄膜，显出物面原有的花纹。</w:t>
                  </w:r>
                </w:p>
              </w:tc>
            </w:tr>
            <w:tr w14:paraId="646184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7" w:type="dxa"/>
                  <w:noWrap w:val="0"/>
                  <w:vAlign w:val="center"/>
                </w:tcPr>
                <w:p w14:paraId="19D168E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7"/>
                      <w:szCs w:val="21"/>
                    </w:rPr>
                    <w:t>稀释剂</w:t>
                  </w:r>
                </w:p>
              </w:tc>
              <w:tc>
                <w:tcPr>
                  <w:tcW w:w="7124" w:type="dxa"/>
                  <w:noWrap w:val="0"/>
                  <w:vAlign w:val="center"/>
                </w:tcPr>
                <w:p w14:paraId="0DCD3FEA">
                  <w:pPr>
                    <w:rPr>
                      <w:rFonts w:hint="default" w:eastAsia="宋体"/>
                      <w:color w:val="auto"/>
                      <w:kern w:val="2"/>
                      <w:sz w:val="21"/>
                      <w:szCs w:val="21"/>
                      <w:lang w:val="en-US" w:eastAsia="zh-CN" w:bidi="ar-SA"/>
                    </w:rPr>
                  </w:pPr>
                  <w:r>
                    <w:rPr>
                      <w:rFonts w:hint="default" w:eastAsia="宋体"/>
                      <w:color w:val="auto"/>
                      <w:szCs w:val="21"/>
                      <w:lang w:val="en-US" w:eastAsia="zh-CN"/>
                    </w:rPr>
                    <w:t>又称香蕉水，由多种有机溶剂配制而成的无色透明易挥发的液体</w:t>
                  </w:r>
                  <w:r>
                    <w:rPr>
                      <w:rFonts w:hint="eastAsia" w:eastAsia="宋体"/>
                      <w:color w:val="auto"/>
                      <w:szCs w:val="21"/>
                      <w:lang w:val="en-US" w:eastAsia="zh-CN"/>
                    </w:rPr>
                    <w:t>。</w:t>
                  </w:r>
                </w:p>
              </w:tc>
            </w:tr>
            <w:tr w14:paraId="4A136C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087" w:type="dxa"/>
                  <w:noWrap w:val="0"/>
                  <w:vAlign w:val="center"/>
                </w:tcPr>
                <w:p w14:paraId="6FE980E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3"/>
                      <w:szCs w:val="21"/>
                    </w:rPr>
                    <w:t>固化剂</w:t>
                  </w:r>
                </w:p>
              </w:tc>
              <w:tc>
                <w:tcPr>
                  <w:tcW w:w="7124" w:type="dxa"/>
                  <w:noWrap w:val="0"/>
                  <w:vAlign w:val="center"/>
                </w:tcPr>
                <w:p w14:paraId="36F193D4">
                  <w:pPr>
                    <w:rPr>
                      <w:rFonts w:hint="default" w:eastAsia="宋体"/>
                      <w:color w:val="auto"/>
                      <w:szCs w:val="21"/>
                      <w:lang w:val="en-US" w:eastAsia="zh-CN"/>
                    </w:rPr>
                  </w:pPr>
                  <w:r>
                    <w:rPr>
                      <w:rFonts w:hint="default" w:eastAsia="宋体"/>
                      <w:color w:val="auto"/>
                      <w:szCs w:val="21"/>
                      <w:lang w:val="en-US" w:eastAsia="zh-CN"/>
                    </w:rPr>
                    <w:t>固化剂又名硬化剂、熟化剂或变定剂，是一类增进或控制固化反应的物质或混合物。树脂固化是经过缩合、闭环、加成或催化等化学反应，使热固性树脂发生不可逆的变化过程，固化是通过添加固化（交联）剂来完成的。</w:t>
                  </w:r>
                </w:p>
              </w:tc>
            </w:tr>
          </w:tbl>
          <w:p w14:paraId="41649E40">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0" w:firstLineChars="200"/>
              <w:textAlignment w:val="auto"/>
              <w:rPr>
                <w:rFonts w:hint="default" w:eastAsia="宋体"/>
                <w:b w:val="0"/>
                <w:bCs w:val="0"/>
                <w:color w:val="auto"/>
                <w:sz w:val="24"/>
                <w:lang w:val="en-US" w:eastAsia="zh-CN"/>
              </w:rPr>
            </w:pPr>
            <w:r>
              <w:rPr>
                <w:rFonts w:hint="eastAsia"/>
                <w:b w:val="0"/>
                <w:bCs w:val="0"/>
                <w:color w:val="auto"/>
                <w:sz w:val="24"/>
                <w:lang w:val="en-US" w:eastAsia="zh-CN"/>
              </w:rPr>
              <w:t>（3）项目漆料主要成分一览表</w:t>
            </w:r>
          </w:p>
          <w:p w14:paraId="5CEC4C92">
            <w:pPr>
              <w:pStyle w:val="84"/>
              <w:spacing w:line="240" w:lineRule="auto"/>
              <w:ind w:firstLine="0" w:firstLineChars="0"/>
              <w:jc w:val="center"/>
              <w:rPr>
                <w:rFonts w:hint="eastAsia"/>
                <w:b/>
                <w:bCs/>
                <w:color w:val="auto"/>
                <w:szCs w:val="32"/>
                <w:highlight w:val="none"/>
              </w:rPr>
            </w:pPr>
            <w:r>
              <w:rPr>
                <w:rFonts w:hint="eastAsia"/>
                <w:b/>
                <w:bCs/>
                <w:color w:val="auto"/>
                <w:szCs w:val="32"/>
                <w:highlight w:val="none"/>
              </w:rPr>
              <w:t>表2-</w:t>
            </w:r>
            <w:r>
              <w:rPr>
                <w:rFonts w:hint="eastAsia"/>
                <w:b/>
                <w:bCs/>
                <w:color w:val="auto"/>
                <w:szCs w:val="32"/>
                <w:highlight w:val="none"/>
                <w:lang w:val="en-US" w:eastAsia="zh-CN"/>
              </w:rPr>
              <w:t>5</w:t>
            </w:r>
            <w:r>
              <w:rPr>
                <w:rFonts w:hint="eastAsia"/>
                <w:b/>
                <w:bCs/>
                <w:color w:val="auto"/>
                <w:szCs w:val="32"/>
                <w:highlight w:val="none"/>
              </w:rPr>
              <w:t xml:space="preserve">  项目漆料</w:t>
            </w:r>
            <w:r>
              <w:rPr>
                <w:rFonts w:hint="eastAsia"/>
                <w:b/>
                <w:bCs/>
                <w:color w:val="auto"/>
                <w:szCs w:val="32"/>
                <w:highlight w:val="none"/>
                <w:lang w:val="en-US" w:eastAsia="zh-CN"/>
              </w:rPr>
              <w:t>主要成分</w:t>
            </w:r>
            <w:r>
              <w:rPr>
                <w:rFonts w:hint="eastAsia"/>
                <w:b/>
                <w:bCs/>
                <w:color w:val="auto"/>
                <w:szCs w:val="32"/>
                <w:highlight w:val="none"/>
              </w:rPr>
              <w:t>一览表</w:t>
            </w:r>
          </w:p>
          <w:tbl>
            <w:tblPr>
              <w:tblStyle w:val="25"/>
              <w:tblW w:w="821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77"/>
              <w:gridCol w:w="1620"/>
              <w:gridCol w:w="5614"/>
            </w:tblGrid>
            <w:tr w14:paraId="130668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7" w:type="dxa"/>
                  <w:noWrap w:val="0"/>
                  <w:vAlign w:val="center"/>
                </w:tcPr>
                <w:p w14:paraId="0C030F08">
                  <w:pPr>
                    <w:pStyle w:val="84"/>
                    <w:spacing w:line="240" w:lineRule="auto"/>
                    <w:ind w:firstLine="0" w:firstLineChars="0"/>
                    <w:jc w:val="center"/>
                    <w:rPr>
                      <w:b/>
                      <w:bCs/>
                      <w:color w:val="auto"/>
                      <w:sz w:val="21"/>
                      <w:szCs w:val="21"/>
                      <w:highlight w:val="none"/>
                    </w:rPr>
                  </w:pPr>
                  <w:r>
                    <w:rPr>
                      <w:rFonts w:hint="eastAsia"/>
                      <w:b/>
                      <w:bCs/>
                      <w:color w:val="auto"/>
                      <w:sz w:val="21"/>
                      <w:szCs w:val="21"/>
                      <w:highlight w:val="none"/>
                    </w:rPr>
                    <w:t>序号</w:t>
                  </w:r>
                </w:p>
              </w:tc>
              <w:tc>
                <w:tcPr>
                  <w:tcW w:w="1620" w:type="dxa"/>
                  <w:noWrap w:val="0"/>
                  <w:vAlign w:val="center"/>
                </w:tcPr>
                <w:p w14:paraId="364C26C8">
                  <w:pPr>
                    <w:pStyle w:val="84"/>
                    <w:spacing w:line="240" w:lineRule="auto"/>
                    <w:ind w:firstLine="0" w:firstLineChars="0"/>
                    <w:jc w:val="center"/>
                    <w:rPr>
                      <w:b/>
                      <w:bCs/>
                      <w:color w:val="auto"/>
                      <w:sz w:val="21"/>
                      <w:szCs w:val="21"/>
                      <w:highlight w:val="none"/>
                    </w:rPr>
                  </w:pPr>
                  <w:r>
                    <w:rPr>
                      <w:rFonts w:hint="eastAsia"/>
                      <w:b/>
                      <w:bCs/>
                      <w:color w:val="auto"/>
                      <w:sz w:val="21"/>
                      <w:szCs w:val="21"/>
                      <w:highlight w:val="none"/>
                    </w:rPr>
                    <w:t>名称</w:t>
                  </w:r>
                </w:p>
              </w:tc>
              <w:tc>
                <w:tcPr>
                  <w:tcW w:w="5614" w:type="dxa"/>
                  <w:noWrap w:val="0"/>
                  <w:vAlign w:val="center"/>
                </w:tcPr>
                <w:p w14:paraId="2C348E8A">
                  <w:pPr>
                    <w:pStyle w:val="84"/>
                    <w:spacing w:line="240" w:lineRule="auto"/>
                    <w:ind w:firstLine="0" w:firstLineChars="0"/>
                    <w:jc w:val="center"/>
                    <w:rPr>
                      <w:b/>
                      <w:bCs/>
                      <w:color w:val="auto"/>
                      <w:sz w:val="21"/>
                      <w:szCs w:val="21"/>
                      <w:highlight w:val="none"/>
                    </w:rPr>
                  </w:pPr>
                  <w:r>
                    <w:rPr>
                      <w:rFonts w:hint="eastAsia"/>
                      <w:b/>
                      <w:bCs/>
                      <w:color w:val="auto"/>
                      <w:sz w:val="21"/>
                      <w:szCs w:val="21"/>
                      <w:highlight w:val="none"/>
                    </w:rPr>
                    <w:t>主要成分</w:t>
                  </w:r>
                </w:p>
              </w:tc>
            </w:tr>
            <w:tr w14:paraId="21770E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7" w:type="dxa"/>
                  <w:noWrap w:val="0"/>
                  <w:vAlign w:val="center"/>
                </w:tcPr>
                <w:p w14:paraId="23A381FA">
                  <w:pPr>
                    <w:pStyle w:val="84"/>
                    <w:spacing w:line="240" w:lineRule="auto"/>
                    <w:ind w:firstLine="0" w:firstLineChars="0"/>
                    <w:jc w:val="center"/>
                    <w:rPr>
                      <w:color w:val="auto"/>
                      <w:sz w:val="21"/>
                      <w:szCs w:val="21"/>
                      <w:highlight w:val="none"/>
                    </w:rPr>
                  </w:pPr>
                  <w:r>
                    <w:rPr>
                      <w:rFonts w:hint="eastAsia"/>
                      <w:color w:val="auto"/>
                      <w:sz w:val="21"/>
                      <w:szCs w:val="21"/>
                      <w:highlight w:val="none"/>
                    </w:rPr>
                    <w:t>1</w:t>
                  </w:r>
                </w:p>
              </w:tc>
              <w:tc>
                <w:tcPr>
                  <w:tcW w:w="1620" w:type="dxa"/>
                  <w:noWrap w:val="0"/>
                  <w:vAlign w:val="center"/>
                </w:tcPr>
                <w:p w14:paraId="3949DB1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7"/>
                      <w:szCs w:val="21"/>
                    </w:rPr>
                    <w:t>中涂漆</w:t>
                  </w:r>
                </w:p>
              </w:tc>
              <w:tc>
                <w:tcPr>
                  <w:tcW w:w="5614" w:type="dxa"/>
                  <w:noWrap w:val="0"/>
                  <w:vAlign w:val="center"/>
                </w:tcPr>
                <w:p w14:paraId="664A4B77">
                  <w:pPr>
                    <w:pStyle w:val="84"/>
                    <w:spacing w:line="240" w:lineRule="auto"/>
                    <w:ind w:firstLine="0" w:firstLineChars="0"/>
                    <w:jc w:val="both"/>
                    <w:rPr>
                      <w:rFonts w:hint="default" w:eastAsia="宋体"/>
                      <w:color w:val="auto"/>
                      <w:sz w:val="21"/>
                      <w:szCs w:val="21"/>
                      <w:highlight w:val="none"/>
                      <w:lang w:val="en-US" w:eastAsia="zh-CN"/>
                    </w:rPr>
                  </w:pPr>
                  <w:r>
                    <w:rPr>
                      <w:rFonts w:hint="eastAsia"/>
                      <w:color w:val="auto"/>
                      <w:sz w:val="21"/>
                      <w:szCs w:val="21"/>
                      <w:highlight w:val="none"/>
                    </w:rPr>
                    <w:t>二甲苯</w:t>
                  </w:r>
                  <w:r>
                    <w:rPr>
                      <w:rFonts w:hint="eastAsia"/>
                      <w:color w:val="auto"/>
                      <w:sz w:val="21"/>
                      <w:szCs w:val="21"/>
                      <w:highlight w:val="none"/>
                      <w:lang w:val="en-US" w:eastAsia="zh-CN"/>
                    </w:rPr>
                    <w:t>10%-20%；乙酸丁酯≤5%；乙苯≤4.7%；甲苯≤0.3%</w:t>
                  </w:r>
                </w:p>
              </w:tc>
            </w:tr>
            <w:tr w14:paraId="068BED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7" w:type="dxa"/>
                  <w:noWrap w:val="0"/>
                  <w:vAlign w:val="center"/>
                </w:tcPr>
                <w:p w14:paraId="08B6EBEB">
                  <w:pPr>
                    <w:pStyle w:val="84"/>
                    <w:spacing w:line="240" w:lineRule="auto"/>
                    <w:ind w:firstLine="0" w:firstLineChars="0"/>
                    <w:jc w:val="center"/>
                    <w:rPr>
                      <w:rFonts w:hint="eastAsia" w:ascii="Times New Roman" w:hAnsi="Times New Roman" w:eastAsia="宋体" w:cs="Times New Roman"/>
                      <w:color w:val="auto"/>
                      <w:sz w:val="21"/>
                      <w:szCs w:val="21"/>
                      <w:highlight w:val="none"/>
                      <w:lang w:val="en-US" w:eastAsia="zh-CN" w:bidi="ar-SA"/>
                    </w:rPr>
                  </w:pPr>
                  <w:r>
                    <w:rPr>
                      <w:rFonts w:hint="eastAsia"/>
                      <w:color w:val="auto"/>
                      <w:sz w:val="21"/>
                      <w:szCs w:val="21"/>
                      <w:highlight w:val="none"/>
                    </w:rPr>
                    <w:t>2</w:t>
                  </w:r>
                </w:p>
              </w:tc>
              <w:tc>
                <w:tcPr>
                  <w:tcW w:w="1620" w:type="dxa"/>
                  <w:noWrap w:val="0"/>
                  <w:vAlign w:val="center"/>
                </w:tcPr>
                <w:p w14:paraId="70CF31E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7"/>
                      <w:szCs w:val="21"/>
                      <w:lang w:val="en-US" w:eastAsia="zh-CN"/>
                    </w:rPr>
                  </w:pPr>
                  <w:r>
                    <w:rPr>
                      <w:rFonts w:hint="eastAsia" w:ascii="Times New Roman" w:hAnsi="Times New Roman" w:eastAsia="宋体" w:cs="Times New Roman"/>
                      <w:color w:val="auto"/>
                      <w:spacing w:val="-7"/>
                      <w:szCs w:val="21"/>
                      <w:lang w:val="en-US" w:eastAsia="zh-CN"/>
                    </w:rPr>
                    <w:t>中涂漆固化剂</w:t>
                  </w:r>
                </w:p>
              </w:tc>
              <w:tc>
                <w:tcPr>
                  <w:tcW w:w="5614" w:type="dxa"/>
                  <w:noWrap w:val="0"/>
                  <w:vAlign w:val="center"/>
                </w:tcPr>
                <w:p w14:paraId="6FC32A37">
                  <w:pPr>
                    <w:pStyle w:val="84"/>
                    <w:spacing w:line="240" w:lineRule="auto"/>
                    <w:ind w:firstLine="0" w:firstLineChars="0"/>
                    <w:jc w:val="both"/>
                    <w:rPr>
                      <w:rFonts w:hint="default"/>
                      <w:color w:val="auto"/>
                      <w:sz w:val="21"/>
                      <w:szCs w:val="21"/>
                      <w:highlight w:val="none"/>
                      <w:lang w:val="en-US"/>
                    </w:rPr>
                  </w:pPr>
                  <w:r>
                    <w:rPr>
                      <w:rFonts w:hint="eastAsia"/>
                      <w:color w:val="auto"/>
                      <w:sz w:val="21"/>
                      <w:szCs w:val="21"/>
                      <w:highlight w:val="none"/>
                      <w:lang w:val="en-US" w:eastAsia="zh-CN"/>
                    </w:rPr>
                    <w:t>1,6-二异氰酸根合己烷的均聚物25%-50%；</w:t>
                  </w:r>
                  <w:r>
                    <w:rPr>
                      <w:rFonts w:hint="eastAsia"/>
                      <w:color w:val="auto"/>
                      <w:sz w:val="21"/>
                      <w:szCs w:val="21"/>
                      <w:highlight w:val="none"/>
                    </w:rPr>
                    <w:t>二甲苯</w:t>
                  </w:r>
                  <w:r>
                    <w:rPr>
                      <w:rFonts w:hint="eastAsia"/>
                      <w:color w:val="auto"/>
                      <w:sz w:val="21"/>
                      <w:szCs w:val="21"/>
                      <w:highlight w:val="none"/>
                      <w:lang w:val="en-US" w:eastAsia="zh-CN"/>
                    </w:rPr>
                    <w:t>10%-25%；轻芳烃溶剂石脑油(石油)≤10%；乙苯≤10%；1,2,4-三甲苯≤5%；乙酸丁酯≤3%；异丙苯≤0.3%；甲苯≤0.3%</w:t>
                  </w:r>
                </w:p>
              </w:tc>
            </w:tr>
            <w:tr w14:paraId="1A04C5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7" w:type="dxa"/>
                  <w:noWrap w:val="0"/>
                  <w:vAlign w:val="center"/>
                </w:tcPr>
                <w:p w14:paraId="0FBC84A2">
                  <w:pPr>
                    <w:pStyle w:val="84"/>
                    <w:spacing w:line="240" w:lineRule="auto"/>
                    <w:ind w:firstLine="0" w:firstLineChars="0"/>
                    <w:jc w:val="center"/>
                    <w:rPr>
                      <w:rFonts w:hint="eastAsia" w:ascii="Times New Roman" w:hAnsi="Times New Roman" w:eastAsia="宋体" w:cs="Times New Roman"/>
                      <w:color w:val="auto"/>
                      <w:sz w:val="21"/>
                      <w:szCs w:val="21"/>
                      <w:highlight w:val="none"/>
                      <w:lang w:val="en-US" w:eastAsia="zh-CN" w:bidi="ar-SA"/>
                    </w:rPr>
                  </w:pPr>
                  <w:r>
                    <w:rPr>
                      <w:rFonts w:hint="eastAsia"/>
                      <w:color w:val="auto"/>
                      <w:sz w:val="21"/>
                      <w:szCs w:val="21"/>
                      <w:highlight w:val="none"/>
                    </w:rPr>
                    <w:t>3</w:t>
                  </w:r>
                </w:p>
              </w:tc>
              <w:tc>
                <w:tcPr>
                  <w:tcW w:w="1620" w:type="dxa"/>
                  <w:noWrap w:val="0"/>
                  <w:vAlign w:val="center"/>
                </w:tcPr>
                <w:p w14:paraId="174787D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7"/>
                      <w:szCs w:val="21"/>
                    </w:rPr>
                  </w:pPr>
                  <w:r>
                    <w:rPr>
                      <w:rFonts w:hint="eastAsia" w:ascii="Times New Roman" w:hAnsi="Times New Roman" w:eastAsia="宋体" w:cs="Times New Roman"/>
                      <w:color w:val="auto"/>
                      <w:spacing w:val="-7"/>
                      <w:szCs w:val="21"/>
                      <w:lang w:val="en-US" w:eastAsia="zh-CN"/>
                    </w:rPr>
                    <w:t>中涂漆稀释剂</w:t>
                  </w:r>
                </w:p>
              </w:tc>
              <w:tc>
                <w:tcPr>
                  <w:tcW w:w="5614" w:type="dxa"/>
                  <w:noWrap w:val="0"/>
                  <w:vAlign w:val="center"/>
                </w:tcPr>
                <w:p w14:paraId="2001C007">
                  <w:pPr>
                    <w:pStyle w:val="84"/>
                    <w:spacing w:line="240" w:lineRule="auto"/>
                    <w:ind w:firstLine="0" w:firstLineChars="0"/>
                    <w:jc w:val="both"/>
                    <w:rPr>
                      <w:rFonts w:hint="default"/>
                      <w:color w:val="auto"/>
                      <w:sz w:val="21"/>
                      <w:szCs w:val="21"/>
                      <w:highlight w:val="none"/>
                      <w:lang w:val="en-US"/>
                    </w:rPr>
                  </w:pPr>
                  <w:r>
                    <w:rPr>
                      <w:rFonts w:hint="eastAsia"/>
                      <w:color w:val="auto"/>
                      <w:sz w:val="21"/>
                      <w:szCs w:val="21"/>
                      <w:highlight w:val="none"/>
                      <w:lang w:val="en-US" w:eastAsia="zh-CN"/>
                    </w:rPr>
                    <w:t>乙酸丁酯50%-75%；2-丁酮25%-50%；5-甲基-2-己酮2.5%-10%</w:t>
                  </w:r>
                </w:p>
              </w:tc>
            </w:tr>
            <w:tr w14:paraId="2CAAEF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7" w:type="dxa"/>
                  <w:noWrap w:val="0"/>
                  <w:vAlign w:val="center"/>
                </w:tcPr>
                <w:p w14:paraId="6EA0CA39">
                  <w:pPr>
                    <w:pStyle w:val="84"/>
                    <w:spacing w:line="240" w:lineRule="auto"/>
                    <w:ind w:firstLine="0" w:firstLineChars="0"/>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4</w:t>
                  </w:r>
                </w:p>
              </w:tc>
              <w:tc>
                <w:tcPr>
                  <w:tcW w:w="1620" w:type="dxa"/>
                  <w:noWrap w:val="0"/>
                  <w:vAlign w:val="center"/>
                </w:tcPr>
                <w:p w14:paraId="0F17E84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3"/>
                      <w:szCs w:val="21"/>
                    </w:rPr>
                    <w:t>水性底色漆</w:t>
                  </w:r>
                </w:p>
              </w:tc>
              <w:tc>
                <w:tcPr>
                  <w:tcW w:w="5614" w:type="dxa"/>
                  <w:noWrap w:val="0"/>
                  <w:vAlign w:val="center"/>
                </w:tcPr>
                <w:p w14:paraId="28CEA9D7">
                  <w:pPr>
                    <w:pStyle w:val="84"/>
                    <w:spacing w:line="240" w:lineRule="auto"/>
                    <w:ind w:firstLine="0" w:firstLineChars="0"/>
                    <w:jc w:val="both"/>
                    <w:rPr>
                      <w:color w:val="auto"/>
                      <w:sz w:val="21"/>
                      <w:szCs w:val="21"/>
                      <w:highlight w:val="none"/>
                    </w:rPr>
                  </w:pPr>
                  <w:r>
                    <w:rPr>
                      <w:rFonts w:hint="eastAsia"/>
                      <w:color w:val="auto"/>
                      <w:sz w:val="21"/>
                      <w:szCs w:val="21"/>
                      <w:highlight w:val="none"/>
                    </w:rPr>
                    <w:t>异丙醇</w:t>
                  </w:r>
                  <w:r>
                    <w:rPr>
                      <w:rFonts w:hint="eastAsia"/>
                      <w:color w:val="auto"/>
                      <w:sz w:val="21"/>
                      <w:szCs w:val="21"/>
                      <w:highlight w:val="none"/>
                      <w:lang w:val="en-US" w:eastAsia="zh-CN"/>
                    </w:rPr>
                    <w:t>≤5%</w:t>
                  </w:r>
                </w:p>
              </w:tc>
            </w:tr>
            <w:tr w14:paraId="019596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7" w:type="dxa"/>
                  <w:noWrap w:val="0"/>
                  <w:vAlign w:val="center"/>
                </w:tcPr>
                <w:p w14:paraId="480151E2">
                  <w:pPr>
                    <w:pStyle w:val="84"/>
                    <w:spacing w:line="240" w:lineRule="auto"/>
                    <w:ind w:firstLine="0" w:firstLineChars="0"/>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5</w:t>
                  </w:r>
                </w:p>
              </w:tc>
              <w:tc>
                <w:tcPr>
                  <w:tcW w:w="1620" w:type="dxa"/>
                  <w:noWrap w:val="0"/>
                  <w:vAlign w:val="center"/>
                </w:tcPr>
                <w:p w14:paraId="0294669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水性稀释剂</w:t>
                  </w:r>
                </w:p>
              </w:tc>
              <w:tc>
                <w:tcPr>
                  <w:tcW w:w="5614" w:type="dxa"/>
                  <w:noWrap w:val="0"/>
                  <w:vAlign w:val="center"/>
                </w:tcPr>
                <w:p w14:paraId="1436B0C9">
                  <w:pPr>
                    <w:pStyle w:val="84"/>
                    <w:spacing w:line="240" w:lineRule="auto"/>
                    <w:ind w:firstLine="0" w:firstLineChars="0"/>
                    <w:jc w:val="both"/>
                    <w:rPr>
                      <w:color w:val="auto"/>
                      <w:sz w:val="21"/>
                      <w:szCs w:val="21"/>
                      <w:highlight w:val="none"/>
                    </w:rPr>
                  </w:pPr>
                  <w:r>
                    <w:rPr>
                      <w:rFonts w:hint="eastAsia"/>
                      <w:color w:val="auto"/>
                      <w:sz w:val="21"/>
                      <w:szCs w:val="21"/>
                      <w:highlight w:val="none"/>
                    </w:rPr>
                    <w:t>2-丁氧基乙醇</w:t>
                  </w:r>
                  <w:r>
                    <w:rPr>
                      <w:rFonts w:hint="eastAsia"/>
                      <w:color w:val="auto"/>
                      <w:sz w:val="21"/>
                      <w:szCs w:val="21"/>
                      <w:highlight w:val="none"/>
                      <w:lang w:val="en-US" w:eastAsia="zh-CN"/>
                    </w:rPr>
                    <w:t>≤2.5%</w:t>
                  </w:r>
                </w:p>
              </w:tc>
            </w:tr>
            <w:tr w14:paraId="3B446D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7" w:type="dxa"/>
                  <w:noWrap w:val="0"/>
                  <w:vAlign w:val="center"/>
                </w:tcPr>
                <w:p w14:paraId="5E3571BD">
                  <w:pPr>
                    <w:pStyle w:val="84"/>
                    <w:spacing w:line="240" w:lineRule="auto"/>
                    <w:ind w:firstLine="0" w:firstLineChars="0"/>
                    <w:jc w:val="center"/>
                    <w:rPr>
                      <w:rFonts w:hint="default"/>
                      <w:color w:val="auto"/>
                      <w:sz w:val="21"/>
                      <w:szCs w:val="21"/>
                      <w:highlight w:val="none"/>
                      <w:lang w:val="en-US" w:eastAsia="zh-CN"/>
                    </w:rPr>
                  </w:pPr>
                  <w:r>
                    <w:rPr>
                      <w:rFonts w:hint="eastAsia"/>
                      <w:color w:val="auto"/>
                      <w:sz w:val="21"/>
                      <w:szCs w:val="21"/>
                      <w:highlight w:val="none"/>
                      <w:lang w:val="en-US" w:eastAsia="zh-CN"/>
                    </w:rPr>
                    <w:t>6</w:t>
                  </w:r>
                </w:p>
              </w:tc>
              <w:tc>
                <w:tcPr>
                  <w:tcW w:w="1620" w:type="dxa"/>
                  <w:noWrap w:val="0"/>
                  <w:vAlign w:val="center"/>
                </w:tcPr>
                <w:p w14:paraId="73843EB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3"/>
                      <w:szCs w:val="21"/>
                    </w:rPr>
                  </w:pPr>
                  <w:r>
                    <w:rPr>
                      <w:rFonts w:hint="default" w:ascii="Times New Roman" w:hAnsi="Times New Roman" w:eastAsia="宋体" w:cs="Times New Roman"/>
                      <w:color w:val="auto"/>
                      <w:spacing w:val="-4"/>
                      <w:szCs w:val="21"/>
                    </w:rPr>
                    <w:t>清漆</w:t>
                  </w:r>
                </w:p>
              </w:tc>
              <w:tc>
                <w:tcPr>
                  <w:tcW w:w="5614" w:type="dxa"/>
                  <w:noWrap w:val="0"/>
                  <w:vAlign w:val="center"/>
                </w:tcPr>
                <w:p w14:paraId="77E09BF4">
                  <w:pPr>
                    <w:pStyle w:val="84"/>
                    <w:spacing w:line="240" w:lineRule="auto"/>
                    <w:ind w:firstLine="0" w:firstLineChars="0"/>
                    <w:jc w:val="both"/>
                    <w:rPr>
                      <w:rFonts w:hint="default" w:ascii="Times New Roman" w:hAnsi="Times New Roman" w:cs="Times New Roman"/>
                      <w:color w:val="auto"/>
                      <w:sz w:val="21"/>
                      <w:szCs w:val="21"/>
                      <w:highlight w:val="none"/>
                      <w:lang w:val="en-US"/>
                    </w:rPr>
                  </w:pPr>
                  <w:r>
                    <w:rPr>
                      <w:rFonts w:hint="default" w:ascii="Times New Roman" w:hAnsi="Times New Roman" w:cs="Times New Roman"/>
                      <w:color w:val="auto"/>
                      <w:sz w:val="21"/>
                      <w:szCs w:val="21"/>
                      <w:highlight w:val="none"/>
                      <w:lang w:val="en-US" w:eastAsia="zh-CN"/>
                    </w:rPr>
                    <w:t>乙酸丁酯40%-50%；二辛基双[(1-氧代十二烷基)氧]锡烷0-1%；α-[3-[3-(2H-苯并三唑-2-基)-5-异丁基-4-羟基苯基]-1-酰丙基]-ω-羟基-聚(氧基-1,2-乙二基)0-1%；α-[3-[3-(2H-苯并三唑-2-基)-5-(1,1-二甲基乙基)-4-羟苯基]-1-氧代丙基]-ω-[3-[3-(2H-苯并三唑-2-基)-5-(1,1-二甲基乙基)-4-羟苯基]-1-氧代丙氧基]-聚(氧基-1,2-乙二基)0-1%；癸二酸双(1,2,2,6,6-戊甲基-4-哌啶基)酯0-1%</w:t>
                  </w:r>
                </w:p>
              </w:tc>
            </w:tr>
            <w:tr w14:paraId="31C520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7" w:type="dxa"/>
                  <w:noWrap w:val="0"/>
                  <w:vAlign w:val="center"/>
                </w:tcPr>
                <w:p w14:paraId="20BC3CC9">
                  <w:pPr>
                    <w:pStyle w:val="84"/>
                    <w:spacing w:line="240" w:lineRule="auto"/>
                    <w:ind w:firstLine="0" w:firstLineChars="0"/>
                    <w:jc w:val="center"/>
                    <w:rPr>
                      <w:rFonts w:hint="default"/>
                      <w:color w:val="auto"/>
                      <w:sz w:val="21"/>
                      <w:szCs w:val="21"/>
                      <w:highlight w:val="none"/>
                      <w:lang w:val="en-US" w:eastAsia="zh-CN"/>
                    </w:rPr>
                  </w:pPr>
                  <w:r>
                    <w:rPr>
                      <w:rFonts w:hint="eastAsia"/>
                      <w:color w:val="auto"/>
                      <w:sz w:val="21"/>
                      <w:szCs w:val="21"/>
                      <w:highlight w:val="none"/>
                      <w:lang w:val="en-US" w:eastAsia="zh-CN"/>
                    </w:rPr>
                    <w:t>7</w:t>
                  </w:r>
                </w:p>
              </w:tc>
              <w:tc>
                <w:tcPr>
                  <w:tcW w:w="1620" w:type="dxa"/>
                  <w:noWrap w:val="0"/>
                  <w:vAlign w:val="center"/>
                </w:tcPr>
                <w:p w14:paraId="2FBC092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3"/>
                      <w:szCs w:val="21"/>
                      <w:lang w:val="en-US" w:eastAsia="zh-CN"/>
                    </w:rPr>
                  </w:pPr>
                  <w:r>
                    <w:rPr>
                      <w:rFonts w:hint="eastAsia" w:ascii="Times New Roman" w:hAnsi="Times New Roman" w:eastAsia="宋体" w:cs="Times New Roman"/>
                      <w:color w:val="auto"/>
                      <w:spacing w:val="-3"/>
                      <w:szCs w:val="21"/>
                      <w:lang w:val="en-US" w:eastAsia="zh-CN"/>
                    </w:rPr>
                    <w:t>清漆固化剂</w:t>
                  </w:r>
                </w:p>
              </w:tc>
              <w:tc>
                <w:tcPr>
                  <w:tcW w:w="5614" w:type="dxa"/>
                  <w:noWrap w:val="0"/>
                  <w:vAlign w:val="center"/>
                </w:tcPr>
                <w:p w14:paraId="1CC26C84">
                  <w:pPr>
                    <w:pStyle w:val="84"/>
                    <w:spacing w:line="240" w:lineRule="auto"/>
                    <w:ind w:firstLine="0" w:firstLineChars="0"/>
                    <w:jc w:val="both"/>
                    <w:rPr>
                      <w:rFonts w:hint="default"/>
                      <w:color w:val="auto"/>
                      <w:sz w:val="21"/>
                      <w:szCs w:val="21"/>
                      <w:highlight w:val="none"/>
                      <w:lang w:val="en-US"/>
                    </w:rPr>
                  </w:pPr>
                  <w:r>
                    <w:rPr>
                      <w:rFonts w:hint="default" w:ascii="Times New Roman" w:hAnsi="Times New Roman" w:cs="Times New Roman"/>
                      <w:color w:val="auto"/>
                      <w:sz w:val="21"/>
                      <w:szCs w:val="21"/>
                      <w:highlight w:val="none"/>
                      <w:lang w:val="en-US" w:eastAsia="zh-CN"/>
                    </w:rPr>
                    <w:t>乙酸丁酯</w:t>
                  </w:r>
                  <w:r>
                    <w:rPr>
                      <w:rFonts w:hint="eastAsia" w:ascii="Times New Roman" w:hAnsi="Times New Roman" w:cs="Times New Roman"/>
                      <w:color w:val="auto"/>
                      <w:sz w:val="21"/>
                      <w:szCs w:val="21"/>
                      <w:highlight w:val="none"/>
                      <w:lang w:val="en-US" w:eastAsia="zh-CN"/>
                    </w:rPr>
                    <w:t>50</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70</w:t>
                  </w:r>
                  <w:r>
                    <w:rPr>
                      <w:rFonts w:hint="default" w:ascii="Times New Roman" w:hAnsi="Times New Roman" w:cs="Times New Roman"/>
                      <w:color w:val="auto"/>
                      <w:sz w:val="21"/>
                      <w:szCs w:val="21"/>
                      <w:highlight w:val="none"/>
                      <w:lang w:val="en-US" w:eastAsia="zh-CN"/>
                    </w:rPr>
                    <w:t>%；十二硫醇</w:t>
                  </w:r>
                  <w:r>
                    <w:rPr>
                      <w:rFonts w:hint="eastAsia" w:ascii="Times New Roman" w:hAnsi="Times New Roman" w:cs="Times New Roman"/>
                      <w:color w:val="auto"/>
                      <w:sz w:val="21"/>
                      <w:szCs w:val="21"/>
                      <w:highlight w:val="none"/>
                      <w:lang w:val="en-US" w:eastAsia="zh-CN"/>
                    </w:rPr>
                    <w:t>2.5</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-10</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；5-甲基-2-己酮1</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-2.5</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；轻芳烃溶剂石脑油(石油)1</w:t>
                  </w:r>
                  <w:r>
                    <w:rPr>
                      <w:rFonts w:hint="default" w:ascii="Times New Roman" w:hAnsi="Times New Roman"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-2.5</w:t>
                  </w:r>
                  <w:r>
                    <w:rPr>
                      <w:rFonts w:hint="default" w:ascii="Times New Roman" w:hAnsi="Times New Roman" w:cs="Times New Roman"/>
                      <w:color w:val="auto"/>
                      <w:sz w:val="21"/>
                      <w:szCs w:val="21"/>
                      <w:highlight w:val="none"/>
                      <w:lang w:val="en-US" w:eastAsia="zh-CN"/>
                    </w:rPr>
                    <w:t>%</w:t>
                  </w:r>
                </w:p>
              </w:tc>
            </w:tr>
            <w:tr w14:paraId="769E35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7" w:type="dxa"/>
                  <w:noWrap w:val="0"/>
                  <w:vAlign w:val="center"/>
                </w:tcPr>
                <w:p w14:paraId="397F25DB">
                  <w:pPr>
                    <w:pStyle w:val="84"/>
                    <w:spacing w:line="240" w:lineRule="auto"/>
                    <w:ind w:firstLine="0" w:firstLineChars="0"/>
                    <w:jc w:val="center"/>
                    <w:rPr>
                      <w:rFonts w:hint="default"/>
                      <w:color w:val="auto"/>
                      <w:sz w:val="21"/>
                      <w:szCs w:val="21"/>
                      <w:highlight w:val="none"/>
                      <w:lang w:val="en-US" w:eastAsia="zh-CN"/>
                    </w:rPr>
                  </w:pPr>
                  <w:r>
                    <w:rPr>
                      <w:rFonts w:hint="eastAsia"/>
                      <w:color w:val="auto"/>
                      <w:sz w:val="21"/>
                      <w:szCs w:val="21"/>
                      <w:highlight w:val="none"/>
                      <w:lang w:val="en-US" w:eastAsia="zh-CN"/>
                    </w:rPr>
                    <w:t>8</w:t>
                  </w:r>
                </w:p>
              </w:tc>
              <w:tc>
                <w:tcPr>
                  <w:tcW w:w="1620" w:type="dxa"/>
                  <w:noWrap w:val="0"/>
                  <w:vAlign w:val="center"/>
                </w:tcPr>
                <w:p w14:paraId="3AA1264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pacing w:val="-3"/>
                      <w:szCs w:val="21"/>
                      <w:lang w:val="en-US" w:eastAsia="zh-CN"/>
                    </w:rPr>
                  </w:pPr>
                  <w:r>
                    <w:rPr>
                      <w:rFonts w:hint="eastAsia" w:ascii="Times New Roman" w:hAnsi="Times New Roman" w:eastAsia="宋体" w:cs="Times New Roman"/>
                      <w:color w:val="auto"/>
                      <w:spacing w:val="-3"/>
                      <w:szCs w:val="21"/>
                      <w:lang w:val="en-US" w:eastAsia="zh-CN"/>
                    </w:rPr>
                    <w:t>清漆稀释剂</w:t>
                  </w:r>
                </w:p>
              </w:tc>
              <w:tc>
                <w:tcPr>
                  <w:tcW w:w="5614" w:type="dxa"/>
                  <w:noWrap w:val="0"/>
                  <w:vAlign w:val="center"/>
                </w:tcPr>
                <w:p w14:paraId="7548DC81">
                  <w:pPr>
                    <w:pStyle w:val="84"/>
                    <w:spacing w:line="240" w:lineRule="auto"/>
                    <w:ind w:firstLine="0" w:firstLineChars="0"/>
                    <w:jc w:val="both"/>
                    <w:rPr>
                      <w:color w:val="auto"/>
                      <w:sz w:val="21"/>
                      <w:szCs w:val="21"/>
                      <w:highlight w:val="none"/>
                    </w:rPr>
                  </w:pPr>
                  <w:r>
                    <w:rPr>
                      <w:rFonts w:hint="eastAsia"/>
                      <w:color w:val="auto"/>
                      <w:sz w:val="21"/>
                      <w:szCs w:val="21"/>
                      <w:highlight w:val="none"/>
                      <w:lang w:val="en-US" w:eastAsia="zh-CN"/>
                    </w:rPr>
                    <w:t>乙酸丁酯50%-75%；2-丁酮25%-50%；5-甲基-2-己酮2.5%-10%</w:t>
                  </w:r>
                </w:p>
              </w:tc>
            </w:tr>
          </w:tbl>
          <w:p w14:paraId="56F9E38A">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0" w:firstLineChars="200"/>
              <w:textAlignment w:val="auto"/>
              <w:rPr>
                <w:rFonts w:hint="default" w:eastAsia="宋体"/>
                <w:b w:val="0"/>
                <w:bCs w:val="0"/>
                <w:color w:val="auto"/>
                <w:sz w:val="24"/>
                <w:lang w:val="en-US" w:eastAsia="zh-CN"/>
              </w:rPr>
            </w:pPr>
            <w:r>
              <w:rPr>
                <w:rFonts w:hint="eastAsia"/>
                <w:b w:val="0"/>
                <w:bCs w:val="0"/>
                <w:color w:val="auto"/>
                <w:sz w:val="24"/>
                <w:lang w:val="en-US" w:eastAsia="zh-CN"/>
              </w:rPr>
              <w:t>（4）项目漆料VOC含量一览表</w:t>
            </w:r>
          </w:p>
          <w:p w14:paraId="6471902B">
            <w:pPr>
              <w:pStyle w:val="84"/>
              <w:spacing w:line="240" w:lineRule="auto"/>
              <w:ind w:firstLine="0" w:firstLineChars="0"/>
              <w:jc w:val="center"/>
              <w:rPr>
                <w:rFonts w:hint="eastAsia"/>
                <w:b/>
                <w:bCs/>
                <w:color w:val="auto"/>
                <w:szCs w:val="32"/>
                <w:highlight w:val="none"/>
              </w:rPr>
            </w:pPr>
            <w:r>
              <w:rPr>
                <w:rFonts w:hint="eastAsia"/>
                <w:b/>
                <w:bCs/>
                <w:color w:val="auto"/>
                <w:szCs w:val="32"/>
                <w:highlight w:val="none"/>
              </w:rPr>
              <w:t>表2-</w:t>
            </w:r>
            <w:r>
              <w:rPr>
                <w:rFonts w:hint="eastAsia"/>
                <w:b/>
                <w:bCs/>
                <w:color w:val="auto"/>
                <w:szCs w:val="32"/>
                <w:highlight w:val="none"/>
                <w:lang w:val="en-US" w:eastAsia="zh-CN"/>
              </w:rPr>
              <w:t>6</w:t>
            </w:r>
            <w:r>
              <w:rPr>
                <w:rFonts w:hint="eastAsia"/>
                <w:b/>
                <w:bCs/>
                <w:color w:val="auto"/>
                <w:szCs w:val="32"/>
                <w:highlight w:val="none"/>
              </w:rPr>
              <w:t xml:space="preserve">  项目漆料VOC含量一览表</w:t>
            </w:r>
          </w:p>
          <w:tbl>
            <w:tblPr>
              <w:tblStyle w:val="25"/>
              <w:tblW w:w="821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6"/>
              <w:gridCol w:w="1131"/>
              <w:gridCol w:w="2032"/>
              <w:gridCol w:w="3453"/>
              <w:gridCol w:w="909"/>
            </w:tblGrid>
            <w:tr w14:paraId="3728AB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6" w:type="dxa"/>
                  <w:noWrap w:val="0"/>
                  <w:vAlign w:val="center"/>
                </w:tcPr>
                <w:p w14:paraId="0BC618C2">
                  <w:pPr>
                    <w:pStyle w:val="84"/>
                    <w:spacing w:line="240" w:lineRule="auto"/>
                    <w:ind w:firstLine="0" w:firstLineChars="0"/>
                    <w:jc w:val="center"/>
                    <w:rPr>
                      <w:b/>
                      <w:bCs/>
                      <w:color w:val="auto"/>
                      <w:sz w:val="21"/>
                      <w:szCs w:val="21"/>
                      <w:highlight w:val="none"/>
                    </w:rPr>
                  </w:pPr>
                  <w:r>
                    <w:rPr>
                      <w:rFonts w:hint="eastAsia"/>
                      <w:b/>
                      <w:bCs/>
                      <w:color w:val="auto"/>
                      <w:sz w:val="21"/>
                      <w:szCs w:val="21"/>
                      <w:highlight w:val="none"/>
                    </w:rPr>
                    <w:t>序号</w:t>
                  </w:r>
                </w:p>
              </w:tc>
              <w:tc>
                <w:tcPr>
                  <w:tcW w:w="1131" w:type="dxa"/>
                  <w:noWrap w:val="0"/>
                  <w:vAlign w:val="center"/>
                </w:tcPr>
                <w:p w14:paraId="022E8E4E">
                  <w:pPr>
                    <w:pStyle w:val="84"/>
                    <w:spacing w:line="240" w:lineRule="auto"/>
                    <w:ind w:firstLine="0" w:firstLineChars="0"/>
                    <w:jc w:val="center"/>
                    <w:rPr>
                      <w:b/>
                      <w:bCs/>
                      <w:color w:val="auto"/>
                      <w:sz w:val="21"/>
                      <w:szCs w:val="21"/>
                      <w:highlight w:val="none"/>
                    </w:rPr>
                  </w:pPr>
                  <w:r>
                    <w:rPr>
                      <w:rFonts w:hint="eastAsia"/>
                      <w:b/>
                      <w:bCs/>
                      <w:color w:val="auto"/>
                      <w:sz w:val="21"/>
                      <w:szCs w:val="21"/>
                      <w:highlight w:val="none"/>
                    </w:rPr>
                    <w:t>名称</w:t>
                  </w:r>
                </w:p>
              </w:tc>
              <w:tc>
                <w:tcPr>
                  <w:tcW w:w="2032" w:type="dxa"/>
                  <w:noWrap w:val="0"/>
                  <w:vAlign w:val="center"/>
                </w:tcPr>
                <w:p w14:paraId="76BE2FC4">
                  <w:pPr>
                    <w:pStyle w:val="84"/>
                    <w:spacing w:line="240" w:lineRule="auto"/>
                    <w:ind w:firstLine="0" w:firstLineChars="0"/>
                    <w:jc w:val="center"/>
                    <w:rPr>
                      <w:b/>
                      <w:bCs/>
                      <w:color w:val="auto"/>
                      <w:sz w:val="21"/>
                      <w:szCs w:val="21"/>
                      <w:highlight w:val="none"/>
                    </w:rPr>
                  </w:pPr>
                  <w:r>
                    <w:rPr>
                      <w:rFonts w:hint="eastAsia"/>
                      <w:b/>
                      <w:bCs/>
                      <w:color w:val="auto"/>
                      <w:sz w:val="21"/>
                      <w:szCs w:val="21"/>
                      <w:highlight w:val="none"/>
                    </w:rPr>
                    <w:t>主要成分</w:t>
                  </w:r>
                </w:p>
              </w:tc>
              <w:tc>
                <w:tcPr>
                  <w:tcW w:w="3453" w:type="dxa"/>
                  <w:noWrap w:val="0"/>
                  <w:vAlign w:val="center"/>
                </w:tcPr>
                <w:p w14:paraId="6A341EAE">
                  <w:pPr>
                    <w:pStyle w:val="84"/>
                    <w:spacing w:line="240" w:lineRule="auto"/>
                    <w:ind w:firstLine="0" w:firstLineChars="0"/>
                    <w:jc w:val="center"/>
                    <w:rPr>
                      <w:b/>
                      <w:bCs/>
                      <w:color w:val="auto"/>
                      <w:sz w:val="21"/>
                      <w:szCs w:val="21"/>
                      <w:highlight w:val="none"/>
                    </w:rPr>
                  </w:pPr>
                  <w:r>
                    <w:rPr>
                      <w:rFonts w:hint="eastAsia"/>
                      <w:b/>
                      <w:bCs/>
                      <w:color w:val="auto"/>
                      <w:sz w:val="21"/>
                      <w:szCs w:val="21"/>
                      <w:highlight w:val="none"/>
                    </w:rPr>
                    <w:t>执行标准</w:t>
                  </w:r>
                </w:p>
              </w:tc>
              <w:tc>
                <w:tcPr>
                  <w:tcW w:w="909" w:type="dxa"/>
                  <w:noWrap w:val="0"/>
                  <w:vAlign w:val="center"/>
                </w:tcPr>
                <w:p w14:paraId="48DFB6C5">
                  <w:pPr>
                    <w:pStyle w:val="84"/>
                    <w:spacing w:line="240" w:lineRule="auto"/>
                    <w:ind w:firstLine="0" w:firstLineChars="0"/>
                    <w:jc w:val="center"/>
                    <w:rPr>
                      <w:rFonts w:hint="eastAsia" w:eastAsia="宋体"/>
                      <w:b/>
                      <w:bCs/>
                      <w:color w:val="auto"/>
                      <w:sz w:val="21"/>
                      <w:szCs w:val="21"/>
                      <w:highlight w:val="none"/>
                      <w:lang w:val="en-US" w:eastAsia="zh-CN"/>
                    </w:rPr>
                  </w:pPr>
                  <w:r>
                    <w:rPr>
                      <w:rFonts w:hint="eastAsia"/>
                      <w:b/>
                      <w:bCs/>
                      <w:color w:val="auto"/>
                      <w:sz w:val="21"/>
                      <w:szCs w:val="21"/>
                      <w:highlight w:val="none"/>
                      <w:lang w:val="en-US" w:eastAsia="zh-CN"/>
                    </w:rPr>
                    <w:t>符合性</w:t>
                  </w:r>
                </w:p>
              </w:tc>
            </w:tr>
            <w:tr w14:paraId="4E1408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86" w:type="dxa"/>
                  <w:noWrap w:val="0"/>
                  <w:vAlign w:val="center"/>
                </w:tcPr>
                <w:p w14:paraId="12EAEDB0">
                  <w:pPr>
                    <w:pStyle w:val="84"/>
                    <w:spacing w:line="240" w:lineRule="auto"/>
                    <w:ind w:firstLine="0" w:firstLineChars="0"/>
                    <w:jc w:val="center"/>
                    <w:rPr>
                      <w:color w:val="auto"/>
                      <w:sz w:val="21"/>
                      <w:szCs w:val="21"/>
                      <w:highlight w:val="none"/>
                    </w:rPr>
                  </w:pPr>
                  <w:r>
                    <w:rPr>
                      <w:rFonts w:hint="eastAsia"/>
                      <w:color w:val="auto"/>
                      <w:sz w:val="21"/>
                      <w:szCs w:val="21"/>
                      <w:highlight w:val="none"/>
                    </w:rPr>
                    <w:t>1</w:t>
                  </w:r>
                </w:p>
              </w:tc>
              <w:tc>
                <w:tcPr>
                  <w:tcW w:w="1131" w:type="dxa"/>
                  <w:noWrap w:val="0"/>
                  <w:vAlign w:val="center"/>
                </w:tcPr>
                <w:p w14:paraId="0A6F155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7"/>
                      <w:szCs w:val="21"/>
                    </w:rPr>
                    <w:t>中涂漆</w:t>
                  </w:r>
                </w:p>
              </w:tc>
              <w:tc>
                <w:tcPr>
                  <w:tcW w:w="2032" w:type="dxa"/>
                  <w:noWrap w:val="0"/>
                  <w:vAlign w:val="center"/>
                </w:tcPr>
                <w:p w14:paraId="0190E0B3">
                  <w:pPr>
                    <w:pStyle w:val="84"/>
                    <w:spacing w:line="240" w:lineRule="auto"/>
                    <w:ind w:firstLine="0" w:firstLineChars="0"/>
                    <w:jc w:val="center"/>
                    <w:rPr>
                      <w:color w:val="auto"/>
                      <w:sz w:val="21"/>
                      <w:szCs w:val="21"/>
                      <w:highlight w:val="none"/>
                    </w:rPr>
                  </w:pPr>
                  <w:r>
                    <w:rPr>
                      <w:rFonts w:hint="eastAsia"/>
                      <w:color w:val="auto"/>
                      <w:sz w:val="21"/>
                      <w:szCs w:val="21"/>
                      <w:highlight w:val="none"/>
                    </w:rPr>
                    <w:t>VOC含量为</w:t>
                  </w:r>
                  <w:r>
                    <w:rPr>
                      <w:rFonts w:hint="eastAsia"/>
                      <w:color w:val="auto"/>
                      <w:sz w:val="21"/>
                      <w:szCs w:val="21"/>
                      <w:highlight w:val="none"/>
                      <w:lang w:val="en-US" w:eastAsia="zh-CN"/>
                    </w:rPr>
                    <w:t>508</w:t>
                  </w:r>
                  <w:r>
                    <w:rPr>
                      <w:rFonts w:hint="eastAsia"/>
                      <w:color w:val="auto"/>
                      <w:sz w:val="21"/>
                      <w:szCs w:val="21"/>
                      <w:highlight w:val="none"/>
                    </w:rPr>
                    <w:t>g/L</w:t>
                  </w:r>
                </w:p>
              </w:tc>
              <w:tc>
                <w:tcPr>
                  <w:tcW w:w="3453" w:type="dxa"/>
                  <w:noWrap w:val="0"/>
                  <w:vAlign w:val="center"/>
                </w:tcPr>
                <w:p w14:paraId="02942827">
                  <w:pPr>
                    <w:pStyle w:val="84"/>
                    <w:spacing w:line="240" w:lineRule="auto"/>
                    <w:ind w:firstLine="0" w:firstLineChars="0"/>
                    <w:jc w:val="center"/>
                    <w:rPr>
                      <w:color w:val="auto"/>
                      <w:sz w:val="21"/>
                      <w:szCs w:val="21"/>
                      <w:highlight w:val="none"/>
                    </w:rPr>
                  </w:pPr>
                  <w:r>
                    <w:rPr>
                      <w:rFonts w:hint="eastAsia"/>
                      <w:color w:val="auto"/>
                      <w:sz w:val="21"/>
                      <w:szCs w:val="21"/>
                      <w:highlight w:val="none"/>
                    </w:rPr>
                    <w:t>《</w:t>
                  </w:r>
                  <w:r>
                    <w:rPr>
                      <w:rFonts w:hint="eastAsia"/>
                      <w:color w:val="auto"/>
                      <w:sz w:val="21"/>
                      <w:szCs w:val="21"/>
                      <w:highlight w:val="none"/>
                      <w:lang w:val="en-US" w:eastAsia="zh-CN"/>
                    </w:rPr>
                    <w:t>低挥发性有机化合物含量涂料产品技术要求</w:t>
                  </w:r>
                  <w:r>
                    <w:rPr>
                      <w:rFonts w:hint="eastAsia"/>
                      <w:color w:val="auto"/>
                      <w:sz w:val="21"/>
                      <w:szCs w:val="21"/>
                      <w:highlight w:val="none"/>
                    </w:rPr>
                    <w:t>》（GB</w:t>
                  </w:r>
                  <w:r>
                    <w:rPr>
                      <w:rFonts w:hint="eastAsia"/>
                      <w:color w:val="auto"/>
                      <w:sz w:val="21"/>
                      <w:szCs w:val="21"/>
                      <w:highlight w:val="none"/>
                      <w:lang w:val="en-US" w:eastAsia="zh-CN"/>
                    </w:rPr>
                    <w:t>/T 38597</w:t>
                  </w:r>
                  <w:r>
                    <w:rPr>
                      <w:rFonts w:hint="eastAsia"/>
                      <w:color w:val="auto"/>
                      <w:sz w:val="21"/>
                      <w:szCs w:val="21"/>
                      <w:highlight w:val="none"/>
                    </w:rPr>
                    <w:t>-2020）表2中</w:t>
                  </w:r>
                  <w:r>
                    <w:rPr>
                      <w:rFonts w:hint="eastAsia"/>
                      <w:color w:val="auto"/>
                      <w:sz w:val="21"/>
                      <w:szCs w:val="21"/>
                      <w:highlight w:val="none"/>
                      <w:lang w:eastAsia="zh-CN"/>
                    </w:rPr>
                    <w:t>“</w:t>
                  </w:r>
                  <w:r>
                    <w:rPr>
                      <w:rFonts w:hint="eastAsia"/>
                      <w:color w:val="auto"/>
                      <w:sz w:val="21"/>
                      <w:szCs w:val="21"/>
                      <w:highlight w:val="none"/>
                      <w:lang w:val="en-US" w:eastAsia="zh-CN"/>
                    </w:rPr>
                    <w:t>车辆涂料-汽车修补用涂料-中涂的</w:t>
                  </w:r>
                  <w:r>
                    <w:rPr>
                      <w:rFonts w:hint="eastAsia"/>
                      <w:color w:val="auto"/>
                      <w:sz w:val="21"/>
                      <w:szCs w:val="21"/>
                      <w:highlight w:val="none"/>
                    </w:rPr>
                    <w:t>限值≤</w:t>
                  </w:r>
                  <w:r>
                    <w:rPr>
                      <w:rFonts w:hint="eastAsia"/>
                      <w:color w:val="auto"/>
                      <w:sz w:val="21"/>
                      <w:szCs w:val="21"/>
                      <w:highlight w:val="none"/>
                      <w:lang w:val="en-US" w:eastAsia="zh-CN"/>
                    </w:rPr>
                    <w:t>540</w:t>
                  </w:r>
                  <w:r>
                    <w:rPr>
                      <w:rFonts w:hint="eastAsia"/>
                      <w:color w:val="auto"/>
                      <w:sz w:val="21"/>
                      <w:szCs w:val="21"/>
                      <w:highlight w:val="none"/>
                    </w:rPr>
                    <w:t>g/L”</w:t>
                  </w:r>
                </w:p>
              </w:tc>
              <w:tc>
                <w:tcPr>
                  <w:tcW w:w="909" w:type="dxa"/>
                  <w:noWrap w:val="0"/>
                  <w:vAlign w:val="center"/>
                </w:tcPr>
                <w:p w14:paraId="62DB9C6E">
                  <w:pPr>
                    <w:pStyle w:val="84"/>
                    <w:spacing w:line="240" w:lineRule="auto"/>
                    <w:ind w:firstLine="0" w:firstLineChars="0"/>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符合</w:t>
                  </w:r>
                </w:p>
              </w:tc>
            </w:tr>
            <w:tr w14:paraId="146888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6" w:type="dxa"/>
                  <w:noWrap w:val="0"/>
                  <w:vAlign w:val="center"/>
                </w:tcPr>
                <w:p w14:paraId="397FA158">
                  <w:pPr>
                    <w:pStyle w:val="84"/>
                    <w:spacing w:line="240" w:lineRule="auto"/>
                    <w:ind w:firstLine="0" w:firstLineChars="0"/>
                    <w:jc w:val="center"/>
                    <w:rPr>
                      <w:color w:val="auto"/>
                      <w:sz w:val="21"/>
                      <w:szCs w:val="21"/>
                      <w:highlight w:val="none"/>
                    </w:rPr>
                  </w:pPr>
                  <w:r>
                    <w:rPr>
                      <w:rFonts w:hint="eastAsia"/>
                      <w:color w:val="auto"/>
                      <w:sz w:val="21"/>
                      <w:szCs w:val="21"/>
                      <w:highlight w:val="none"/>
                    </w:rPr>
                    <w:t>2</w:t>
                  </w:r>
                </w:p>
              </w:tc>
              <w:tc>
                <w:tcPr>
                  <w:tcW w:w="1131" w:type="dxa"/>
                  <w:noWrap w:val="0"/>
                  <w:vAlign w:val="center"/>
                </w:tcPr>
                <w:p w14:paraId="1F6690D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4"/>
                      <w:szCs w:val="21"/>
                    </w:rPr>
                    <w:t>清漆</w:t>
                  </w:r>
                </w:p>
              </w:tc>
              <w:tc>
                <w:tcPr>
                  <w:tcW w:w="2032" w:type="dxa"/>
                  <w:noWrap w:val="0"/>
                  <w:vAlign w:val="center"/>
                </w:tcPr>
                <w:p w14:paraId="403A099F">
                  <w:pPr>
                    <w:pStyle w:val="84"/>
                    <w:spacing w:line="240" w:lineRule="auto"/>
                    <w:ind w:firstLine="0" w:firstLineChars="0"/>
                    <w:jc w:val="center"/>
                    <w:rPr>
                      <w:color w:val="auto"/>
                      <w:sz w:val="21"/>
                      <w:szCs w:val="21"/>
                      <w:highlight w:val="none"/>
                    </w:rPr>
                  </w:pPr>
                  <w:r>
                    <w:rPr>
                      <w:rFonts w:hint="eastAsia"/>
                      <w:color w:val="auto"/>
                      <w:sz w:val="21"/>
                      <w:szCs w:val="21"/>
                      <w:highlight w:val="none"/>
                    </w:rPr>
                    <w:t>VOC含量为</w:t>
                  </w:r>
                  <w:r>
                    <w:rPr>
                      <w:rFonts w:hint="eastAsia"/>
                      <w:color w:val="auto"/>
                      <w:sz w:val="21"/>
                      <w:szCs w:val="21"/>
                      <w:highlight w:val="none"/>
                      <w:lang w:val="en-US" w:eastAsia="zh-CN"/>
                    </w:rPr>
                    <w:t>412</w:t>
                  </w:r>
                  <w:r>
                    <w:rPr>
                      <w:rFonts w:hint="eastAsia"/>
                      <w:color w:val="auto"/>
                      <w:sz w:val="21"/>
                      <w:szCs w:val="21"/>
                      <w:highlight w:val="none"/>
                    </w:rPr>
                    <w:t>g/L</w:t>
                  </w:r>
                </w:p>
              </w:tc>
              <w:tc>
                <w:tcPr>
                  <w:tcW w:w="3453" w:type="dxa"/>
                  <w:noWrap w:val="0"/>
                  <w:vAlign w:val="center"/>
                </w:tcPr>
                <w:p w14:paraId="65E3BA4E">
                  <w:pPr>
                    <w:pStyle w:val="84"/>
                    <w:spacing w:line="240" w:lineRule="auto"/>
                    <w:ind w:firstLine="0" w:firstLineChars="0"/>
                    <w:jc w:val="center"/>
                    <w:rPr>
                      <w:color w:val="auto"/>
                      <w:sz w:val="21"/>
                      <w:szCs w:val="21"/>
                      <w:highlight w:val="none"/>
                    </w:rPr>
                  </w:pPr>
                  <w:r>
                    <w:rPr>
                      <w:rFonts w:hint="eastAsia"/>
                      <w:color w:val="auto"/>
                      <w:sz w:val="21"/>
                      <w:szCs w:val="21"/>
                      <w:highlight w:val="none"/>
                    </w:rPr>
                    <w:t>表2中</w:t>
                  </w:r>
                  <w:r>
                    <w:rPr>
                      <w:rFonts w:hint="eastAsia"/>
                      <w:color w:val="auto"/>
                      <w:sz w:val="21"/>
                      <w:szCs w:val="21"/>
                      <w:highlight w:val="none"/>
                      <w:lang w:eastAsia="zh-CN"/>
                    </w:rPr>
                    <w:t>“</w:t>
                  </w:r>
                  <w:r>
                    <w:rPr>
                      <w:rFonts w:hint="eastAsia"/>
                      <w:color w:val="auto"/>
                      <w:sz w:val="21"/>
                      <w:szCs w:val="21"/>
                      <w:highlight w:val="none"/>
                      <w:lang w:val="en-US" w:eastAsia="zh-CN"/>
                    </w:rPr>
                    <w:t>车辆涂料-汽车修补用涂料-清漆的</w:t>
                  </w:r>
                  <w:r>
                    <w:rPr>
                      <w:rFonts w:hint="eastAsia"/>
                      <w:color w:val="auto"/>
                      <w:sz w:val="21"/>
                      <w:szCs w:val="21"/>
                      <w:highlight w:val="none"/>
                    </w:rPr>
                    <w:t>限值≤</w:t>
                  </w:r>
                  <w:r>
                    <w:rPr>
                      <w:rFonts w:hint="eastAsia"/>
                      <w:color w:val="auto"/>
                      <w:sz w:val="21"/>
                      <w:szCs w:val="21"/>
                      <w:highlight w:val="none"/>
                      <w:lang w:val="en-US" w:eastAsia="zh-CN"/>
                    </w:rPr>
                    <w:t>420</w:t>
                  </w:r>
                  <w:r>
                    <w:rPr>
                      <w:rFonts w:hint="eastAsia"/>
                      <w:color w:val="auto"/>
                      <w:sz w:val="21"/>
                      <w:szCs w:val="21"/>
                      <w:highlight w:val="none"/>
                    </w:rPr>
                    <w:t>g/L”</w:t>
                  </w:r>
                </w:p>
              </w:tc>
              <w:tc>
                <w:tcPr>
                  <w:tcW w:w="909" w:type="dxa"/>
                  <w:noWrap w:val="0"/>
                  <w:vAlign w:val="center"/>
                </w:tcPr>
                <w:p w14:paraId="23D7B7AE">
                  <w:pPr>
                    <w:pStyle w:val="84"/>
                    <w:spacing w:line="240" w:lineRule="auto"/>
                    <w:ind w:firstLine="0" w:firstLineChars="0"/>
                    <w:jc w:val="center"/>
                    <w:rPr>
                      <w:color w:val="auto"/>
                      <w:sz w:val="21"/>
                      <w:szCs w:val="21"/>
                      <w:highlight w:val="none"/>
                    </w:rPr>
                  </w:pPr>
                  <w:r>
                    <w:rPr>
                      <w:rFonts w:hint="eastAsia"/>
                      <w:color w:val="auto"/>
                      <w:sz w:val="21"/>
                      <w:szCs w:val="21"/>
                      <w:highlight w:val="none"/>
                      <w:lang w:val="en-US" w:eastAsia="zh-CN"/>
                    </w:rPr>
                    <w:t>符合</w:t>
                  </w:r>
                </w:p>
              </w:tc>
            </w:tr>
            <w:tr w14:paraId="47A7C5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6" w:type="dxa"/>
                  <w:noWrap w:val="0"/>
                  <w:vAlign w:val="center"/>
                </w:tcPr>
                <w:p w14:paraId="5EAB3412">
                  <w:pPr>
                    <w:pStyle w:val="84"/>
                    <w:spacing w:line="240" w:lineRule="auto"/>
                    <w:ind w:firstLine="0" w:firstLineChars="0"/>
                    <w:jc w:val="center"/>
                    <w:rPr>
                      <w:color w:val="auto"/>
                      <w:sz w:val="21"/>
                      <w:szCs w:val="21"/>
                      <w:highlight w:val="none"/>
                    </w:rPr>
                  </w:pPr>
                  <w:r>
                    <w:rPr>
                      <w:rFonts w:hint="eastAsia"/>
                      <w:color w:val="auto"/>
                      <w:sz w:val="21"/>
                      <w:szCs w:val="21"/>
                      <w:highlight w:val="none"/>
                    </w:rPr>
                    <w:t>3</w:t>
                  </w:r>
                </w:p>
              </w:tc>
              <w:tc>
                <w:tcPr>
                  <w:tcW w:w="1131" w:type="dxa"/>
                  <w:noWrap w:val="0"/>
                  <w:vAlign w:val="center"/>
                </w:tcPr>
                <w:p w14:paraId="7F26561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3"/>
                      <w:szCs w:val="21"/>
                    </w:rPr>
                    <w:t>水性底色漆</w:t>
                  </w:r>
                </w:p>
              </w:tc>
              <w:tc>
                <w:tcPr>
                  <w:tcW w:w="2032" w:type="dxa"/>
                  <w:noWrap w:val="0"/>
                  <w:vAlign w:val="center"/>
                </w:tcPr>
                <w:p w14:paraId="3B1A5B2F">
                  <w:pPr>
                    <w:pStyle w:val="84"/>
                    <w:spacing w:line="240" w:lineRule="auto"/>
                    <w:ind w:firstLine="0" w:firstLineChars="0"/>
                    <w:jc w:val="center"/>
                    <w:rPr>
                      <w:color w:val="auto"/>
                      <w:sz w:val="21"/>
                      <w:szCs w:val="21"/>
                      <w:highlight w:val="none"/>
                    </w:rPr>
                  </w:pPr>
                  <w:r>
                    <w:rPr>
                      <w:rFonts w:hint="eastAsia"/>
                      <w:color w:val="auto"/>
                      <w:sz w:val="21"/>
                      <w:szCs w:val="24"/>
                      <w:highlight w:val="none"/>
                    </w:rPr>
                    <w:t>VOC含量</w:t>
                  </w:r>
                  <w:r>
                    <w:rPr>
                      <w:color w:val="auto"/>
                      <w:sz w:val="21"/>
                      <w:szCs w:val="24"/>
                      <w:highlight w:val="none"/>
                    </w:rPr>
                    <w:t>为</w:t>
                  </w:r>
                  <w:r>
                    <w:rPr>
                      <w:rFonts w:hint="eastAsia"/>
                      <w:color w:val="auto"/>
                      <w:sz w:val="21"/>
                      <w:szCs w:val="24"/>
                      <w:highlight w:val="none"/>
                      <w:lang w:val="en-US" w:eastAsia="zh-CN"/>
                    </w:rPr>
                    <w:t>294</w:t>
                  </w:r>
                  <w:r>
                    <w:rPr>
                      <w:color w:val="auto"/>
                      <w:sz w:val="21"/>
                      <w:szCs w:val="24"/>
                      <w:highlight w:val="none"/>
                    </w:rPr>
                    <w:t>g/L</w:t>
                  </w:r>
                </w:p>
              </w:tc>
              <w:tc>
                <w:tcPr>
                  <w:tcW w:w="3453" w:type="dxa"/>
                  <w:noWrap w:val="0"/>
                  <w:vAlign w:val="center"/>
                </w:tcPr>
                <w:p w14:paraId="7097F953">
                  <w:pPr>
                    <w:pStyle w:val="84"/>
                    <w:spacing w:line="240" w:lineRule="auto"/>
                    <w:ind w:firstLine="0" w:firstLineChars="0"/>
                    <w:jc w:val="center"/>
                    <w:rPr>
                      <w:color w:val="auto"/>
                      <w:sz w:val="21"/>
                      <w:szCs w:val="21"/>
                      <w:highlight w:val="none"/>
                    </w:rPr>
                  </w:pPr>
                  <w:r>
                    <w:rPr>
                      <w:rFonts w:hint="eastAsia"/>
                      <w:color w:val="auto"/>
                      <w:sz w:val="21"/>
                      <w:szCs w:val="21"/>
                      <w:highlight w:val="none"/>
                    </w:rPr>
                    <w:t>表</w:t>
                  </w:r>
                  <w:r>
                    <w:rPr>
                      <w:rFonts w:hint="eastAsia"/>
                      <w:color w:val="auto"/>
                      <w:sz w:val="21"/>
                      <w:szCs w:val="21"/>
                      <w:highlight w:val="none"/>
                      <w:lang w:val="en-US" w:eastAsia="zh-CN"/>
                    </w:rPr>
                    <w:t>1</w:t>
                  </w:r>
                  <w:r>
                    <w:rPr>
                      <w:rFonts w:hint="eastAsia"/>
                      <w:color w:val="auto"/>
                      <w:sz w:val="21"/>
                      <w:szCs w:val="21"/>
                      <w:highlight w:val="none"/>
                    </w:rPr>
                    <w:t>中</w:t>
                  </w:r>
                  <w:r>
                    <w:rPr>
                      <w:rFonts w:hint="eastAsia"/>
                      <w:color w:val="auto"/>
                      <w:sz w:val="21"/>
                      <w:szCs w:val="21"/>
                      <w:highlight w:val="none"/>
                      <w:lang w:eastAsia="zh-CN"/>
                    </w:rPr>
                    <w:t>“</w:t>
                  </w:r>
                  <w:r>
                    <w:rPr>
                      <w:rFonts w:hint="eastAsia"/>
                      <w:color w:val="auto"/>
                      <w:sz w:val="21"/>
                      <w:szCs w:val="21"/>
                      <w:highlight w:val="none"/>
                      <w:lang w:val="en-US" w:eastAsia="zh-CN"/>
                    </w:rPr>
                    <w:t>车辆涂料-汽车修补用涂料-底色漆的</w:t>
                  </w:r>
                  <w:r>
                    <w:rPr>
                      <w:rFonts w:hint="eastAsia"/>
                      <w:color w:val="auto"/>
                      <w:sz w:val="21"/>
                      <w:szCs w:val="21"/>
                      <w:highlight w:val="none"/>
                    </w:rPr>
                    <w:t>限值≤</w:t>
                  </w:r>
                  <w:r>
                    <w:rPr>
                      <w:rFonts w:hint="eastAsia"/>
                      <w:color w:val="auto"/>
                      <w:sz w:val="21"/>
                      <w:szCs w:val="21"/>
                      <w:highlight w:val="none"/>
                      <w:lang w:val="en-US" w:eastAsia="zh-CN"/>
                    </w:rPr>
                    <w:t>380</w:t>
                  </w:r>
                  <w:r>
                    <w:rPr>
                      <w:rFonts w:hint="eastAsia"/>
                      <w:color w:val="auto"/>
                      <w:sz w:val="21"/>
                      <w:szCs w:val="21"/>
                      <w:highlight w:val="none"/>
                    </w:rPr>
                    <w:t>g/L”</w:t>
                  </w:r>
                </w:p>
              </w:tc>
              <w:tc>
                <w:tcPr>
                  <w:tcW w:w="909" w:type="dxa"/>
                  <w:noWrap w:val="0"/>
                  <w:vAlign w:val="center"/>
                </w:tcPr>
                <w:p w14:paraId="13FC7E2D">
                  <w:pPr>
                    <w:pStyle w:val="84"/>
                    <w:spacing w:line="240" w:lineRule="auto"/>
                    <w:ind w:firstLine="0" w:firstLineChars="0"/>
                    <w:jc w:val="center"/>
                    <w:rPr>
                      <w:color w:val="auto"/>
                      <w:sz w:val="21"/>
                      <w:szCs w:val="21"/>
                      <w:highlight w:val="none"/>
                    </w:rPr>
                  </w:pPr>
                  <w:r>
                    <w:rPr>
                      <w:rFonts w:hint="eastAsia"/>
                      <w:color w:val="auto"/>
                      <w:sz w:val="21"/>
                      <w:szCs w:val="21"/>
                      <w:highlight w:val="none"/>
                      <w:lang w:val="en-US" w:eastAsia="zh-CN"/>
                    </w:rPr>
                    <w:t>符合</w:t>
                  </w:r>
                </w:p>
              </w:tc>
            </w:tr>
          </w:tbl>
          <w:p w14:paraId="4DFB7E10">
            <w:pPr>
              <w:adjustRightInd w:val="0"/>
              <w:snapToGrid w:val="0"/>
              <w:spacing w:before="120" w:beforeLines="50" w:line="360" w:lineRule="auto"/>
              <w:ind w:firstLine="480" w:firstLineChars="200"/>
              <w:rPr>
                <w:rFonts w:ascii="Times New Roman" w:hAnsi="Times New Roman" w:cs="Times New Roman"/>
                <w:color w:val="auto"/>
                <w:sz w:val="24"/>
              </w:rPr>
            </w:pPr>
            <w:r>
              <w:rPr>
                <w:rFonts w:ascii="Times New Roman" w:hAnsi="Times New Roman" w:cs="Times New Roman"/>
                <w:color w:val="auto"/>
                <w:sz w:val="24"/>
              </w:rPr>
              <w:t>（</w:t>
            </w:r>
            <w:r>
              <w:rPr>
                <w:rFonts w:hint="eastAsia" w:ascii="Times New Roman" w:hAnsi="Times New Roman" w:cs="Times New Roman"/>
                <w:color w:val="auto"/>
                <w:sz w:val="24"/>
                <w:lang w:val="en-US" w:eastAsia="zh-CN"/>
              </w:rPr>
              <w:t>5</w:t>
            </w:r>
            <w:r>
              <w:rPr>
                <w:rFonts w:ascii="Times New Roman" w:hAnsi="Times New Roman" w:cs="Times New Roman"/>
                <w:color w:val="auto"/>
                <w:sz w:val="24"/>
              </w:rPr>
              <w:t>）</w:t>
            </w:r>
            <w:r>
              <w:rPr>
                <w:rFonts w:hint="eastAsia" w:ascii="Times New Roman" w:hAnsi="Times New Roman" w:cs="Times New Roman"/>
                <w:color w:val="auto"/>
                <w:sz w:val="24"/>
                <w:lang w:val="en-US" w:eastAsia="zh-CN"/>
              </w:rPr>
              <w:t>物料</w:t>
            </w:r>
            <w:r>
              <w:rPr>
                <w:rFonts w:ascii="Times New Roman" w:hAnsi="Times New Roman" w:cs="Times New Roman"/>
                <w:color w:val="auto"/>
                <w:sz w:val="24"/>
              </w:rPr>
              <w:t>平衡</w:t>
            </w:r>
          </w:p>
          <w:p w14:paraId="2354BE77">
            <w:pPr>
              <w:adjustRightInd w:val="0"/>
              <w:snapToGrid w:val="0"/>
              <w:spacing w:line="360" w:lineRule="auto"/>
              <w:ind w:firstLine="480" w:firstLineChars="200"/>
              <w:rPr>
                <w:rFonts w:hint="default" w:ascii="Times New Roman" w:hAnsi="Times New Roman" w:cs="Times New Roman"/>
                <w:color w:val="auto"/>
                <w:sz w:val="24"/>
                <w:lang w:val="en-US"/>
              </w:rPr>
            </w:pPr>
            <w:r>
              <w:rPr>
                <w:rFonts w:hint="eastAsia" w:cs="Times New Roman"/>
                <w:color w:val="auto"/>
                <w:sz w:val="24"/>
                <w:lang w:val="en-US" w:eastAsia="zh-CN"/>
              </w:rPr>
              <w:t>①</w:t>
            </w:r>
            <w:r>
              <w:rPr>
                <w:rFonts w:ascii="Times New Roman" w:hAnsi="Times New Roman" w:cs="Times New Roman"/>
                <w:color w:val="auto"/>
                <w:sz w:val="24"/>
              </w:rPr>
              <w:t>本项目漆料平衡见表</w:t>
            </w:r>
            <w:r>
              <w:rPr>
                <w:rFonts w:hint="eastAsia" w:cs="Times New Roman"/>
                <w:color w:val="auto"/>
                <w:sz w:val="24"/>
                <w:lang w:val="en-US" w:eastAsia="zh-CN"/>
              </w:rPr>
              <w:t>2-7；</w:t>
            </w:r>
            <w:r>
              <w:rPr>
                <w:rFonts w:hint="eastAsia" w:ascii="Times New Roman" w:hAnsi="Times New Roman" w:cs="Times New Roman"/>
                <w:color w:val="auto"/>
                <w:sz w:val="24"/>
              </w:rPr>
              <w:t>各类</w:t>
            </w:r>
            <w:r>
              <w:rPr>
                <w:rFonts w:hint="eastAsia" w:ascii="Times New Roman" w:hAnsi="Times New Roman" w:cs="Times New Roman"/>
                <w:color w:val="auto"/>
                <w:sz w:val="24"/>
                <w:lang w:val="en-US" w:eastAsia="zh-CN"/>
              </w:rPr>
              <w:t>漆料</w:t>
            </w:r>
            <w:r>
              <w:rPr>
                <w:rFonts w:hint="eastAsia" w:ascii="Times New Roman" w:hAnsi="Times New Roman" w:cs="Times New Roman"/>
                <w:color w:val="auto"/>
                <w:sz w:val="24"/>
              </w:rPr>
              <w:t>使用过程中的物料平衡</w:t>
            </w:r>
            <w:r>
              <w:rPr>
                <w:rFonts w:hint="eastAsia" w:cs="Times New Roman"/>
                <w:color w:val="auto"/>
                <w:sz w:val="24"/>
                <w:lang w:val="en-US" w:eastAsia="zh-CN"/>
              </w:rPr>
              <w:t>见</w:t>
            </w:r>
            <w:r>
              <w:rPr>
                <w:rFonts w:hint="eastAsia" w:ascii="Times New Roman" w:hAnsi="Times New Roman" w:cs="Times New Roman"/>
                <w:color w:val="auto"/>
                <w:sz w:val="24"/>
                <w:lang w:val="en-US" w:eastAsia="zh-CN"/>
              </w:rPr>
              <w:t>图</w:t>
            </w:r>
            <w:r>
              <w:rPr>
                <w:rFonts w:hint="eastAsia" w:cs="Times New Roman"/>
                <w:color w:val="auto"/>
                <w:sz w:val="24"/>
                <w:lang w:val="en-US" w:eastAsia="zh-CN"/>
              </w:rPr>
              <w:t>2-1。</w:t>
            </w:r>
          </w:p>
          <w:p w14:paraId="222AB952">
            <w:pPr>
              <w:adjustRightInd w:val="0"/>
              <w:snapToGrid w:val="0"/>
              <w:jc w:val="center"/>
              <w:rPr>
                <w:rFonts w:ascii="Times New Roman" w:hAnsi="Times New Roman" w:cs="Times New Roman"/>
                <w:b/>
                <w:color w:val="auto"/>
                <w:sz w:val="24"/>
              </w:rPr>
            </w:pPr>
            <w:r>
              <w:rPr>
                <w:rFonts w:ascii="Times New Roman" w:hAnsi="Times New Roman" w:cs="Times New Roman"/>
                <w:b/>
                <w:color w:val="auto"/>
                <w:sz w:val="24"/>
              </w:rPr>
              <w:t>表2-</w:t>
            </w:r>
            <w:r>
              <w:rPr>
                <w:rFonts w:hint="eastAsia" w:ascii="Times New Roman" w:hAnsi="Times New Roman" w:cs="Times New Roman"/>
                <w:b/>
                <w:color w:val="auto"/>
                <w:sz w:val="24"/>
                <w:lang w:val="en-US" w:eastAsia="zh-CN"/>
              </w:rPr>
              <w:t>7</w:t>
            </w:r>
            <w:r>
              <w:rPr>
                <w:rFonts w:ascii="Times New Roman" w:hAnsi="Times New Roman" w:cs="Times New Roman"/>
                <w:b/>
                <w:color w:val="auto"/>
                <w:sz w:val="24"/>
              </w:rPr>
              <w:t xml:space="preserve">  项目漆料物料平衡表（t/a）</w:t>
            </w:r>
          </w:p>
          <w:tbl>
            <w:tblPr>
              <w:tblStyle w:val="25"/>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1296"/>
              <w:gridCol w:w="1325"/>
              <w:gridCol w:w="2434"/>
              <w:gridCol w:w="1354"/>
            </w:tblGrid>
            <w:tr w14:paraId="6DA4BB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54" w:type="pct"/>
                  <w:gridSpan w:val="2"/>
                  <w:noWrap w:val="0"/>
                  <w:vAlign w:val="center"/>
                </w:tcPr>
                <w:p w14:paraId="44A50AC8">
                  <w:pPr>
                    <w:pStyle w:val="24"/>
                    <w:spacing w:after="0"/>
                    <w:ind w:left="0" w:leftChars="0" w:firstLine="0" w:firstLineChars="0"/>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投入</w:t>
                  </w:r>
                </w:p>
              </w:tc>
              <w:tc>
                <w:tcPr>
                  <w:tcW w:w="3145" w:type="pct"/>
                  <w:gridSpan w:val="3"/>
                  <w:noWrap w:val="0"/>
                  <w:vAlign w:val="center"/>
                </w:tcPr>
                <w:p w14:paraId="3A78C0B7">
                  <w:pPr>
                    <w:pStyle w:val="24"/>
                    <w:spacing w:after="0"/>
                    <w:ind w:left="0" w:leftChars="0" w:firstLine="0" w:firstLineChars="0"/>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输出</w:t>
                  </w:r>
                </w:p>
              </w:tc>
            </w:tr>
            <w:tr w14:paraId="2AC0D1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56" w:type="pct"/>
                  <w:noWrap w:val="0"/>
                  <w:vAlign w:val="center"/>
                </w:tcPr>
                <w:p w14:paraId="79B2020A">
                  <w:pPr>
                    <w:pStyle w:val="24"/>
                    <w:spacing w:after="0"/>
                    <w:ind w:left="0" w:leftChars="0" w:firstLine="0" w:firstLineChars="0"/>
                    <w:jc w:val="center"/>
                    <w:rPr>
                      <w:rFonts w:hint="eastAsia" w:ascii="Times New Roman" w:hAnsi="Times New Roman" w:eastAsia="宋体" w:cs="Times New Roman"/>
                      <w:b/>
                      <w:bCs/>
                      <w:color w:val="auto"/>
                      <w:sz w:val="21"/>
                      <w:szCs w:val="21"/>
                      <w:lang w:eastAsia="zh-CN"/>
                    </w:rPr>
                  </w:pPr>
                  <w:r>
                    <w:rPr>
                      <w:rFonts w:hint="eastAsia" w:cs="Times New Roman"/>
                      <w:b/>
                      <w:bCs/>
                      <w:color w:val="auto"/>
                      <w:sz w:val="21"/>
                      <w:szCs w:val="21"/>
                      <w:lang w:val="en-US" w:eastAsia="zh-CN"/>
                    </w:rPr>
                    <w:t>种类</w:t>
                  </w:r>
                </w:p>
              </w:tc>
              <w:tc>
                <w:tcPr>
                  <w:tcW w:w="797" w:type="pct"/>
                  <w:noWrap w:val="0"/>
                  <w:vAlign w:val="center"/>
                </w:tcPr>
                <w:p w14:paraId="0A4FC869">
                  <w:pPr>
                    <w:pStyle w:val="24"/>
                    <w:spacing w:after="0"/>
                    <w:ind w:left="0" w:leftChars="0" w:firstLine="0" w:firstLineChars="0"/>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使用量</w:t>
                  </w:r>
                </w:p>
              </w:tc>
              <w:tc>
                <w:tcPr>
                  <w:tcW w:w="2312" w:type="pct"/>
                  <w:gridSpan w:val="2"/>
                  <w:noWrap w:val="0"/>
                  <w:vAlign w:val="center"/>
                </w:tcPr>
                <w:p w14:paraId="32602BDF">
                  <w:pPr>
                    <w:pStyle w:val="24"/>
                    <w:spacing w:after="0"/>
                    <w:ind w:left="0" w:leftChars="0" w:firstLine="0" w:firstLineChars="0"/>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种类</w:t>
                  </w:r>
                </w:p>
              </w:tc>
              <w:tc>
                <w:tcPr>
                  <w:tcW w:w="833" w:type="pct"/>
                  <w:noWrap w:val="0"/>
                  <w:vAlign w:val="center"/>
                </w:tcPr>
                <w:p w14:paraId="2F61482D">
                  <w:pPr>
                    <w:pStyle w:val="24"/>
                    <w:spacing w:after="0"/>
                    <w:ind w:left="0" w:leftChars="0" w:firstLine="0" w:firstLineChars="0"/>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数量</w:t>
                  </w:r>
                </w:p>
              </w:tc>
            </w:tr>
            <w:tr w14:paraId="1C6DC0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56" w:type="pct"/>
                  <w:noWrap w:val="0"/>
                  <w:vAlign w:val="center"/>
                </w:tcPr>
                <w:p w14:paraId="34C59804">
                  <w:pPr>
                    <w:pStyle w:val="16"/>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lang w:val="en-US" w:eastAsia="zh-CN"/>
                    </w:rPr>
                    <w:t>中涂漆</w:t>
                  </w:r>
                  <w:r>
                    <w:rPr>
                      <w:rFonts w:hint="eastAsia" w:ascii="Times New Roman" w:hAnsi="Times New Roman" w:eastAsia="宋体" w:cs="Times New Roman"/>
                      <w:color w:val="auto"/>
                      <w:sz w:val="21"/>
                      <w:szCs w:val="21"/>
                      <w:lang w:val="en-US" w:eastAsia="zh-CN"/>
                    </w:rPr>
                    <w:t>主漆</w:t>
                  </w:r>
                </w:p>
              </w:tc>
              <w:tc>
                <w:tcPr>
                  <w:tcW w:w="797" w:type="pct"/>
                  <w:shd w:val="clear" w:color="auto" w:fill="auto"/>
                  <w:noWrap w:val="0"/>
                  <w:vAlign w:val="center"/>
                </w:tcPr>
                <w:p w14:paraId="780AB30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pacing w:val="-2"/>
                      <w:szCs w:val="21"/>
                      <w:lang w:val="en-US" w:eastAsia="zh-CN"/>
                    </w:rPr>
                    <w:t>1.08</w:t>
                  </w:r>
                </w:p>
              </w:tc>
              <w:tc>
                <w:tcPr>
                  <w:tcW w:w="815" w:type="pct"/>
                  <w:vMerge w:val="restart"/>
                  <w:noWrap w:val="0"/>
                  <w:vAlign w:val="center"/>
                </w:tcPr>
                <w:p w14:paraId="6DC9E910">
                  <w:pPr>
                    <w:pStyle w:val="24"/>
                    <w:spacing w:after="0"/>
                    <w:ind w:left="0" w:leftChars="0" w:firstLine="0" w:firstLineChars="0"/>
                    <w:jc w:val="center"/>
                    <w:rPr>
                      <w:rFonts w:ascii="Times New Roman" w:hAnsi="Times New Roman" w:cs="Times New Roman"/>
                      <w:color w:val="auto"/>
                      <w:sz w:val="21"/>
                      <w:szCs w:val="21"/>
                    </w:rPr>
                  </w:pPr>
                  <w:r>
                    <w:rPr>
                      <w:rFonts w:ascii="Times New Roman" w:hAnsi="Times New Roman" w:cs="Times New Roman"/>
                      <w:color w:val="auto"/>
                      <w:sz w:val="21"/>
                      <w:szCs w:val="21"/>
                    </w:rPr>
                    <w:t>固体组分</w:t>
                  </w:r>
                </w:p>
              </w:tc>
              <w:tc>
                <w:tcPr>
                  <w:tcW w:w="1497" w:type="pct"/>
                  <w:noWrap w:val="0"/>
                  <w:vAlign w:val="center"/>
                </w:tcPr>
                <w:p w14:paraId="676F73F9">
                  <w:pPr>
                    <w:pStyle w:val="24"/>
                    <w:spacing w:after="0"/>
                    <w:ind w:left="0" w:leftChars="0" w:firstLine="0" w:firstLineChars="0"/>
                    <w:jc w:val="center"/>
                    <w:rPr>
                      <w:rFonts w:ascii="Times New Roman" w:hAnsi="Times New Roman" w:cs="Times New Roman"/>
                      <w:color w:val="auto"/>
                      <w:sz w:val="21"/>
                      <w:szCs w:val="21"/>
                    </w:rPr>
                  </w:pPr>
                  <w:r>
                    <w:rPr>
                      <w:rFonts w:ascii="Times New Roman" w:hAnsi="Times New Roman" w:cs="Times New Roman"/>
                      <w:color w:val="auto"/>
                      <w:sz w:val="21"/>
                      <w:szCs w:val="21"/>
                    </w:rPr>
                    <w:t>成品附着</w:t>
                  </w:r>
                </w:p>
              </w:tc>
              <w:tc>
                <w:tcPr>
                  <w:tcW w:w="833" w:type="pct"/>
                  <w:noWrap w:val="0"/>
                  <w:vAlign w:val="center"/>
                </w:tcPr>
                <w:p w14:paraId="5193D4C3">
                  <w:pPr>
                    <w:pStyle w:val="24"/>
                    <w:spacing w:after="0"/>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2.111</w:t>
                  </w:r>
                </w:p>
              </w:tc>
            </w:tr>
            <w:tr w14:paraId="59D2BB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56" w:type="pct"/>
                  <w:noWrap w:val="0"/>
                  <w:vAlign w:val="center"/>
                </w:tcPr>
                <w:p w14:paraId="3A69F071">
                  <w:pPr>
                    <w:pStyle w:val="16"/>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sz w:val="21"/>
                      <w:szCs w:val="21"/>
                      <w:lang w:val="en-US" w:eastAsia="zh-CN"/>
                    </w:rPr>
                    <w:t>中涂固化剂</w:t>
                  </w:r>
                </w:p>
              </w:tc>
              <w:tc>
                <w:tcPr>
                  <w:tcW w:w="797" w:type="pct"/>
                  <w:shd w:val="clear" w:color="auto" w:fill="auto"/>
                  <w:noWrap w:val="0"/>
                  <w:vAlign w:val="center"/>
                </w:tcPr>
                <w:p w14:paraId="0A96188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Cs w:val="21"/>
                    </w:rPr>
                    <w:t>0.</w:t>
                  </w:r>
                  <w:r>
                    <w:rPr>
                      <w:rFonts w:hint="eastAsia" w:ascii="Times New Roman" w:hAnsi="Times New Roman" w:eastAsia="宋体" w:cs="Times New Roman"/>
                      <w:color w:val="auto"/>
                      <w:spacing w:val="-2"/>
                      <w:szCs w:val="21"/>
                      <w:lang w:val="en-US" w:eastAsia="zh-CN"/>
                    </w:rPr>
                    <w:t>348</w:t>
                  </w:r>
                </w:p>
              </w:tc>
              <w:tc>
                <w:tcPr>
                  <w:tcW w:w="815" w:type="pct"/>
                  <w:vMerge w:val="continue"/>
                  <w:noWrap w:val="0"/>
                  <w:vAlign w:val="center"/>
                </w:tcPr>
                <w:p w14:paraId="5E75F573">
                  <w:pPr>
                    <w:pStyle w:val="24"/>
                    <w:spacing w:after="0"/>
                    <w:ind w:left="0" w:leftChars="0" w:firstLine="0" w:firstLineChars="0"/>
                    <w:jc w:val="center"/>
                    <w:rPr>
                      <w:rFonts w:ascii="Times New Roman" w:hAnsi="Times New Roman" w:cs="Times New Roman"/>
                      <w:color w:val="auto"/>
                      <w:sz w:val="21"/>
                      <w:szCs w:val="21"/>
                    </w:rPr>
                  </w:pPr>
                </w:p>
              </w:tc>
              <w:tc>
                <w:tcPr>
                  <w:tcW w:w="1497" w:type="pct"/>
                  <w:noWrap w:val="0"/>
                  <w:vAlign w:val="center"/>
                </w:tcPr>
                <w:p w14:paraId="31CAFBA4">
                  <w:pPr>
                    <w:pStyle w:val="24"/>
                    <w:spacing w:after="0"/>
                    <w:ind w:left="0" w:leftChars="0" w:firstLine="0" w:firstLineChars="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过滤棉</w:t>
                  </w:r>
                  <w:r>
                    <w:rPr>
                      <w:rFonts w:ascii="Times New Roman" w:hAnsi="Times New Roman" w:eastAsia="宋体" w:cs="Times New Roman"/>
                      <w:color w:val="auto"/>
                      <w:sz w:val="21"/>
                      <w:szCs w:val="21"/>
                    </w:rPr>
                    <w:t>吸附量</w:t>
                  </w:r>
                </w:p>
              </w:tc>
              <w:tc>
                <w:tcPr>
                  <w:tcW w:w="833" w:type="pct"/>
                  <w:noWrap w:val="0"/>
                  <w:vAlign w:val="center"/>
                </w:tcPr>
                <w:p w14:paraId="264ADE3F">
                  <w:pPr>
                    <w:pStyle w:val="24"/>
                    <w:spacing w:after="0"/>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w:t>
                  </w:r>
                  <w:r>
                    <w:rPr>
                      <w:rFonts w:hint="eastAsia" w:cs="Times New Roman"/>
                      <w:color w:val="auto"/>
                      <w:sz w:val="21"/>
                      <w:szCs w:val="21"/>
                      <w:lang w:val="en-US" w:eastAsia="zh-CN"/>
                    </w:rPr>
                    <w:t>568</w:t>
                  </w:r>
                </w:p>
              </w:tc>
            </w:tr>
            <w:tr w14:paraId="7FF40F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56" w:type="pct"/>
                  <w:noWrap w:val="0"/>
                  <w:vAlign w:val="center"/>
                </w:tcPr>
                <w:p w14:paraId="428850A2">
                  <w:pPr>
                    <w:pStyle w:val="16"/>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sz w:val="21"/>
                      <w:szCs w:val="21"/>
                      <w:lang w:val="en-US" w:eastAsia="zh-CN"/>
                    </w:rPr>
                    <w:t>中涂稀释剂</w:t>
                  </w:r>
                </w:p>
              </w:tc>
              <w:tc>
                <w:tcPr>
                  <w:tcW w:w="797" w:type="pct"/>
                  <w:shd w:val="clear" w:color="auto" w:fill="auto"/>
                  <w:noWrap w:val="0"/>
                  <w:vAlign w:val="center"/>
                </w:tcPr>
                <w:p w14:paraId="1894AC9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Cs w:val="21"/>
                    </w:rPr>
                    <w:t>0.</w:t>
                  </w:r>
                  <w:r>
                    <w:rPr>
                      <w:rFonts w:hint="eastAsia" w:ascii="Times New Roman" w:hAnsi="Times New Roman" w:eastAsia="宋体" w:cs="Times New Roman"/>
                      <w:color w:val="auto"/>
                      <w:spacing w:val="-2"/>
                      <w:szCs w:val="21"/>
                      <w:lang w:val="en-US" w:eastAsia="zh-CN"/>
                    </w:rPr>
                    <w:t>179</w:t>
                  </w:r>
                </w:p>
              </w:tc>
              <w:tc>
                <w:tcPr>
                  <w:tcW w:w="815" w:type="pct"/>
                  <w:vMerge w:val="continue"/>
                  <w:noWrap w:val="0"/>
                  <w:vAlign w:val="center"/>
                </w:tcPr>
                <w:p w14:paraId="629EAD93">
                  <w:pPr>
                    <w:pStyle w:val="24"/>
                    <w:spacing w:after="0"/>
                    <w:ind w:left="0" w:leftChars="0" w:firstLine="0" w:firstLineChars="0"/>
                    <w:jc w:val="center"/>
                    <w:rPr>
                      <w:rFonts w:ascii="Times New Roman" w:hAnsi="Times New Roman" w:cs="Times New Roman"/>
                      <w:color w:val="auto"/>
                      <w:sz w:val="21"/>
                      <w:szCs w:val="21"/>
                    </w:rPr>
                  </w:pPr>
                </w:p>
              </w:tc>
              <w:tc>
                <w:tcPr>
                  <w:tcW w:w="1497" w:type="pct"/>
                  <w:noWrap w:val="0"/>
                  <w:vAlign w:val="center"/>
                </w:tcPr>
                <w:p w14:paraId="767E91F3">
                  <w:pPr>
                    <w:pStyle w:val="24"/>
                    <w:spacing w:after="0"/>
                    <w:ind w:left="0" w:leftChars="0"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漆雾有组织排放量</w:t>
                  </w:r>
                </w:p>
              </w:tc>
              <w:tc>
                <w:tcPr>
                  <w:tcW w:w="833" w:type="pct"/>
                  <w:noWrap w:val="0"/>
                  <w:vAlign w:val="center"/>
                </w:tcPr>
                <w:p w14:paraId="59EC2C35">
                  <w:pPr>
                    <w:pStyle w:val="24"/>
                    <w:spacing w:after="0"/>
                    <w:ind w:left="0" w:leftChars="0" w:firstLine="0" w:firstLineChars="0"/>
                    <w:jc w:val="center"/>
                    <w:rPr>
                      <w:rFonts w:hint="default" w:ascii="Times New Roman" w:hAnsi="Times New Roman" w:eastAsia="宋体" w:cs="Times New Roman"/>
                      <w:color w:val="auto"/>
                      <w:sz w:val="21"/>
                      <w:szCs w:val="21"/>
                      <w:lang w:val="en-US"/>
                    </w:rPr>
                  </w:pPr>
                  <w:r>
                    <w:rPr>
                      <w:rFonts w:hint="eastAsia" w:ascii="Times New Roman" w:hAnsi="Times New Roman" w:eastAsia="宋体" w:cs="Times New Roman"/>
                      <w:color w:val="auto"/>
                      <w:sz w:val="21"/>
                      <w:szCs w:val="21"/>
                      <w:lang w:val="en-US" w:eastAsia="zh-CN"/>
                    </w:rPr>
                    <w:t>0.</w:t>
                  </w:r>
                  <w:r>
                    <w:rPr>
                      <w:rFonts w:hint="eastAsia" w:cs="Times New Roman"/>
                      <w:color w:val="auto"/>
                      <w:sz w:val="21"/>
                      <w:szCs w:val="21"/>
                      <w:lang w:val="en-US" w:eastAsia="zh-CN"/>
                    </w:rPr>
                    <w:t>1</w:t>
                  </w:r>
                </w:p>
              </w:tc>
            </w:tr>
            <w:tr w14:paraId="2B3C44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56" w:type="pct"/>
                  <w:noWrap w:val="0"/>
                  <w:vAlign w:val="center"/>
                </w:tcPr>
                <w:p w14:paraId="612B4D9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3"/>
                      <w:szCs w:val="21"/>
                    </w:rPr>
                    <w:t>水性底色漆</w:t>
                  </w:r>
                </w:p>
              </w:tc>
              <w:tc>
                <w:tcPr>
                  <w:tcW w:w="797" w:type="pct"/>
                  <w:shd w:val="clear" w:color="auto" w:fill="auto"/>
                  <w:noWrap w:val="0"/>
                  <w:vAlign w:val="center"/>
                </w:tcPr>
                <w:p w14:paraId="6512376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0.789</w:t>
                  </w:r>
                </w:p>
              </w:tc>
              <w:tc>
                <w:tcPr>
                  <w:tcW w:w="815" w:type="pct"/>
                  <w:vMerge w:val="continue"/>
                  <w:noWrap w:val="0"/>
                  <w:vAlign w:val="center"/>
                </w:tcPr>
                <w:p w14:paraId="6550FCD4">
                  <w:pPr>
                    <w:pStyle w:val="24"/>
                    <w:spacing w:after="0"/>
                    <w:ind w:left="0" w:leftChars="0" w:firstLine="0" w:firstLineChars="0"/>
                    <w:jc w:val="center"/>
                    <w:rPr>
                      <w:rFonts w:ascii="Times New Roman" w:hAnsi="Times New Roman" w:cs="Times New Roman"/>
                      <w:color w:val="auto"/>
                      <w:sz w:val="21"/>
                      <w:szCs w:val="21"/>
                    </w:rPr>
                  </w:pPr>
                </w:p>
              </w:tc>
              <w:tc>
                <w:tcPr>
                  <w:tcW w:w="1497" w:type="pct"/>
                  <w:noWrap w:val="0"/>
                  <w:vAlign w:val="center"/>
                </w:tcPr>
                <w:p w14:paraId="2DAAE0AC">
                  <w:pPr>
                    <w:pStyle w:val="24"/>
                    <w:spacing w:after="0"/>
                    <w:ind w:left="0" w:leftChars="0"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漆雾</w:t>
                  </w:r>
                  <w:r>
                    <w:rPr>
                      <w:rFonts w:hint="eastAsia" w:ascii="Times New Roman" w:hAnsi="Times New Roman" w:eastAsia="宋体" w:cs="Times New Roman"/>
                      <w:color w:val="auto"/>
                      <w:sz w:val="21"/>
                      <w:szCs w:val="21"/>
                      <w:lang w:val="en-US" w:eastAsia="zh-CN"/>
                    </w:rPr>
                    <w:t>无</w:t>
                  </w:r>
                  <w:r>
                    <w:rPr>
                      <w:rFonts w:ascii="Times New Roman" w:hAnsi="Times New Roman" w:eastAsia="宋体" w:cs="Times New Roman"/>
                      <w:color w:val="auto"/>
                      <w:sz w:val="21"/>
                      <w:szCs w:val="21"/>
                    </w:rPr>
                    <w:t>组织排放量</w:t>
                  </w:r>
                </w:p>
              </w:tc>
              <w:tc>
                <w:tcPr>
                  <w:tcW w:w="833" w:type="pct"/>
                  <w:noWrap w:val="0"/>
                  <w:vAlign w:val="center"/>
                </w:tcPr>
                <w:p w14:paraId="4FD90ABC">
                  <w:pPr>
                    <w:pStyle w:val="24"/>
                    <w:spacing w:after="0"/>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w:t>
                  </w:r>
                  <w:r>
                    <w:rPr>
                      <w:rFonts w:hint="eastAsia" w:cs="Times New Roman"/>
                      <w:color w:val="auto"/>
                      <w:sz w:val="21"/>
                      <w:szCs w:val="21"/>
                      <w:lang w:val="en-US" w:eastAsia="zh-CN"/>
                    </w:rPr>
                    <w:t>36</w:t>
                  </w:r>
                </w:p>
              </w:tc>
            </w:tr>
            <w:tr w14:paraId="050A03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56" w:type="pct"/>
                  <w:noWrap w:val="0"/>
                  <w:vAlign w:val="center"/>
                </w:tcPr>
                <w:p w14:paraId="7B78FA4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3"/>
                      <w:szCs w:val="21"/>
                    </w:rPr>
                    <w:t>水基稀释剂</w:t>
                  </w:r>
                </w:p>
              </w:tc>
              <w:tc>
                <w:tcPr>
                  <w:tcW w:w="797" w:type="pct"/>
                  <w:shd w:val="clear" w:color="auto" w:fill="auto"/>
                  <w:noWrap w:val="0"/>
                  <w:vAlign w:val="center"/>
                </w:tcPr>
                <w:p w14:paraId="7287D7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0.15</w:t>
                  </w:r>
                </w:p>
              </w:tc>
              <w:tc>
                <w:tcPr>
                  <w:tcW w:w="815" w:type="pct"/>
                  <w:vMerge w:val="restart"/>
                  <w:noWrap w:val="0"/>
                  <w:vAlign w:val="center"/>
                </w:tcPr>
                <w:p w14:paraId="26F0CF7E">
                  <w:pPr>
                    <w:pStyle w:val="24"/>
                    <w:spacing w:after="0"/>
                    <w:ind w:left="0" w:leftChars="0" w:firstLine="0" w:firstLineChars="0"/>
                    <w:jc w:val="center"/>
                    <w:rPr>
                      <w:rFonts w:hint="default" w:ascii="Times New Roman" w:hAnsi="Times New Roman" w:eastAsia="宋体" w:cs="Times New Roman"/>
                      <w:color w:val="auto"/>
                      <w:sz w:val="21"/>
                      <w:szCs w:val="21"/>
                      <w:lang w:val="en-US" w:eastAsia="zh-CN"/>
                    </w:rPr>
                  </w:pPr>
                  <w:r>
                    <w:rPr>
                      <w:rFonts w:ascii="Times New Roman" w:hAnsi="Times New Roman" w:cs="Times New Roman"/>
                      <w:color w:val="auto"/>
                      <w:sz w:val="21"/>
                      <w:szCs w:val="21"/>
                    </w:rPr>
                    <w:t>有机挥发分</w:t>
                  </w:r>
                </w:p>
              </w:tc>
              <w:tc>
                <w:tcPr>
                  <w:tcW w:w="1497" w:type="pct"/>
                  <w:shd w:val="clear" w:color="auto" w:fill="auto"/>
                  <w:noWrap w:val="0"/>
                  <w:vAlign w:val="center"/>
                </w:tcPr>
                <w:p w14:paraId="29765A45">
                  <w:pPr>
                    <w:pStyle w:val="24"/>
                    <w:spacing w:after="0"/>
                    <w:ind w:left="0" w:leftChars="0" w:firstLine="0" w:firstLineChars="0"/>
                    <w:jc w:val="center"/>
                    <w:rPr>
                      <w:rFonts w:ascii="Times New Roman" w:hAnsi="Times New Roman" w:eastAsia="宋体" w:cs="Times New Roman"/>
                      <w:color w:val="auto"/>
                      <w:kern w:val="0"/>
                      <w:sz w:val="21"/>
                      <w:szCs w:val="21"/>
                      <w:lang w:val="en-US" w:eastAsia="zh-CN" w:bidi="ar-SA"/>
                    </w:rPr>
                  </w:pPr>
                  <w:r>
                    <w:rPr>
                      <w:rFonts w:ascii="Times New Roman" w:hAnsi="Times New Roman" w:cs="Times New Roman"/>
                      <w:color w:val="auto"/>
                      <w:sz w:val="21"/>
                      <w:szCs w:val="21"/>
                    </w:rPr>
                    <w:t>有机废气处置量</w:t>
                  </w:r>
                </w:p>
              </w:tc>
              <w:tc>
                <w:tcPr>
                  <w:tcW w:w="833" w:type="pct"/>
                  <w:shd w:val="clear" w:color="auto" w:fill="auto"/>
                  <w:noWrap w:val="0"/>
                  <w:vAlign w:val="center"/>
                </w:tcPr>
                <w:p w14:paraId="2DF2F5F5">
                  <w:pPr>
                    <w:pStyle w:val="24"/>
                    <w:spacing w:after="0"/>
                    <w:ind w:left="0" w:lef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0.591</w:t>
                  </w:r>
                </w:p>
              </w:tc>
            </w:tr>
            <w:tr w14:paraId="468EA0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56" w:type="pct"/>
                  <w:noWrap w:val="0"/>
                  <w:vAlign w:val="center"/>
                </w:tcPr>
                <w:p w14:paraId="4CBD08B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4"/>
                      <w:szCs w:val="21"/>
                    </w:rPr>
                    <w:t>清漆主剂</w:t>
                  </w:r>
                </w:p>
              </w:tc>
              <w:tc>
                <w:tcPr>
                  <w:tcW w:w="797" w:type="pct"/>
                  <w:shd w:val="clear" w:color="auto" w:fill="auto"/>
                  <w:noWrap w:val="0"/>
                  <w:vAlign w:val="center"/>
                </w:tcPr>
                <w:p w14:paraId="4098B75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1.307</w:t>
                  </w:r>
                </w:p>
              </w:tc>
              <w:tc>
                <w:tcPr>
                  <w:tcW w:w="815" w:type="pct"/>
                  <w:vMerge w:val="continue"/>
                  <w:noWrap w:val="0"/>
                  <w:vAlign w:val="center"/>
                </w:tcPr>
                <w:p w14:paraId="1FF1C39F">
                  <w:pPr>
                    <w:pStyle w:val="24"/>
                    <w:spacing w:after="0"/>
                    <w:ind w:left="0" w:leftChars="0" w:firstLine="0" w:firstLineChars="0"/>
                    <w:jc w:val="center"/>
                    <w:rPr>
                      <w:rFonts w:ascii="Times New Roman" w:hAnsi="Times New Roman" w:cs="Times New Roman"/>
                      <w:color w:val="auto"/>
                      <w:sz w:val="21"/>
                      <w:szCs w:val="21"/>
                    </w:rPr>
                  </w:pPr>
                </w:p>
              </w:tc>
              <w:tc>
                <w:tcPr>
                  <w:tcW w:w="1497" w:type="pct"/>
                  <w:shd w:val="clear" w:color="auto" w:fill="auto"/>
                  <w:noWrap w:val="0"/>
                  <w:vAlign w:val="center"/>
                </w:tcPr>
                <w:p w14:paraId="31A94BE3">
                  <w:pPr>
                    <w:pStyle w:val="24"/>
                    <w:spacing w:after="0"/>
                    <w:ind w:left="0" w:leftChars="0" w:firstLine="0" w:firstLineChars="0"/>
                    <w:jc w:val="center"/>
                    <w:rPr>
                      <w:rFonts w:ascii="Times New Roman" w:hAnsi="Times New Roman" w:eastAsia="宋体" w:cs="Times New Roman"/>
                      <w:color w:val="auto"/>
                      <w:kern w:val="2"/>
                      <w:sz w:val="21"/>
                      <w:szCs w:val="21"/>
                      <w:lang w:val="en-US" w:eastAsia="zh-CN" w:bidi="ar-SA"/>
                    </w:rPr>
                  </w:pPr>
                  <w:r>
                    <w:rPr>
                      <w:rFonts w:ascii="Times New Roman" w:hAnsi="Times New Roman" w:cs="Times New Roman"/>
                      <w:color w:val="auto"/>
                      <w:sz w:val="21"/>
                      <w:szCs w:val="21"/>
                    </w:rPr>
                    <w:t>排气筒排放量</w:t>
                  </w:r>
                </w:p>
              </w:tc>
              <w:tc>
                <w:tcPr>
                  <w:tcW w:w="833" w:type="pct"/>
                  <w:shd w:val="clear" w:color="auto" w:fill="auto"/>
                  <w:noWrap w:val="0"/>
                  <w:vAlign w:val="center"/>
                </w:tcPr>
                <w:p w14:paraId="6E5C9009">
                  <w:pPr>
                    <w:pStyle w:val="24"/>
                    <w:spacing w:after="0"/>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1.051</w:t>
                  </w:r>
                </w:p>
              </w:tc>
            </w:tr>
            <w:tr w14:paraId="5AF474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56" w:type="pct"/>
                  <w:noWrap w:val="0"/>
                  <w:vAlign w:val="center"/>
                </w:tcPr>
                <w:p w14:paraId="308814E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3"/>
                      <w:szCs w:val="21"/>
                    </w:rPr>
                    <w:t>清漆固化剂</w:t>
                  </w:r>
                </w:p>
              </w:tc>
              <w:tc>
                <w:tcPr>
                  <w:tcW w:w="797" w:type="pct"/>
                  <w:shd w:val="clear" w:color="auto" w:fill="auto"/>
                  <w:noWrap w:val="0"/>
                  <w:vAlign w:val="center"/>
                </w:tcPr>
                <w:p w14:paraId="20E2EB0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0.59</w:t>
                  </w:r>
                </w:p>
              </w:tc>
              <w:tc>
                <w:tcPr>
                  <w:tcW w:w="815" w:type="pct"/>
                  <w:vMerge w:val="continue"/>
                  <w:noWrap w:val="0"/>
                  <w:vAlign w:val="center"/>
                </w:tcPr>
                <w:p w14:paraId="442CE527">
                  <w:pPr>
                    <w:pStyle w:val="24"/>
                    <w:spacing w:after="0"/>
                    <w:ind w:left="0" w:leftChars="0" w:firstLine="0" w:firstLineChars="0"/>
                    <w:jc w:val="center"/>
                    <w:rPr>
                      <w:rFonts w:ascii="Times New Roman" w:hAnsi="Times New Roman" w:cs="Times New Roman"/>
                      <w:color w:val="auto"/>
                      <w:sz w:val="21"/>
                      <w:szCs w:val="21"/>
                    </w:rPr>
                  </w:pPr>
                </w:p>
              </w:tc>
              <w:tc>
                <w:tcPr>
                  <w:tcW w:w="1497" w:type="pct"/>
                  <w:shd w:val="clear" w:color="auto" w:fill="auto"/>
                  <w:noWrap w:val="0"/>
                  <w:vAlign w:val="center"/>
                </w:tcPr>
                <w:p w14:paraId="32B23C40">
                  <w:pPr>
                    <w:pStyle w:val="24"/>
                    <w:spacing w:after="0"/>
                    <w:ind w:left="0" w:lef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sz w:val="21"/>
                      <w:szCs w:val="21"/>
                      <w:lang w:val="en-US" w:eastAsia="zh-CN"/>
                    </w:rPr>
                    <w:t>无组织排放量</w:t>
                  </w:r>
                </w:p>
              </w:tc>
              <w:tc>
                <w:tcPr>
                  <w:tcW w:w="833" w:type="pct"/>
                  <w:shd w:val="clear" w:color="auto" w:fill="auto"/>
                  <w:noWrap w:val="0"/>
                  <w:vAlign w:val="center"/>
                </w:tcPr>
                <w:p w14:paraId="58A47407">
                  <w:pPr>
                    <w:pStyle w:val="24"/>
                    <w:spacing w:after="0"/>
                    <w:ind w:left="0" w:lef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0.097</w:t>
                  </w:r>
                </w:p>
              </w:tc>
            </w:tr>
            <w:tr w14:paraId="0B64E0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56" w:type="pct"/>
                  <w:noWrap w:val="0"/>
                  <w:vAlign w:val="center"/>
                </w:tcPr>
                <w:p w14:paraId="20D6A382">
                  <w:pPr>
                    <w:pStyle w:val="24"/>
                    <w:spacing w:after="0"/>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清漆稀释剂</w:t>
                  </w:r>
                </w:p>
              </w:tc>
              <w:tc>
                <w:tcPr>
                  <w:tcW w:w="797" w:type="pct"/>
                  <w:shd w:val="clear" w:color="auto" w:fill="auto"/>
                  <w:noWrap w:val="0"/>
                  <w:vAlign w:val="center"/>
                </w:tcPr>
                <w:p w14:paraId="1843F7C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0.111</w:t>
                  </w:r>
                </w:p>
              </w:tc>
              <w:tc>
                <w:tcPr>
                  <w:tcW w:w="815" w:type="pct"/>
                  <w:noWrap w:val="0"/>
                  <w:vAlign w:val="center"/>
                </w:tcPr>
                <w:p w14:paraId="2D492D69">
                  <w:pPr>
                    <w:pStyle w:val="24"/>
                    <w:spacing w:after="0"/>
                    <w:ind w:left="0" w:leftChars="0" w:firstLine="0" w:firstLineChars="0"/>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w:t>
                  </w:r>
                </w:p>
              </w:tc>
              <w:tc>
                <w:tcPr>
                  <w:tcW w:w="1497" w:type="pct"/>
                  <w:shd w:val="clear" w:color="auto" w:fill="auto"/>
                  <w:noWrap w:val="0"/>
                  <w:vAlign w:val="center"/>
                </w:tcPr>
                <w:p w14:paraId="6AD58D14">
                  <w:pPr>
                    <w:pStyle w:val="24"/>
                    <w:spacing w:after="0"/>
                    <w:ind w:left="0" w:lef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21"/>
                      <w:lang w:val="en-US" w:eastAsia="zh-CN"/>
                    </w:rPr>
                    <w:t>/</w:t>
                  </w:r>
                </w:p>
              </w:tc>
              <w:tc>
                <w:tcPr>
                  <w:tcW w:w="833" w:type="pct"/>
                  <w:shd w:val="clear" w:color="auto" w:fill="auto"/>
                  <w:noWrap w:val="0"/>
                  <w:vAlign w:val="center"/>
                </w:tcPr>
                <w:p w14:paraId="702961D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r>
            <w:tr w14:paraId="719083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56" w:type="pct"/>
                  <w:noWrap w:val="0"/>
                  <w:vAlign w:val="center"/>
                </w:tcPr>
                <w:p w14:paraId="6B5141B1">
                  <w:pPr>
                    <w:pStyle w:val="24"/>
                    <w:spacing w:after="0"/>
                    <w:ind w:left="0" w:leftChars="0" w:firstLine="0" w:firstLineChars="0"/>
                    <w:jc w:val="center"/>
                    <w:rPr>
                      <w:rFonts w:ascii="Times New Roman" w:hAnsi="Times New Roman" w:cs="Times New Roman"/>
                      <w:color w:val="auto"/>
                      <w:sz w:val="21"/>
                      <w:szCs w:val="21"/>
                    </w:rPr>
                  </w:pPr>
                  <w:r>
                    <w:rPr>
                      <w:rFonts w:ascii="Times New Roman" w:hAnsi="Times New Roman" w:cs="Times New Roman"/>
                      <w:color w:val="auto"/>
                      <w:sz w:val="21"/>
                      <w:szCs w:val="21"/>
                    </w:rPr>
                    <w:t>合计</w:t>
                  </w:r>
                </w:p>
              </w:tc>
              <w:tc>
                <w:tcPr>
                  <w:tcW w:w="797" w:type="pct"/>
                  <w:noWrap w:val="0"/>
                  <w:vAlign w:val="center"/>
                </w:tcPr>
                <w:p w14:paraId="04C2742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pacing w:val="-2"/>
                      <w:szCs w:val="21"/>
                      <w:lang w:val="en-US" w:eastAsia="zh-CN"/>
                    </w:rPr>
                    <w:t>4.554</w:t>
                  </w:r>
                </w:p>
              </w:tc>
              <w:tc>
                <w:tcPr>
                  <w:tcW w:w="2312" w:type="pct"/>
                  <w:gridSpan w:val="2"/>
                  <w:noWrap w:val="0"/>
                  <w:vAlign w:val="center"/>
                </w:tcPr>
                <w:p w14:paraId="5EC68815">
                  <w:pPr>
                    <w:pStyle w:val="24"/>
                    <w:spacing w:after="0"/>
                    <w:ind w:left="0" w:leftChars="0" w:firstLine="0" w:firstLineChars="0"/>
                    <w:jc w:val="center"/>
                    <w:rPr>
                      <w:rFonts w:ascii="Times New Roman" w:hAnsi="Times New Roman" w:cs="Times New Roman"/>
                      <w:color w:val="auto"/>
                      <w:sz w:val="21"/>
                      <w:szCs w:val="21"/>
                    </w:rPr>
                  </w:pPr>
                  <w:r>
                    <w:rPr>
                      <w:rFonts w:ascii="Times New Roman" w:hAnsi="Times New Roman" w:cs="Times New Roman"/>
                      <w:color w:val="auto"/>
                      <w:sz w:val="21"/>
                      <w:szCs w:val="21"/>
                    </w:rPr>
                    <w:t>合计</w:t>
                  </w:r>
                </w:p>
              </w:tc>
              <w:tc>
                <w:tcPr>
                  <w:tcW w:w="833" w:type="pct"/>
                  <w:noWrap w:val="0"/>
                  <w:vAlign w:val="center"/>
                </w:tcPr>
                <w:p w14:paraId="1D65E9F3">
                  <w:pPr>
                    <w:pStyle w:val="24"/>
                    <w:spacing w:after="0"/>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4.554</w:t>
                  </w:r>
                </w:p>
              </w:tc>
            </w:tr>
          </w:tbl>
          <w:p w14:paraId="75678F31">
            <w:pPr>
              <w:pStyle w:val="9"/>
              <w:jc w:val="center"/>
              <w:rPr>
                <w:rFonts w:hint="eastAsia" w:eastAsia="宋体"/>
                <w:color w:val="auto"/>
                <w:lang w:eastAsia="zh-CN"/>
              </w:rPr>
            </w:pPr>
            <w:r>
              <w:rPr>
                <w:rFonts w:hint="eastAsia" w:eastAsia="宋体"/>
                <w:color w:val="auto"/>
                <w:lang w:eastAsia="zh-CN"/>
              </w:rPr>
              <w:drawing>
                <wp:inline distT="0" distB="0" distL="114300" distR="114300">
                  <wp:extent cx="5062220" cy="2339975"/>
                  <wp:effectExtent l="0" t="0" r="5080" b="3175"/>
                  <wp:docPr id="17" name="F360BE8B-6686-4F3D-AEAF-501FE73E4058-1" descr="C:/Users/Lenovo/AppData/Local/Temp/绘图1(4).png绘图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F360BE8B-6686-4F3D-AEAF-501FE73E4058-1" descr="C:/Users/Lenovo/AppData/Local/Temp/绘图1(4).png绘图1(4)"/>
                          <pic:cNvPicPr>
                            <a:picLocks noChangeAspect="1"/>
                          </pic:cNvPicPr>
                        </pic:nvPicPr>
                        <pic:blipFill>
                          <a:blip r:embed="rId11"/>
                          <a:stretch>
                            <a:fillRect/>
                          </a:stretch>
                        </pic:blipFill>
                        <pic:spPr>
                          <a:xfrm>
                            <a:off x="0" y="0"/>
                            <a:ext cx="5062220" cy="2339975"/>
                          </a:xfrm>
                          <a:prstGeom prst="rect">
                            <a:avLst/>
                          </a:prstGeom>
                          <a:noFill/>
                          <a:ln>
                            <a:noFill/>
                          </a:ln>
                        </pic:spPr>
                      </pic:pic>
                    </a:graphicData>
                  </a:graphic>
                </wp:inline>
              </w:drawing>
            </w:r>
          </w:p>
          <w:p w14:paraId="39A0C641">
            <w:pPr>
              <w:pStyle w:val="80"/>
              <w:ind w:firstLine="0" w:firstLineChars="0"/>
              <w:jc w:val="center"/>
              <w:rPr>
                <w:rFonts w:hint="eastAsia"/>
                <w:color w:val="auto"/>
              </w:rPr>
            </w:pPr>
            <w:r>
              <w:rPr>
                <w:rFonts w:hint="eastAsia"/>
                <w:b/>
                <w:bCs/>
                <w:color w:val="auto"/>
              </w:rPr>
              <w:t>图2-1</w:t>
            </w:r>
            <w:r>
              <w:rPr>
                <w:b/>
                <w:bCs/>
                <w:color w:val="auto"/>
              </w:rPr>
              <w:t xml:space="preserve"> </w:t>
            </w:r>
            <w:r>
              <w:rPr>
                <w:rFonts w:hint="eastAsia"/>
                <w:b/>
                <w:bCs/>
                <w:color w:val="auto"/>
              </w:rPr>
              <w:t xml:space="preserve"> </w:t>
            </w:r>
            <w:r>
              <w:rPr>
                <w:rFonts w:hint="eastAsia"/>
                <w:b/>
                <w:bCs/>
                <w:color w:val="auto"/>
                <w:lang w:val="en-US" w:eastAsia="zh-CN"/>
              </w:rPr>
              <w:t>各类漆料物料</w:t>
            </w:r>
            <w:r>
              <w:rPr>
                <w:rFonts w:hint="eastAsia"/>
                <w:b/>
                <w:bCs/>
                <w:color w:val="auto"/>
              </w:rPr>
              <w:t>平衡图  单位：</w:t>
            </w:r>
            <w:r>
              <w:rPr>
                <w:rFonts w:hint="eastAsia"/>
                <w:b/>
                <w:bCs/>
                <w:color w:val="auto"/>
                <w:lang w:val="en-US" w:eastAsia="zh-CN"/>
              </w:rPr>
              <w:t>t</w:t>
            </w:r>
            <w:r>
              <w:rPr>
                <w:rFonts w:hint="eastAsia"/>
                <w:b/>
                <w:bCs/>
                <w:color w:val="auto"/>
              </w:rPr>
              <w:t>/a</w:t>
            </w:r>
          </w:p>
          <w:p w14:paraId="46C0572F">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0" w:firstLineChars="200"/>
              <w:textAlignment w:val="auto"/>
              <w:rPr>
                <w:rFonts w:hint="default" w:ascii="Times New Roman" w:hAnsi="Times New Roman" w:cs="Times New Roman"/>
                <w:color w:val="auto"/>
                <w:sz w:val="24"/>
                <w:lang w:val="en-US"/>
              </w:rPr>
            </w:pPr>
            <w:r>
              <w:rPr>
                <w:rFonts w:hint="eastAsia" w:cs="Times New Roman"/>
                <w:color w:val="auto"/>
                <w:sz w:val="24"/>
                <w:lang w:val="en-US" w:eastAsia="zh-CN"/>
              </w:rPr>
              <w:t>②漆料</w:t>
            </w:r>
            <w:r>
              <w:rPr>
                <w:rFonts w:hint="eastAsia" w:ascii="Times New Roman" w:hAnsi="Times New Roman" w:cs="Times New Roman"/>
                <w:color w:val="auto"/>
                <w:sz w:val="24"/>
                <w:lang w:val="en-US" w:eastAsia="zh-CN"/>
              </w:rPr>
              <w:t>有机废气</w:t>
            </w:r>
            <w:r>
              <w:rPr>
                <w:rFonts w:ascii="Times New Roman" w:hAnsi="Times New Roman" w:cs="Times New Roman"/>
                <w:color w:val="auto"/>
                <w:sz w:val="24"/>
              </w:rPr>
              <w:t>平衡表</w:t>
            </w:r>
            <w:r>
              <w:rPr>
                <w:rFonts w:hint="eastAsia" w:cs="Times New Roman"/>
                <w:color w:val="auto"/>
                <w:sz w:val="24"/>
                <w:lang w:val="en-US" w:eastAsia="zh-CN"/>
              </w:rPr>
              <w:t>见表2-8；漆料有机废气平衡图见图2-2。</w:t>
            </w:r>
          </w:p>
          <w:p w14:paraId="055733A7">
            <w:pPr>
              <w:adjustRightInd w:val="0"/>
              <w:snapToGrid w:val="0"/>
              <w:jc w:val="center"/>
              <w:rPr>
                <w:rFonts w:ascii="Times New Roman" w:hAnsi="Times New Roman" w:cs="Times New Roman"/>
                <w:b/>
                <w:color w:val="auto"/>
                <w:sz w:val="24"/>
              </w:rPr>
            </w:pPr>
            <w:r>
              <w:rPr>
                <w:rFonts w:ascii="Times New Roman" w:hAnsi="Times New Roman" w:cs="Times New Roman"/>
                <w:b/>
                <w:color w:val="auto"/>
                <w:sz w:val="24"/>
              </w:rPr>
              <w:t>表2-</w:t>
            </w:r>
            <w:r>
              <w:rPr>
                <w:rFonts w:hint="eastAsia" w:ascii="Times New Roman" w:hAnsi="Times New Roman" w:cs="Times New Roman"/>
                <w:b/>
                <w:color w:val="auto"/>
                <w:sz w:val="24"/>
                <w:lang w:val="en-US" w:eastAsia="zh-CN"/>
              </w:rPr>
              <w:t>8</w:t>
            </w:r>
            <w:r>
              <w:rPr>
                <w:rFonts w:ascii="Times New Roman" w:hAnsi="Times New Roman" w:cs="Times New Roman"/>
                <w:b/>
                <w:color w:val="auto"/>
                <w:sz w:val="24"/>
              </w:rPr>
              <w:t xml:space="preserve">  项目</w:t>
            </w:r>
            <w:r>
              <w:rPr>
                <w:rFonts w:hint="eastAsia" w:cs="Times New Roman"/>
                <w:b/>
                <w:color w:val="auto"/>
                <w:sz w:val="24"/>
                <w:lang w:val="en-US" w:eastAsia="zh-CN"/>
              </w:rPr>
              <w:t>漆料</w:t>
            </w:r>
            <w:r>
              <w:rPr>
                <w:rFonts w:hint="eastAsia" w:ascii="Times New Roman" w:hAnsi="Times New Roman" w:cs="Times New Roman"/>
                <w:b/>
                <w:color w:val="auto"/>
                <w:sz w:val="24"/>
                <w:lang w:val="en-US" w:eastAsia="zh-CN"/>
              </w:rPr>
              <w:t>有机废气</w:t>
            </w:r>
            <w:r>
              <w:rPr>
                <w:rFonts w:ascii="Times New Roman" w:hAnsi="Times New Roman" w:cs="Times New Roman"/>
                <w:b/>
                <w:color w:val="auto"/>
                <w:sz w:val="24"/>
              </w:rPr>
              <w:t>平衡表（t/a）</w:t>
            </w:r>
          </w:p>
          <w:tbl>
            <w:tblPr>
              <w:tblStyle w:val="25"/>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9"/>
              <w:gridCol w:w="2155"/>
              <w:gridCol w:w="639"/>
              <w:gridCol w:w="1759"/>
              <w:gridCol w:w="2769"/>
            </w:tblGrid>
            <w:tr w14:paraId="54F1FB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41" w:type="pct"/>
                  <w:noWrap w:val="0"/>
                  <w:vAlign w:val="center"/>
                </w:tcPr>
                <w:p w14:paraId="1E42D64C">
                  <w:pPr>
                    <w:pStyle w:val="24"/>
                    <w:spacing w:after="0"/>
                    <w:ind w:left="0" w:leftChars="0" w:firstLine="0" w:firstLineChars="0"/>
                    <w:jc w:val="center"/>
                    <w:rPr>
                      <w:rFonts w:hint="default" w:ascii="Times New Roman" w:hAnsi="Times New Roman" w:eastAsia="宋体" w:cs="Times New Roman"/>
                      <w:b/>
                      <w:bCs/>
                      <w:color w:val="auto"/>
                      <w:kern w:val="0"/>
                      <w:sz w:val="21"/>
                      <w:szCs w:val="21"/>
                      <w:lang w:val="en-US" w:eastAsia="zh-CN" w:bidi="ar-SA"/>
                    </w:rPr>
                  </w:pPr>
                  <w:r>
                    <w:rPr>
                      <w:rFonts w:hint="eastAsia" w:cs="Times New Roman"/>
                      <w:b/>
                      <w:bCs/>
                      <w:color w:val="auto"/>
                      <w:kern w:val="0"/>
                      <w:sz w:val="21"/>
                      <w:szCs w:val="21"/>
                      <w:lang w:val="en-US" w:eastAsia="zh-CN" w:bidi="ar-SA"/>
                    </w:rPr>
                    <w:t>对应排气筒</w:t>
                  </w:r>
                </w:p>
              </w:tc>
              <w:tc>
                <w:tcPr>
                  <w:tcW w:w="1312" w:type="pct"/>
                  <w:noWrap w:val="0"/>
                  <w:vAlign w:val="center"/>
                </w:tcPr>
                <w:p w14:paraId="2922BD19">
                  <w:pPr>
                    <w:pStyle w:val="24"/>
                    <w:spacing w:after="0"/>
                    <w:ind w:left="0" w:leftChars="0" w:firstLine="0" w:firstLineChars="0"/>
                    <w:jc w:val="center"/>
                    <w:rPr>
                      <w:rFonts w:hint="eastAsia" w:ascii="Times New Roman" w:hAnsi="Times New Roman" w:eastAsia="宋体" w:cs="Times New Roman"/>
                      <w:b/>
                      <w:bCs/>
                      <w:color w:val="auto"/>
                      <w:sz w:val="21"/>
                      <w:szCs w:val="21"/>
                      <w:lang w:eastAsia="zh-CN"/>
                    </w:rPr>
                  </w:pPr>
                  <w:r>
                    <w:rPr>
                      <w:rFonts w:hint="eastAsia" w:ascii="Times New Roman" w:hAnsi="Times New Roman" w:eastAsia="宋体" w:cs="Times New Roman"/>
                      <w:b/>
                      <w:bCs/>
                      <w:color w:val="auto"/>
                      <w:kern w:val="0"/>
                      <w:sz w:val="21"/>
                      <w:szCs w:val="21"/>
                      <w:lang w:val="en-US" w:eastAsia="zh-CN" w:bidi="ar-SA"/>
                    </w:rPr>
                    <w:t>非甲烷总烃</w:t>
                  </w:r>
                  <w:r>
                    <w:rPr>
                      <w:rFonts w:hint="eastAsia" w:ascii="Times New Roman" w:hAnsi="Times New Roman" w:cs="Times New Roman"/>
                      <w:b/>
                      <w:bCs/>
                      <w:color w:val="auto"/>
                      <w:sz w:val="21"/>
                      <w:szCs w:val="21"/>
                      <w:lang w:val="en-US" w:eastAsia="zh-CN"/>
                    </w:rPr>
                    <w:t>产生量</w:t>
                  </w:r>
                </w:p>
              </w:tc>
              <w:tc>
                <w:tcPr>
                  <w:tcW w:w="3145" w:type="pct"/>
                  <w:gridSpan w:val="3"/>
                  <w:noWrap w:val="0"/>
                  <w:vAlign w:val="center"/>
                </w:tcPr>
                <w:p w14:paraId="486B1252">
                  <w:pPr>
                    <w:pStyle w:val="24"/>
                    <w:spacing w:after="0"/>
                    <w:ind w:left="0" w:leftChars="0" w:firstLine="0" w:firstLineChars="0"/>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输出</w:t>
                  </w:r>
                </w:p>
              </w:tc>
            </w:tr>
            <w:tr w14:paraId="17CA7E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41" w:type="pct"/>
                  <w:vMerge w:val="restart"/>
                  <w:noWrap w:val="0"/>
                  <w:vAlign w:val="center"/>
                </w:tcPr>
                <w:p w14:paraId="28EBD9F2">
                  <w:pPr>
                    <w:pStyle w:val="16"/>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DA001</w:t>
                  </w:r>
                </w:p>
              </w:tc>
              <w:tc>
                <w:tcPr>
                  <w:tcW w:w="1312" w:type="pct"/>
                  <w:vMerge w:val="restart"/>
                  <w:noWrap w:val="0"/>
                  <w:vAlign w:val="center"/>
                </w:tcPr>
                <w:p w14:paraId="6BFB272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s="Times New Roman"/>
                      <w:color w:val="auto"/>
                      <w:kern w:val="2"/>
                      <w:sz w:val="21"/>
                      <w:szCs w:val="21"/>
                      <w:lang w:val="en-US" w:eastAsia="zh-CN" w:bidi="ar-SA"/>
                    </w:rPr>
                  </w:pPr>
                  <w:r>
                    <w:rPr>
                      <w:rFonts w:hint="eastAsia" w:cs="Times New Roman"/>
                      <w:color w:val="auto"/>
                      <w:kern w:val="2"/>
                      <w:sz w:val="21"/>
                      <w:szCs w:val="21"/>
                      <w:lang w:val="en-US" w:eastAsia="zh-CN" w:bidi="ar-SA"/>
                    </w:rPr>
                    <w:t>0.412</w:t>
                  </w:r>
                </w:p>
                <w:p w14:paraId="413A18A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（包含甲苯0.031、二甲苯0.01）</w:t>
                  </w:r>
                </w:p>
              </w:tc>
              <w:tc>
                <w:tcPr>
                  <w:tcW w:w="389" w:type="pct"/>
                  <w:vMerge w:val="restart"/>
                  <w:noWrap w:val="0"/>
                  <w:vAlign w:val="center"/>
                </w:tcPr>
                <w:p w14:paraId="0BFD6D09">
                  <w:pPr>
                    <w:pStyle w:val="24"/>
                    <w:spacing w:after="0"/>
                    <w:ind w:left="0" w:leftChars="0" w:firstLine="0" w:firstLineChars="0"/>
                    <w:jc w:val="center"/>
                    <w:rPr>
                      <w:rFonts w:ascii="Times New Roman" w:hAnsi="Times New Roman" w:cs="Times New Roman"/>
                      <w:color w:val="auto"/>
                      <w:sz w:val="21"/>
                      <w:szCs w:val="21"/>
                    </w:rPr>
                  </w:pPr>
                  <w:r>
                    <w:rPr>
                      <w:rFonts w:ascii="Times New Roman" w:hAnsi="Times New Roman" w:cs="Times New Roman"/>
                      <w:color w:val="auto"/>
                      <w:sz w:val="21"/>
                      <w:szCs w:val="21"/>
                    </w:rPr>
                    <w:t>有机挥发分</w:t>
                  </w:r>
                </w:p>
              </w:tc>
              <w:tc>
                <w:tcPr>
                  <w:tcW w:w="1071" w:type="pct"/>
                  <w:noWrap w:val="0"/>
                  <w:vAlign w:val="center"/>
                </w:tcPr>
                <w:p w14:paraId="6D920063">
                  <w:pPr>
                    <w:pStyle w:val="24"/>
                    <w:spacing w:after="0"/>
                    <w:ind w:left="0" w:leftChars="0" w:firstLine="0" w:firstLineChars="0"/>
                    <w:jc w:val="center"/>
                    <w:rPr>
                      <w:rFonts w:ascii="Times New Roman" w:hAnsi="Times New Roman" w:cs="Times New Roman"/>
                      <w:color w:val="auto"/>
                      <w:kern w:val="0"/>
                      <w:sz w:val="21"/>
                      <w:szCs w:val="21"/>
                      <w:lang w:val="en-US" w:eastAsia="zh-CN" w:bidi="ar-SA"/>
                    </w:rPr>
                  </w:pPr>
                  <w:r>
                    <w:rPr>
                      <w:rFonts w:ascii="Times New Roman" w:hAnsi="Times New Roman" w:cs="Times New Roman"/>
                      <w:color w:val="auto"/>
                      <w:sz w:val="21"/>
                      <w:szCs w:val="21"/>
                    </w:rPr>
                    <w:t>有机废气处置量</w:t>
                  </w:r>
                </w:p>
              </w:tc>
              <w:tc>
                <w:tcPr>
                  <w:tcW w:w="1684" w:type="pct"/>
                  <w:noWrap w:val="0"/>
                  <w:vAlign w:val="center"/>
                </w:tcPr>
                <w:p w14:paraId="7D6B0D33">
                  <w:pPr>
                    <w:pStyle w:val="24"/>
                    <w:spacing w:after="0"/>
                    <w:ind w:left="0" w:lef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0.141</w:t>
                  </w:r>
                  <w:r>
                    <w:rPr>
                      <w:rFonts w:hint="eastAsia" w:cs="Times New Roman"/>
                      <w:color w:val="auto"/>
                      <w:kern w:val="2"/>
                      <w:sz w:val="21"/>
                      <w:szCs w:val="21"/>
                      <w:lang w:val="en-US" w:eastAsia="zh-CN" w:bidi="ar-SA"/>
                    </w:rPr>
                    <w:t>（包含甲苯0.01、二甲苯0.004）</w:t>
                  </w:r>
                </w:p>
              </w:tc>
            </w:tr>
            <w:tr w14:paraId="6BB6A1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41" w:type="pct"/>
                  <w:vMerge w:val="continue"/>
                  <w:noWrap w:val="0"/>
                  <w:vAlign w:val="center"/>
                </w:tcPr>
                <w:p w14:paraId="1B84174F">
                  <w:pPr>
                    <w:pStyle w:val="16"/>
                    <w:jc w:val="center"/>
                    <w:rPr>
                      <w:rFonts w:hint="eastAsia" w:cs="Times New Roman"/>
                      <w:color w:val="auto"/>
                      <w:kern w:val="0"/>
                      <w:sz w:val="21"/>
                      <w:szCs w:val="21"/>
                      <w:lang w:val="en-US" w:eastAsia="zh-CN" w:bidi="ar-SA"/>
                    </w:rPr>
                  </w:pPr>
                </w:p>
              </w:tc>
              <w:tc>
                <w:tcPr>
                  <w:tcW w:w="1312" w:type="pct"/>
                  <w:vMerge w:val="continue"/>
                  <w:noWrap w:val="0"/>
                  <w:vAlign w:val="center"/>
                </w:tcPr>
                <w:p w14:paraId="61D3910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389" w:type="pct"/>
                  <w:vMerge w:val="continue"/>
                  <w:noWrap w:val="0"/>
                  <w:vAlign w:val="center"/>
                </w:tcPr>
                <w:p w14:paraId="0E37F6DB">
                  <w:pPr>
                    <w:pStyle w:val="24"/>
                    <w:spacing w:after="0"/>
                    <w:ind w:left="0" w:leftChars="0" w:firstLine="0" w:firstLineChars="0"/>
                    <w:jc w:val="center"/>
                    <w:rPr>
                      <w:rFonts w:ascii="Times New Roman" w:hAnsi="Times New Roman" w:cs="Times New Roman"/>
                      <w:color w:val="auto"/>
                      <w:sz w:val="21"/>
                      <w:szCs w:val="21"/>
                    </w:rPr>
                  </w:pPr>
                </w:p>
              </w:tc>
              <w:tc>
                <w:tcPr>
                  <w:tcW w:w="1071" w:type="pct"/>
                  <w:noWrap w:val="0"/>
                  <w:vAlign w:val="center"/>
                </w:tcPr>
                <w:p w14:paraId="327DDF28">
                  <w:pPr>
                    <w:pStyle w:val="24"/>
                    <w:spacing w:after="0"/>
                    <w:ind w:left="0" w:leftChars="0" w:firstLine="0" w:firstLineChars="0"/>
                    <w:jc w:val="center"/>
                    <w:rPr>
                      <w:rFonts w:ascii="Times New Roman" w:hAnsi="Times New Roman" w:cs="Times New Roman"/>
                      <w:color w:val="auto"/>
                      <w:kern w:val="2"/>
                      <w:sz w:val="21"/>
                      <w:szCs w:val="21"/>
                      <w:lang w:val="en-US" w:eastAsia="zh-CN" w:bidi="ar-SA"/>
                    </w:rPr>
                  </w:pPr>
                  <w:r>
                    <w:rPr>
                      <w:rFonts w:ascii="Times New Roman" w:hAnsi="Times New Roman" w:cs="Times New Roman"/>
                      <w:color w:val="auto"/>
                      <w:sz w:val="21"/>
                      <w:szCs w:val="21"/>
                    </w:rPr>
                    <w:t>排气筒排放量</w:t>
                  </w:r>
                </w:p>
              </w:tc>
              <w:tc>
                <w:tcPr>
                  <w:tcW w:w="1684" w:type="pct"/>
                  <w:noWrap w:val="0"/>
                  <w:vAlign w:val="center"/>
                </w:tcPr>
                <w:p w14:paraId="2A872E95">
                  <w:pPr>
                    <w:pStyle w:val="24"/>
                    <w:spacing w:after="0"/>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0.25（包含甲苯0.019、二甲苯0.006）</w:t>
                  </w:r>
                </w:p>
              </w:tc>
            </w:tr>
            <w:tr w14:paraId="6FC8AB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41" w:type="pct"/>
                  <w:vMerge w:val="continue"/>
                  <w:noWrap w:val="0"/>
                  <w:vAlign w:val="center"/>
                </w:tcPr>
                <w:p w14:paraId="5E26D597">
                  <w:pPr>
                    <w:pStyle w:val="16"/>
                    <w:jc w:val="center"/>
                    <w:rPr>
                      <w:rFonts w:hint="eastAsia" w:ascii="Times New Roman" w:hAnsi="Times New Roman" w:eastAsia="宋体" w:cs="Times New Roman"/>
                      <w:color w:val="auto"/>
                      <w:kern w:val="0"/>
                      <w:sz w:val="21"/>
                      <w:szCs w:val="21"/>
                      <w:lang w:val="en-US" w:eastAsia="zh-CN" w:bidi="ar-SA"/>
                    </w:rPr>
                  </w:pPr>
                </w:p>
              </w:tc>
              <w:tc>
                <w:tcPr>
                  <w:tcW w:w="1312" w:type="pct"/>
                  <w:vMerge w:val="continue"/>
                  <w:noWrap w:val="0"/>
                  <w:vAlign w:val="center"/>
                </w:tcPr>
                <w:p w14:paraId="0023048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p>
              </w:tc>
              <w:tc>
                <w:tcPr>
                  <w:tcW w:w="389" w:type="pct"/>
                  <w:vMerge w:val="continue"/>
                  <w:noWrap w:val="0"/>
                  <w:vAlign w:val="center"/>
                </w:tcPr>
                <w:p w14:paraId="473617B5">
                  <w:pPr>
                    <w:pStyle w:val="24"/>
                    <w:spacing w:after="0"/>
                    <w:ind w:left="0" w:leftChars="0" w:firstLine="0" w:firstLineChars="0"/>
                    <w:jc w:val="center"/>
                    <w:rPr>
                      <w:rFonts w:ascii="Times New Roman" w:hAnsi="Times New Roman" w:cs="Times New Roman"/>
                      <w:color w:val="auto"/>
                      <w:sz w:val="21"/>
                      <w:szCs w:val="21"/>
                    </w:rPr>
                  </w:pPr>
                </w:p>
              </w:tc>
              <w:tc>
                <w:tcPr>
                  <w:tcW w:w="1071" w:type="pct"/>
                  <w:noWrap w:val="0"/>
                  <w:vAlign w:val="center"/>
                </w:tcPr>
                <w:p w14:paraId="7359C03A">
                  <w:pPr>
                    <w:pStyle w:val="24"/>
                    <w:spacing w:after="0"/>
                    <w:ind w:left="0" w:lef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sz w:val="21"/>
                      <w:szCs w:val="21"/>
                      <w:lang w:val="en-US" w:eastAsia="zh-CN"/>
                    </w:rPr>
                    <w:t>无组织排放量</w:t>
                  </w:r>
                </w:p>
              </w:tc>
              <w:tc>
                <w:tcPr>
                  <w:tcW w:w="1684" w:type="pct"/>
                  <w:noWrap w:val="0"/>
                  <w:vAlign w:val="center"/>
                </w:tcPr>
                <w:p w14:paraId="6A826250">
                  <w:pPr>
                    <w:pStyle w:val="24"/>
                    <w:spacing w:after="0"/>
                    <w:ind w:left="0" w:lef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0.021</w:t>
                  </w:r>
                  <w:r>
                    <w:rPr>
                      <w:rFonts w:hint="eastAsia" w:cs="Times New Roman"/>
                      <w:color w:val="auto"/>
                      <w:kern w:val="2"/>
                      <w:sz w:val="21"/>
                      <w:szCs w:val="21"/>
                      <w:lang w:val="en-US" w:eastAsia="zh-CN" w:bidi="ar-SA"/>
                    </w:rPr>
                    <w:t>（包含甲苯0.002）</w:t>
                  </w:r>
                </w:p>
              </w:tc>
            </w:tr>
            <w:tr w14:paraId="607802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41" w:type="pct"/>
                  <w:vMerge w:val="restart"/>
                  <w:noWrap w:val="0"/>
                  <w:vAlign w:val="center"/>
                </w:tcPr>
                <w:p w14:paraId="097C8892">
                  <w:pPr>
                    <w:pStyle w:val="16"/>
                    <w:jc w:val="center"/>
                    <w:rPr>
                      <w:rFonts w:hint="eastAsia"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DA002</w:t>
                  </w:r>
                </w:p>
              </w:tc>
              <w:tc>
                <w:tcPr>
                  <w:tcW w:w="1312" w:type="pct"/>
                  <w:vMerge w:val="restart"/>
                  <w:noWrap w:val="0"/>
                  <w:vAlign w:val="center"/>
                </w:tcPr>
                <w:p w14:paraId="47DE27A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cs="Times New Roman"/>
                      <w:color w:val="auto"/>
                      <w:kern w:val="2"/>
                      <w:sz w:val="21"/>
                      <w:szCs w:val="21"/>
                      <w:lang w:val="en-US" w:eastAsia="zh-CN" w:bidi="ar-SA"/>
                    </w:rPr>
                  </w:pPr>
                  <w:r>
                    <w:rPr>
                      <w:rFonts w:hint="eastAsia" w:cs="Times New Roman"/>
                      <w:color w:val="auto"/>
                      <w:kern w:val="2"/>
                      <w:sz w:val="21"/>
                      <w:szCs w:val="21"/>
                      <w:lang w:val="en-US" w:eastAsia="zh-CN" w:bidi="ar-SA"/>
                    </w:rPr>
                    <w:t>0.412</w:t>
                  </w:r>
                </w:p>
                <w:p w14:paraId="3EF812E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（包含甲苯0.031、二甲苯0.01）</w:t>
                  </w:r>
                </w:p>
              </w:tc>
              <w:tc>
                <w:tcPr>
                  <w:tcW w:w="389" w:type="pct"/>
                  <w:vMerge w:val="continue"/>
                  <w:noWrap w:val="0"/>
                  <w:vAlign w:val="center"/>
                </w:tcPr>
                <w:p w14:paraId="2A29B11A">
                  <w:pPr>
                    <w:pStyle w:val="24"/>
                    <w:spacing w:after="0"/>
                    <w:ind w:left="0" w:leftChars="0" w:firstLine="0" w:firstLineChars="0"/>
                    <w:jc w:val="center"/>
                    <w:rPr>
                      <w:rFonts w:ascii="Times New Roman" w:hAnsi="Times New Roman" w:cs="Times New Roman"/>
                      <w:color w:val="auto"/>
                      <w:sz w:val="21"/>
                      <w:szCs w:val="21"/>
                    </w:rPr>
                  </w:pPr>
                </w:p>
              </w:tc>
              <w:tc>
                <w:tcPr>
                  <w:tcW w:w="1071" w:type="pct"/>
                  <w:shd w:val="clear" w:color="auto" w:fill="auto"/>
                  <w:noWrap w:val="0"/>
                  <w:vAlign w:val="center"/>
                </w:tcPr>
                <w:p w14:paraId="27E2BA40">
                  <w:pPr>
                    <w:pStyle w:val="24"/>
                    <w:spacing w:after="0"/>
                    <w:ind w:left="0" w:leftChars="0" w:firstLine="0" w:firstLineChars="0"/>
                    <w:jc w:val="center"/>
                    <w:rPr>
                      <w:rFonts w:hint="eastAsia" w:ascii="Times New Roman" w:hAnsi="Times New Roman" w:eastAsia="宋体" w:cs="Times New Roman"/>
                      <w:color w:val="auto"/>
                      <w:kern w:val="0"/>
                      <w:sz w:val="21"/>
                      <w:szCs w:val="21"/>
                      <w:lang w:val="en-US" w:eastAsia="zh-CN" w:bidi="ar-SA"/>
                    </w:rPr>
                  </w:pPr>
                  <w:r>
                    <w:rPr>
                      <w:rFonts w:ascii="Times New Roman" w:hAnsi="Times New Roman" w:cs="Times New Roman"/>
                      <w:color w:val="auto"/>
                      <w:sz w:val="21"/>
                      <w:szCs w:val="21"/>
                    </w:rPr>
                    <w:t>有机废气处置量</w:t>
                  </w:r>
                </w:p>
              </w:tc>
              <w:tc>
                <w:tcPr>
                  <w:tcW w:w="1684" w:type="pct"/>
                  <w:shd w:val="clear" w:color="auto" w:fill="auto"/>
                  <w:noWrap w:val="0"/>
                  <w:vAlign w:val="center"/>
                </w:tcPr>
                <w:p w14:paraId="72BADE6E">
                  <w:pPr>
                    <w:pStyle w:val="24"/>
                    <w:spacing w:after="0"/>
                    <w:ind w:left="0" w:leftChars="0"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0.141</w:t>
                  </w:r>
                  <w:r>
                    <w:rPr>
                      <w:rFonts w:hint="eastAsia" w:cs="Times New Roman"/>
                      <w:color w:val="auto"/>
                      <w:kern w:val="2"/>
                      <w:sz w:val="21"/>
                      <w:szCs w:val="21"/>
                      <w:lang w:val="en-US" w:eastAsia="zh-CN" w:bidi="ar-SA"/>
                    </w:rPr>
                    <w:t>（包含甲苯0.01、二甲苯0.004）</w:t>
                  </w:r>
                </w:p>
              </w:tc>
            </w:tr>
            <w:tr w14:paraId="65F232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41" w:type="pct"/>
                  <w:vMerge w:val="continue"/>
                  <w:noWrap w:val="0"/>
                  <w:vAlign w:val="center"/>
                </w:tcPr>
                <w:p w14:paraId="5C248FA5">
                  <w:pPr>
                    <w:pStyle w:val="16"/>
                    <w:jc w:val="center"/>
                    <w:rPr>
                      <w:rFonts w:hint="eastAsia" w:ascii="Times New Roman" w:hAnsi="Times New Roman" w:eastAsia="宋体" w:cs="Times New Roman"/>
                      <w:color w:val="auto"/>
                      <w:kern w:val="0"/>
                      <w:sz w:val="21"/>
                      <w:szCs w:val="21"/>
                      <w:lang w:val="en-US" w:eastAsia="zh-CN" w:bidi="ar-SA"/>
                    </w:rPr>
                  </w:pPr>
                </w:p>
              </w:tc>
              <w:tc>
                <w:tcPr>
                  <w:tcW w:w="1312" w:type="pct"/>
                  <w:vMerge w:val="continue"/>
                  <w:noWrap w:val="0"/>
                  <w:vAlign w:val="center"/>
                </w:tcPr>
                <w:p w14:paraId="118DEA0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p>
              </w:tc>
              <w:tc>
                <w:tcPr>
                  <w:tcW w:w="389" w:type="pct"/>
                  <w:vMerge w:val="continue"/>
                  <w:noWrap w:val="0"/>
                  <w:vAlign w:val="center"/>
                </w:tcPr>
                <w:p w14:paraId="4F637A2F">
                  <w:pPr>
                    <w:pStyle w:val="24"/>
                    <w:spacing w:after="0"/>
                    <w:ind w:left="0" w:leftChars="0" w:firstLine="0" w:firstLineChars="0"/>
                    <w:jc w:val="center"/>
                    <w:rPr>
                      <w:rFonts w:ascii="Times New Roman" w:hAnsi="Times New Roman" w:cs="Times New Roman"/>
                      <w:color w:val="auto"/>
                      <w:sz w:val="21"/>
                      <w:szCs w:val="21"/>
                    </w:rPr>
                  </w:pPr>
                </w:p>
              </w:tc>
              <w:tc>
                <w:tcPr>
                  <w:tcW w:w="1071" w:type="pct"/>
                  <w:shd w:val="clear" w:color="auto" w:fill="auto"/>
                  <w:noWrap w:val="0"/>
                  <w:vAlign w:val="center"/>
                </w:tcPr>
                <w:p w14:paraId="238E8BEA">
                  <w:pPr>
                    <w:pStyle w:val="24"/>
                    <w:spacing w:after="0"/>
                    <w:ind w:left="0" w:leftChars="0" w:firstLine="0" w:firstLineChars="0"/>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cs="Times New Roman"/>
                      <w:color w:val="auto"/>
                      <w:sz w:val="21"/>
                      <w:szCs w:val="21"/>
                    </w:rPr>
                    <w:t>排气筒排放量</w:t>
                  </w:r>
                </w:p>
              </w:tc>
              <w:tc>
                <w:tcPr>
                  <w:tcW w:w="1684" w:type="pct"/>
                  <w:shd w:val="clear" w:color="auto" w:fill="auto"/>
                  <w:noWrap w:val="0"/>
                  <w:vAlign w:val="center"/>
                </w:tcPr>
                <w:p w14:paraId="3B38BDE7">
                  <w:pPr>
                    <w:pStyle w:val="24"/>
                    <w:spacing w:after="0"/>
                    <w:ind w:left="0" w:leftChars="0"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0.25（包含甲苯0.019、二甲苯0.006）</w:t>
                  </w:r>
                </w:p>
              </w:tc>
            </w:tr>
            <w:tr w14:paraId="17BADE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41" w:type="pct"/>
                  <w:vMerge w:val="continue"/>
                  <w:noWrap w:val="0"/>
                  <w:vAlign w:val="center"/>
                </w:tcPr>
                <w:p w14:paraId="1C5A060B">
                  <w:pPr>
                    <w:pStyle w:val="16"/>
                    <w:jc w:val="center"/>
                    <w:rPr>
                      <w:rFonts w:hint="eastAsia" w:ascii="Times New Roman" w:hAnsi="Times New Roman" w:eastAsia="宋体" w:cs="Times New Roman"/>
                      <w:color w:val="auto"/>
                      <w:kern w:val="0"/>
                      <w:sz w:val="21"/>
                      <w:szCs w:val="21"/>
                      <w:lang w:val="en-US" w:eastAsia="zh-CN" w:bidi="ar-SA"/>
                    </w:rPr>
                  </w:pPr>
                </w:p>
              </w:tc>
              <w:tc>
                <w:tcPr>
                  <w:tcW w:w="1312" w:type="pct"/>
                  <w:vMerge w:val="continue"/>
                  <w:noWrap w:val="0"/>
                  <w:vAlign w:val="center"/>
                </w:tcPr>
                <w:p w14:paraId="438C759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p>
              </w:tc>
              <w:tc>
                <w:tcPr>
                  <w:tcW w:w="389" w:type="pct"/>
                  <w:vMerge w:val="continue"/>
                  <w:noWrap w:val="0"/>
                  <w:vAlign w:val="center"/>
                </w:tcPr>
                <w:p w14:paraId="2173463B">
                  <w:pPr>
                    <w:pStyle w:val="24"/>
                    <w:spacing w:after="0"/>
                    <w:ind w:left="0" w:leftChars="0" w:firstLine="0" w:firstLineChars="0"/>
                    <w:jc w:val="center"/>
                    <w:rPr>
                      <w:rFonts w:ascii="Times New Roman" w:hAnsi="Times New Roman" w:cs="Times New Roman"/>
                      <w:color w:val="auto"/>
                      <w:sz w:val="21"/>
                      <w:szCs w:val="21"/>
                    </w:rPr>
                  </w:pPr>
                </w:p>
              </w:tc>
              <w:tc>
                <w:tcPr>
                  <w:tcW w:w="1071" w:type="pct"/>
                  <w:shd w:val="clear" w:color="auto" w:fill="auto"/>
                  <w:noWrap w:val="0"/>
                  <w:vAlign w:val="center"/>
                </w:tcPr>
                <w:p w14:paraId="54A7F7C2">
                  <w:pPr>
                    <w:pStyle w:val="24"/>
                    <w:spacing w:after="0"/>
                    <w:ind w:left="0" w:leftChars="0"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sz w:val="21"/>
                      <w:szCs w:val="21"/>
                      <w:lang w:val="en-US" w:eastAsia="zh-CN"/>
                    </w:rPr>
                    <w:t>无组织排放量</w:t>
                  </w:r>
                </w:p>
              </w:tc>
              <w:tc>
                <w:tcPr>
                  <w:tcW w:w="1684" w:type="pct"/>
                  <w:shd w:val="clear" w:color="auto" w:fill="auto"/>
                  <w:noWrap w:val="0"/>
                  <w:vAlign w:val="center"/>
                </w:tcPr>
                <w:p w14:paraId="14ACB265">
                  <w:pPr>
                    <w:pStyle w:val="24"/>
                    <w:spacing w:after="0"/>
                    <w:ind w:left="0" w:leftChars="0"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0.021</w:t>
                  </w:r>
                  <w:r>
                    <w:rPr>
                      <w:rFonts w:hint="eastAsia" w:cs="Times New Roman"/>
                      <w:color w:val="auto"/>
                      <w:kern w:val="2"/>
                      <w:sz w:val="21"/>
                      <w:szCs w:val="21"/>
                      <w:lang w:val="en-US" w:eastAsia="zh-CN" w:bidi="ar-SA"/>
                    </w:rPr>
                    <w:t>（包含甲苯0.002）</w:t>
                  </w:r>
                </w:p>
              </w:tc>
            </w:tr>
            <w:tr w14:paraId="6F50F0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41" w:type="pct"/>
                  <w:vMerge w:val="restart"/>
                  <w:noWrap w:val="0"/>
                  <w:vAlign w:val="center"/>
                </w:tcPr>
                <w:p w14:paraId="58AFA835">
                  <w:pPr>
                    <w:pStyle w:val="16"/>
                    <w:jc w:val="center"/>
                    <w:rPr>
                      <w:rFonts w:hint="eastAsia"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DA003</w:t>
                  </w:r>
                </w:p>
              </w:tc>
              <w:tc>
                <w:tcPr>
                  <w:tcW w:w="1312" w:type="pct"/>
                  <w:vMerge w:val="restart"/>
                  <w:noWrap w:val="0"/>
                  <w:vAlign w:val="center"/>
                </w:tcPr>
                <w:p w14:paraId="0FCD1F8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0.915</w:t>
                  </w:r>
                </w:p>
                <w:p w14:paraId="3D6B890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（包含甲苯0.066、二甲苯0.027）</w:t>
                  </w:r>
                </w:p>
              </w:tc>
              <w:tc>
                <w:tcPr>
                  <w:tcW w:w="389" w:type="pct"/>
                  <w:vMerge w:val="continue"/>
                  <w:noWrap w:val="0"/>
                  <w:vAlign w:val="center"/>
                </w:tcPr>
                <w:p w14:paraId="260060A9">
                  <w:pPr>
                    <w:pStyle w:val="24"/>
                    <w:spacing w:after="0"/>
                    <w:ind w:left="0" w:leftChars="0" w:firstLine="0" w:firstLineChars="0"/>
                    <w:jc w:val="center"/>
                    <w:rPr>
                      <w:rFonts w:ascii="Times New Roman" w:hAnsi="Times New Roman" w:cs="Times New Roman"/>
                      <w:color w:val="auto"/>
                      <w:sz w:val="21"/>
                      <w:szCs w:val="21"/>
                    </w:rPr>
                  </w:pPr>
                </w:p>
              </w:tc>
              <w:tc>
                <w:tcPr>
                  <w:tcW w:w="1071" w:type="pct"/>
                  <w:shd w:val="clear" w:color="auto" w:fill="auto"/>
                  <w:noWrap w:val="0"/>
                  <w:vAlign w:val="center"/>
                </w:tcPr>
                <w:p w14:paraId="25C699E6">
                  <w:pPr>
                    <w:pStyle w:val="24"/>
                    <w:spacing w:after="0"/>
                    <w:ind w:left="0" w:leftChars="0" w:firstLine="0" w:firstLineChars="0"/>
                    <w:jc w:val="center"/>
                    <w:rPr>
                      <w:rFonts w:hint="eastAsia" w:ascii="Times New Roman" w:hAnsi="Times New Roman" w:eastAsia="宋体" w:cs="Times New Roman"/>
                      <w:color w:val="auto"/>
                      <w:kern w:val="0"/>
                      <w:sz w:val="21"/>
                      <w:szCs w:val="21"/>
                      <w:lang w:val="en-US" w:eastAsia="zh-CN" w:bidi="ar-SA"/>
                    </w:rPr>
                  </w:pPr>
                  <w:r>
                    <w:rPr>
                      <w:rFonts w:ascii="Times New Roman" w:hAnsi="Times New Roman" w:cs="Times New Roman"/>
                      <w:color w:val="auto"/>
                      <w:sz w:val="21"/>
                      <w:szCs w:val="21"/>
                    </w:rPr>
                    <w:t>有机废气处置量</w:t>
                  </w:r>
                </w:p>
              </w:tc>
              <w:tc>
                <w:tcPr>
                  <w:tcW w:w="1684" w:type="pct"/>
                  <w:noWrap w:val="0"/>
                  <w:vAlign w:val="center"/>
                </w:tcPr>
                <w:p w14:paraId="51DA1954">
                  <w:pPr>
                    <w:pStyle w:val="24"/>
                    <w:spacing w:after="0"/>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0.309</w:t>
                  </w:r>
                  <w:r>
                    <w:rPr>
                      <w:rFonts w:hint="eastAsia" w:cs="Times New Roman"/>
                      <w:color w:val="auto"/>
                      <w:kern w:val="2"/>
                      <w:sz w:val="21"/>
                      <w:szCs w:val="21"/>
                      <w:lang w:val="en-US" w:eastAsia="zh-CN" w:bidi="ar-SA"/>
                    </w:rPr>
                    <w:t>（包含甲苯0.022、二甲苯0.009）</w:t>
                  </w:r>
                </w:p>
              </w:tc>
            </w:tr>
            <w:tr w14:paraId="14387B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41" w:type="pct"/>
                  <w:vMerge w:val="continue"/>
                  <w:noWrap w:val="0"/>
                  <w:vAlign w:val="center"/>
                </w:tcPr>
                <w:p w14:paraId="0E184D65">
                  <w:pPr>
                    <w:pStyle w:val="16"/>
                    <w:jc w:val="center"/>
                    <w:rPr>
                      <w:rFonts w:hint="eastAsia" w:ascii="Times New Roman" w:hAnsi="Times New Roman" w:eastAsia="宋体" w:cs="Times New Roman"/>
                      <w:color w:val="auto"/>
                      <w:kern w:val="0"/>
                      <w:sz w:val="21"/>
                      <w:szCs w:val="21"/>
                      <w:lang w:val="en-US" w:eastAsia="zh-CN" w:bidi="ar-SA"/>
                    </w:rPr>
                  </w:pPr>
                </w:p>
              </w:tc>
              <w:tc>
                <w:tcPr>
                  <w:tcW w:w="1312" w:type="pct"/>
                  <w:vMerge w:val="continue"/>
                  <w:noWrap w:val="0"/>
                  <w:vAlign w:val="center"/>
                </w:tcPr>
                <w:p w14:paraId="7258216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p>
              </w:tc>
              <w:tc>
                <w:tcPr>
                  <w:tcW w:w="389" w:type="pct"/>
                  <w:vMerge w:val="continue"/>
                  <w:noWrap w:val="0"/>
                  <w:vAlign w:val="center"/>
                </w:tcPr>
                <w:p w14:paraId="702BF0F8">
                  <w:pPr>
                    <w:pStyle w:val="24"/>
                    <w:spacing w:after="0"/>
                    <w:ind w:left="0" w:leftChars="0" w:firstLine="0" w:firstLineChars="0"/>
                    <w:jc w:val="center"/>
                    <w:rPr>
                      <w:rFonts w:ascii="Times New Roman" w:hAnsi="Times New Roman" w:cs="Times New Roman"/>
                      <w:color w:val="auto"/>
                      <w:sz w:val="21"/>
                      <w:szCs w:val="21"/>
                    </w:rPr>
                  </w:pPr>
                </w:p>
              </w:tc>
              <w:tc>
                <w:tcPr>
                  <w:tcW w:w="1071" w:type="pct"/>
                  <w:shd w:val="clear" w:color="auto" w:fill="auto"/>
                  <w:noWrap w:val="0"/>
                  <w:vAlign w:val="center"/>
                </w:tcPr>
                <w:p w14:paraId="7C8F5AF7">
                  <w:pPr>
                    <w:pStyle w:val="24"/>
                    <w:spacing w:after="0"/>
                    <w:ind w:left="0" w:leftChars="0" w:firstLine="0" w:firstLineChars="0"/>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cs="Times New Roman"/>
                      <w:color w:val="auto"/>
                      <w:sz w:val="21"/>
                      <w:szCs w:val="21"/>
                    </w:rPr>
                    <w:t>排气筒排放量</w:t>
                  </w:r>
                </w:p>
              </w:tc>
              <w:tc>
                <w:tcPr>
                  <w:tcW w:w="1684" w:type="pct"/>
                  <w:noWrap w:val="0"/>
                  <w:vAlign w:val="center"/>
                </w:tcPr>
                <w:p w14:paraId="69A57A32">
                  <w:pPr>
                    <w:pStyle w:val="24"/>
                    <w:spacing w:after="0"/>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0.551</w:t>
                  </w:r>
                  <w:r>
                    <w:rPr>
                      <w:rFonts w:hint="eastAsia" w:cs="Times New Roman"/>
                      <w:color w:val="auto"/>
                      <w:kern w:val="2"/>
                      <w:sz w:val="21"/>
                      <w:szCs w:val="21"/>
                      <w:lang w:val="en-US" w:eastAsia="zh-CN" w:bidi="ar-SA"/>
                    </w:rPr>
                    <w:t>（包含甲苯0.04、二甲苯0.016）</w:t>
                  </w:r>
                </w:p>
              </w:tc>
            </w:tr>
            <w:tr w14:paraId="5A266B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41" w:type="pct"/>
                  <w:vMerge w:val="continue"/>
                  <w:noWrap w:val="0"/>
                  <w:vAlign w:val="center"/>
                </w:tcPr>
                <w:p w14:paraId="478127AA">
                  <w:pPr>
                    <w:pStyle w:val="16"/>
                    <w:jc w:val="center"/>
                    <w:rPr>
                      <w:rFonts w:hint="eastAsia" w:ascii="Times New Roman" w:hAnsi="Times New Roman" w:eastAsia="宋体" w:cs="Times New Roman"/>
                      <w:color w:val="auto"/>
                      <w:kern w:val="0"/>
                      <w:sz w:val="21"/>
                      <w:szCs w:val="21"/>
                      <w:lang w:val="en-US" w:eastAsia="zh-CN" w:bidi="ar-SA"/>
                    </w:rPr>
                  </w:pPr>
                </w:p>
              </w:tc>
              <w:tc>
                <w:tcPr>
                  <w:tcW w:w="1312" w:type="pct"/>
                  <w:vMerge w:val="continue"/>
                  <w:noWrap w:val="0"/>
                  <w:vAlign w:val="center"/>
                </w:tcPr>
                <w:p w14:paraId="228D062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p>
              </w:tc>
              <w:tc>
                <w:tcPr>
                  <w:tcW w:w="389" w:type="pct"/>
                  <w:vMerge w:val="continue"/>
                  <w:noWrap w:val="0"/>
                  <w:vAlign w:val="center"/>
                </w:tcPr>
                <w:p w14:paraId="42EB0089">
                  <w:pPr>
                    <w:pStyle w:val="24"/>
                    <w:spacing w:after="0"/>
                    <w:ind w:left="0" w:leftChars="0" w:firstLine="0" w:firstLineChars="0"/>
                    <w:jc w:val="center"/>
                    <w:rPr>
                      <w:rFonts w:ascii="Times New Roman" w:hAnsi="Times New Roman" w:cs="Times New Roman"/>
                      <w:color w:val="auto"/>
                      <w:sz w:val="21"/>
                      <w:szCs w:val="21"/>
                    </w:rPr>
                  </w:pPr>
                </w:p>
              </w:tc>
              <w:tc>
                <w:tcPr>
                  <w:tcW w:w="1071" w:type="pct"/>
                  <w:shd w:val="clear" w:color="auto" w:fill="auto"/>
                  <w:noWrap w:val="0"/>
                  <w:vAlign w:val="center"/>
                </w:tcPr>
                <w:p w14:paraId="5855EFC8">
                  <w:pPr>
                    <w:pStyle w:val="24"/>
                    <w:spacing w:after="0"/>
                    <w:ind w:left="0" w:leftChars="0" w:firstLine="0" w:firstLineChars="0"/>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sz w:val="21"/>
                      <w:szCs w:val="21"/>
                      <w:lang w:val="en-US" w:eastAsia="zh-CN"/>
                    </w:rPr>
                    <w:t>无组织排放量</w:t>
                  </w:r>
                </w:p>
              </w:tc>
              <w:tc>
                <w:tcPr>
                  <w:tcW w:w="1684" w:type="pct"/>
                  <w:noWrap w:val="0"/>
                  <w:vAlign w:val="center"/>
                </w:tcPr>
                <w:p w14:paraId="31870B30">
                  <w:pPr>
                    <w:pStyle w:val="24"/>
                    <w:spacing w:after="0"/>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0.055</w:t>
                  </w:r>
                  <w:r>
                    <w:rPr>
                      <w:rFonts w:hint="eastAsia" w:cs="Times New Roman"/>
                      <w:color w:val="auto"/>
                      <w:kern w:val="2"/>
                      <w:sz w:val="21"/>
                      <w:szCs w:val="21"/>
                      <w:lang w:val="en-US" w:eastAsia="zh-CN" w:bidi="ar-SA"/>
                    </w:rPr>
                    <w:t>（包含甲苯0.004、二甲苯0.002）</w:t>
                  </w:r>
                </w:p>
              </w:tc>
            </w:tr>
            <w:tr w14:paraId="6B7517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41" w:type="pct"/>
                  <w:noWrap w:val="0"/>
                  <w:vAlign w:val="center"/>
                </w:tcPr>
                <w:p w14:paraId="0DF3C4F7">
                  <w:pPr>
                    <w:pStyle w:val="24"/>
                    <w:spacing w:after="0"/>
                    <w:ind w:left="0" w:leftChars="0" w:firstLine="0" w:firstLineChars="0"/>
                    <w:jc w:val="center"/>
                    <w:rPr>
                      <w:rFonts w:ascii="Times New Roman" w:hAnsi="Times New Roman" w:cs="Times New Roman"/>
                      <w:color w:val="auto"/>
                      <w:sz w:val="21"/>
                      <w:szCs w:val="21"/>
                    </w:rPr>
                  </w:pPr>
                  <w:r>
                    <w:rPr>
                      <w:rFonts w:ascii="Times New Roman" w:hAnsi="Times New Roman" w:cs="Times New Roman"/>
                      <w:color w:val="auto"/>
                      <w:sz w:val="21"/>
                      <w:szCs w:val="21"/>
                    </w:rPr>
                    <w:t>合计</w:t>
                  </w:r>
                </w:p>
              </w:tc>
              <w:tc>
                <w:tcPr>
                  <w:tcW w:w="1312" w:type="pct"/>
                  <w:noWrap w:val="0"/>
                  <w:vAlign w:val="center"/>
                </w:tcPr>
                <w:p w14:paraId="0D476DC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2"/>
                      <w:sz w:val="21"/>
                      <w:szCs w:val="21"/>
                      <w:lang w:val="en-US" w:eastAsia="zh-CN" w:bidi="ar-SA"/>
                    </w:rPr>
                    <w:t>1.</w:t>
                  </w:r>
                  <w:r>
                    <w:rPr>
                      <w:rFonts w:hint="eastAsia" w:cs="Times New Roman"/>
                      <w:color w:val="auto"/>
                      <w:kern w:val="2"/>
                      <w:sz w:val="21"/>
                      <w:szCs w:val="21"/>
                      <w:lang w:val="en-US" w:eastAsia="zh-CN" w:bidi="ar-SA"/>
                    </w:rPr>
                    <w:t>739（包含甲苯0.128、二甲苯0.047）</w:t>
                  </w:r>
                </w:p>
              </w:tc>
              <w:tc>
                <w:tcPr>
                  <w:tcW w:w="1460" w:type="pct"/>
                  <w:gridSpan w:val="2"/>
                  <w:noWrap w:val="0"/>
                  <w:vAlign w:val="center"/>
                </w:tcPr>
                <w:p w14:paraId="176049BC">
                  <w:pPr>
                    <w:pStyle w:val="24"/>
                    <w:spacing w:after="0"/>
                    <w:ind w:left="0" w:leftChars="0" w:firstLine="0" w:firstLineChars="0"/>
                    <w:jc w:val="center"/>
                    <w:rPr>
                      <w:rFonts w:ascii="Times New Roman" w:hAnsi="Times New Roman" w:cs="Times New Roman"/>
                      <w:color w:val="auto"/>
                      <w:sz w:val="21"/>
                      <w:szCs w:val="21"/>
                    </w:rPr>
                  </w:pPr>
                  <w:r>
                    <w:rPr>
                      <w:rFonts w:ascii="Times New Roman" w:hAnsi="Times New Roman" w:cs="Times New Roman"/>
                      <w:color w:val="auto"/>
                      <w:sz w:val="21"/>
                      <w:szCs w:val="21"/>
                    </w:rPr>
                    <w:t>合计</w:t>
                  </w:r>
                </w:p>
              </w:tc>
              <w:tc>
                <w:tcPr>
                  <w:tcW w:w="1684" w:type="pct"/>
                  <w:noWrap w:val="0"/>
                  <w:vAlign w:val="center"/>
                </w:tcPr>
                <w:p w14:paraId="10E3AE5A">
                  <w:pPr>
                    <w:pStyle w:val="24"/>
                    <w:spacing w:after="0"/>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1.739</w:t>
                  </w:r>
                  <w:r>
                    <w:rPr>
                      <w:rFonts w:hint="eastAsia" w:cs="Times New Roman"/>
                      <w:color w:val="auto"/>
                      <w:kern w:val="2"/>
                      <w:sz w:val="21"/>
                      <w:szCs w:val="21"/>
                      <w:lang w:val="en-US" w:eastAsia="zh-CN" w:bidi="ar-SA"/>
                    </w:rPr>
                    <w:t>（包含甲苯0.128、二甲苯0.01）</w:t>
                  </w:r>
                </w:p>
              </w:tc>
            </w:tr>
          </w:tbl>
          <w:p w14:paraId="04E7DBA5">
            <w:pPr>
              <w:pStyle w:val="9"/>
              <w:jc w:val="center"/>
              <w:rPr>
                <w:rFonts w:hint="eastAsia" w:eastAsia="宋体"/>
                <w:color w:val="auto"/>
                <w:lang w:eastAsia="zh-CN"/>
              </w:rPr>
            </w:pPr>
            <w:r>
              <w:rPr>
                <w:rFonts w:hint="eastAsia" w:eastAsia="宋体"/>
                <w:color w:val="auto"/>
                <w:lang w:eastAsia="zh-CN"/>
              </w:rPr>
              <w:drawing>
                <wp:inline distT="0" distB="0" distL="114300" distR="114300">
                  <wp:extent cx="5123815" cy="4356100"/>
                  <wp:effectExtent l="0" t="0" r="635" b="6350"/>
                  <wp:docPr id="18" name="F360BE8B-6686-4F3D-AEAF-501FE73E4058-2" descr="C:/Users/Lenovo/AppData/Local/Temp/绘图1(5).png绘图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F360BE8B-6686-4F3D-AEAF-501FE73E4058-2" descr="C:/Users/Lenovo/AppData/Local/Temp/绘图1(5).png绘图1(5)"/>
                          <pic:cNvPicPr>
                            <a:picLocks noChangeAspect="1"/>
                          </pic:cNvPicPr>
                        </pic:nvPicPr>
                        <pic:blipFill>
                          <a:blip r:embed="rId12"/>
                          <a:stretch>
                            <a:fillRect/>
                          </a:stretch>
                        </pic:blipFill>
                        <pic:spPr>
                          <a:xfrm>
                            <a:off x="0" y="0"/>
                            <a:ext cx="5123815" cy="4356100"/>
                          </a:xfrm>
                          <a:prstGeom prst="rect">
                            <a:avLst/>
                          </a:prstGeom>
                          <a:noFill/>
                          <a:ln>
                            <a:noFill/>
                          </a:ln>
                        </pic:spPr>
                      </pic:pic>
                    </a:graphicData>
                  </a:graphic>
                </wp:inline>
              </w:drawing>
            </w:r>
          </w:p>
          <w:p w14:paraId="72CBD100">
            <w:pPr>
              <w:pStyle w:val="80"/>
              <w:ind w:firstLine="0" w:firstLineChars="0"/>
              <w:jc w:val="center"/>
              <w:rPr>
                <w:rFonts w:hint="eastAsia"/>
                <w:color w:val="auto"/>
              </w:rPr>
            </w:pPr>
            <w:r>
              <w:rPr>
                <w:rFonts w:hint="eastAsia"/>
                <w:b/>
                <w:bCs/>
                <w:color w:val="auto"/>
              </w:rPr>
              <w:t>图2-</w:t>
            </w:r>
            <w:r>
              <w:rPr>
                <w:rFonts w:hint="eastAsia"/>
                <w:b/>
                <w:bCs/>
                <w:color w:val="auto"/>
                <w:lang w:val="en-US" w:eastAsia="zh-CN"/>
              </w:rPr>
              <w:t>2</w:t>
            </w:r>
            <w:r>
              <w:rPr>
                <w:b/>
                <w:bCs/>
                <w:color w:val="auto"/>
              </w:rPr>
              <w:t xml:space="preserve"> </w:t>
            </w:r>
            <w:r>
              <w:rPr>
                <w:rFonts w:hint="eastAsia"/>
                <w:b/>
                <w:bCs/>
                <w:color w:val="auto"/>
              </w:rPr>
              <w:t xml:space="preserve"> </w:t>
            </w:r>
            <w:r>
              <w:rPr>
                <w:rFonts w:hint="eastAsia"/>
                <w:b/>
                <w:bCs/>
                <w:color w:val="auto"/>
                <w:lang w:val="en-US" w:eastAsia="zh-CN"/>
              </w:rPr>
              <w:t>有机废气</w:t>
            </w:r>
            <w:r>
              <w:rPr>
                <w:rFonts w:hint="eastAsia"/>
                <w:b/>
                <w:bCs/>
                <w:color w:val="auto"/>
              </w:rPr>
              <w:t>平衡图  单位：</w:t>
            </w:r>
            <w:r>
              <w:rPr>
                <w:rFonts w:hint="eastAsia"/>
                <w:b/>
                <w:bCs/>
                <w:color w:val="auto"/>
                <w:lang w:val="en-US" w:eastAsia="zh-CN"/>
              </w:rPr>
              <w:t>t</w:t>
            </w:r>
            <w:r>
              <w:rPr>
                <w:rFonts w:hint="eastAsia"/>
                <w:b/>
                <w:bCs/>
                <w:color w:val="auto"/>
              </w:rPr>
              <w:t>/a</w:t>
            </w:r>
          </w:p>
          <w:p w14:paraId="5EC89C7F">
            <w:pPr>
              <w:keepNext w:val="0"/>
              <w:keepLines w:val="0"/>
              <w:pageBreakBefore w:val="0"/>
              <w:widowControl w:val="0"/>
              <w:kinsoku/>
              <w:wordWrap/>
              <w:overflowPunct/>
              <w:topLinePunct w:val="0"/>
              <w:autoSpaceDE/>
              <w:autoSpaceDN/>
              <w:bidi w:val="0"/>
              <w:adjustRightInd/>
              <w:snapToGrid/>
              <w:spacing w:before="157" w:beforeLines="50" w:line="360" w:lineRule="auto"/>
              <w:ind w:firstLine="482" w:firstLineChars="200"/>
              <w:textAlignment w:val="auto"/>
              <w:rPr>
                <w:b/>
                <w:bCs/>
                <w:color w:val="auto"/>
                <w:sz w:val="24"/>
              </w:rPr>
            </w:pPr>
            <w:r>
              <w:rPr>
                <w:rFonts w:hint="eastAsia"/>
                <w:b/>
                <w:bCs/>
                <w:color w:val="auto"/>
                <w:sz w:val="24"/>
                <w:lang w:val="en-US" w:eastAsia="zh-CN"/>
              </w:rPr>
              <w:t>4</w:t>
            </w:r>
            <w:r>
              <w:rPr>
                <w:b/>
                <w:bCs/>
                <w:color w:val="auto"/>
                <w:sz w:val="24"/>
              </w:rPr>
              <w:t>、主要设备</w:t>
            </w:r>
          </w:p>
          <w:p w14:paraId="6214293C">
            <w:pPr>
              <w:spacing w:line="360" w:lineRule="auto"/>
              <w:ind w:firstLine="480" w:firstLineChars="200"/>
              <w:rPr>
                <w:rFonts w:hint="eastAsia"/>
                <w:color w:val="auto"/>
                <w:sz w:val="24"/>
              </w:rPr>
            </w:pPr>
            <w:r>
              <w:rPr>
                <w:color w:val="auto"/>
                <w:sz w:val="24"/>
              </w:rPr>
              <w:t>本项目所用设备具体见下表：</w:t>
            </w:r>
          </w:p>
          <w:p w14:paraId="23C4EF91">
            <w:pPr>
              <w:pStyle w:val="63"/>
              <w:spacing w:line="240" w:lineRule="auto"/>
              <w:ind w:firstLine="0" w:firstLineChars="0"/>
              <w:jc w:val="center"/>
              <w:rPr>
                <w:rFonts w:hAnsi="Times New Roman" w:cs="Times New Roman"/>
                <w:b/>
                <w:bCs/>
                <w:color w:val="auto"/>
                <w:kern w:val="21"/>
                <w:szCs w:val="24"/>
              </w:rPr>
            </w:pPr>
            <w:r>
              <w:rPr>
                <w:rFonts w:hAnsi="Times New Roman" w:cs="Times New Roman"/>
                <w:b/>
                <w:bCs/>
                <w:color w:val="auto"/>
                <w:kern w:val="21"/>
                <w:szCs w:val="24"/>
              </w:rPr>
              <w:t>表</w:t>
            </w:r>
            <w:r>
              <w:rPr>
                <w:rFonts w:hint="eastAsia" w:hAnsi="Times New Roman" w:cs="Times New Roman"/>
                <w:b/>
                <w:bCs/>
                <w:color w:val="auto"/>
                <w:kern w:val="21"/>
                <w:szCs w:val="24"/>
              </w:rPr>
              <w:t>2-</w:t>
            </w:r>
            <w:r>
              <w:rPr>
                <w:rFonts w:hint="eastAsia" w:hAnsi="Times New Roman" w:cs="Times New Roman"/>
                <w:b/>
                <w:bCs/>
                <w:color w:val="auto"/>
                <w:kern w:val="21"/>
                <w:szCs w:val="24"/>
                <w:lang w:val="en-US" w:eastAsia="zh-CN"/>
              </w:rPr>
              <w:t>9</w:t>
            </w:r>
            <w:r>
              <w:rPr>
                <w:rFonts w:hAnsi="Times New Roman" w:cs="Times New Roman"/>
                <w:b/>
                <w:bCs/>
                <w:color w:val="auto"/>
                <w:kern w:val="21"/>
                <w:szCs w:val="24"/>
              </w:rPr>
              <w:t xml:space="preserve"> </w:t>
            </w:r>
            <w:r>
              <w:rPr>
                <w:rFonts w:hint="eastAsia" w:hAnsi="Times New Roman" w:cs="Times New Roman"/>
                <w:b/>
                <w:bCs/>
                <w:color w:val="auto"/>
                <w:kern w:val="21"/>
                <w:szCs w:val="24"/>
              </w:rPr>
              <w:t xml:space="preserve"> </w:t>
            </w:r>
            <w:r>
              <w:rPr>
                <w:rFonts w:hAnsi="Times New Roman" w:cs="Times New Roman"/>
                <w:b/>
                <w:bCs/>
                <w:color w:val="auto"/>
                <w:kern w:val="21"/>
                <w:szCs w:val="24"/>
              </w:rPr>
              <w:t>项目主要设备一览表</w:t>
            </w:r>
          </w:p>
          <w:tbl>
            <w:tblPr>
              <w:tblStyle w:val="25"/>
              <w:tblW w:w="821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43"/>
              <w:gridCol w:w="2835"/>
              <w:gridCol w:w="2910"/>
              <w:gridCol w:w="1623"/>
            </w:tblGrid>
            <w:tr w14:paraId="58A0CE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57CEA5FC">
                  <w:pPr>
                    <w:widowControl/>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序号</w:t>
                  </w:r>
                </w:p>
              </w:tc>
              <w:tc>
                <w:tcPr>
                  <w:tcW w:w="1726" w:type="pct"/>
                  <w:noWrap/>
                  <w:vAlign w:val="center"/>
                </w:tcPr>
                <w:p w14:paraId="1D058535">
                  <w:pPr>
                    <w:widowControl/>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设备名称</w:t>
                  </w:r>
                </w:p>
              </w:tc>
              <w:tc>
                <w:tcPr>
                  <w:tcW w:w="1772" w:type="pct"/>
                  <w:noWrap w:val="0"/>
                  <w:vAlign w:val="center"/>
                </w:tcPr>
                <w:p w14:paraId="7744DAE2">
                  <w:pPr>
                    <w:widowControl/>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规格型号</w:t>
                  </w:r>
                </w:p>
              </w:tc>
              <w:tc>
                <w:tcPr>
                  <w:tcW w:w="988" w:type="pct"/>
                  <w:noWrap w:val="0"/>
                  <w:vAlign w:val="center"/>
                </w:tcPr>
                <w:p w14:paraId="5EE35C61">
                  <w:pPr>
                    <w:widowControl/>
                    <w:jc w:val="center"/>
                    <w:rPr>
                      <w:rFonts w:hint="eastAsia" w:ascii="Times New Roman" w:hAnsi="Times New Roman" w:eastAsia="宋体" w:cs="Times New Roman"/>
                      <w:b/>
                      <w:bCs/>
                      <w:color w:val="auto"/>
                      <w:kern w:val="0"/>
                      <w:sz w:val="21"/>
                      <w:szCs w:val="21"/>
                      <w:lang w:val="en-US" w:eastAsia="zh-CN"/>
                    </w:rPr>
                  </w:pPr>
                  <w:r>
                    <w:rPr>
                      <w:rFonts w:hint="eastAsia" w:ascii="Times New Roman" w:hAnsi="Times New Roman" w:eastAsia="宋体" w:cs="Times New Roman"/>
                      <w:b/>
                      <w:bCs/>
                      <w:color w:val="auto"/>
                      <w:kern w:val="0"/>
                      <w:sz w:val="21"/>
                      <w:szCs w:val="21"/>
                      <w:lang w:val="en-US" w:eastAsia="zh-CN"/>
                    </w:rPr>
                    <w:t>数量</w:t>
                  </w:r>
                </w:p>
              </w:tc>
            </w:tr>
            <w:tr w14:paraId="799666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4F34ACDD">
                  <w:pPr>
                    <w:widowControl/>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1726" w:type="pct"/>
                  <w:noWrap/>
                  <w:vAlign w:val="center"/>
                </w:tcPr>
                <w:p w14:paraId="3775C3FA">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四柱举升机（用于四轮定位）</w:t>
                  </w:r>
                </w:p>
              </w:tc>
              <w:tc>
                <w:tcPr>
                  <w:tcW w:w="1772" w:type="pct"/>
                  <w:noWrap w:val="0"/>
                  <w:vAlign w:val="center"/>
                </w:tcPr>
                <w:p w14:paraId="13CF6D53">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高昌</w:t>
                  </w:r>
                </w:p>
              </w:tc>
              <w:tc>
                <w:tcPr>
                  <w:tcW w:w="988" w:type="pct"/>
                  <w:noWrap w:val="0"/>
                  <w:vAlign w:val="center"/>
                </w:tcPr>
                <w:p w14:paraId="4C73E4AE">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1</w:t>
                  </w:r>
                  <w:r>
                    <w:rPr>
                      <w:rFonts w:hint="eastAsia" w:ascii="Times New Roman" w:hAnsi="Times New Roman" w:eastAsia="宋体" w:cs="Times New Roman"/>
                      <w:color w:val="auto"/>
                      <w:kern w:val="0"/>
                      <w:sz w:val="21"/>
                      <w:szCs w:val="21"/>
                      <w:lang w:val="en-US" w:eastAsia="zh-CN"/>
                    </w:rPr>
                    <w:t>台</w:t>
                  </w:r>
                </w:p>
              </w:tc>
            </w:tr>
            <w:tr w14:paraId="536801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328C9C9C">
                  <w:pPr>
                    <w:widowControl/>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w:t>
                  </w:r>
                </w:p>
              </w:tc>
              <w:tc>
                <w:tcPr>
                  <w:tcW w:w="1726" w:type="pct"/>
                  <w:noWrap/>
                  <w:vAlign w:val="center"/>
                </w:tcPr>
                <w:p w14:paraId="44E6FF86">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四轮定位</w:t>
                  </w:r>
                </w:p>
              </w:tc>
              <w:tc>
                <w:tcPr>
                  <w:tcW w:w="1772" w:type="pct"/>
                  <w:noWrap w:val="0"/>
                  <w:vAlign w:val="center"/>
                </w:tcPr>
                <w:p w14:paraId="4BB40571">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Exact Linear</w:t>
                  </w:r>
                </w:p>
              </w:tc>
              <w:tc>
                <w:tcPr>
                  <w:tcW w:w="988" w:type="pct"/>
                  <w:noWrap w:val="0"/>
                  <w:vAlign w:val="center"/>
                </w:tcPr>
                <w:p w14:paraId="2241A27E">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1</w:t>
                  </w:r>
                  <w:r>
                    <w:rPr>
                      <w:rFonts w:hint="eastAsia" w:ascii="Times New Roman" w:hAnsi="Times New Roman" w:eastAsia="宋体" w:cs="Times New Roman"/>
                      <w:color w:val="auto"/>
                      <w:kern w:val="0"/>
                      <w:sz w:val="21"/>
                      <w:szCs w:val="21"/>
                      <w:lang w:val="en-US" w:eastAsia="zh-CN"/>
                    </w:rPr>
                    <w:t>个</w:t>
                  </w:r>
                </w:p>
              </w:tc>
            </w:tr>
            <w:tr w14:paraId="164833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778C387B">
                  <w:pPr>
                    <w:widowControl/>
                    <w:adjustRightInd w:val="0"/>
                    <w:snapToGrid w:val="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w:t>
                  </w:r>
                </w:p>
              </w:tc>
              <w:tc>
                <w:tcPr>
                  <w:tcW w:w="1726" w:type="pct"/>
                  <w:noWrap/>
                  <w:vAlign w:val="center"/>
                </w:tcPr>
                <w:p w14:paraId="4C99B724">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轮胎平衡机</w:t>
                  </w:r>
                </w:p>
              </w:tc>
              <w:tc>
                <w:tcPr>
                  <w:tcW w:w="1772" w:type="pct"/>
                  <w:noWrap w:val="0"/>
                  <w:vAlign w:val="center"/>
                </w:tcPr>
                <w:p w14:paraId="2F55B469">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ITE-718</w:t>
                  </w:r>
                </w:p>
              </w:tc>
              <w:tc>
                <w:tcPr>
                  <w:tcW w:w="988" w:type="pct"/>
                  <w:noWrap w:val="0"/>
                  <w:vAlign w:val="center"/>
                </w:tcPr>
                <w:p w14:paraId="69A87CF5">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1</w:t>
                  </w:r>
                  <w:r>
                    <w:rPr>
                      <w:rFonts w:hint="eastAsia" w:ascii="Times New Roman" w:hAnsi="Times New Roman" w:eastAsia="宋体" w:cs="Times New Roman"/>
                      <w:color w:val="auto"/>
                      <w:kern w:val="0"/>
                      <w:sz w:val="21"/>
                      <w:szCs w:val="21"/>
                      <w:lang w:val="en-US" w:eastAsia="zh-CN"/>
                    </w:rPr>
                    <w:t>台</w:t>
                  </w:r>
                </w:p>
              </w:tc>
            </w:tr>
            <w:tr w14:paraId="56DB92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12E56D75">
                  <w:pPr>
                    <w:widowControl/>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1726" w:type="pct"/>
                  <w:noWrap/>
                  <w:vAlign w:val="center"/>
                </w:tcPr>
                <w:p w14:paraId="48730928">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扒胎机</w:t>
                  </w:r>
                </w:p>
              </w:tc>
              <w:tc>
                <w:tcPr>
                  <w:tcW w:w="1772" w:type="pct"/>
                  <w:noWrap w:val="0"/>
                  <w:vAlign w:val="center"/>
                </w:tcPr>
                <w:p w14:paraId="4299B6D4">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ITF-528</w:t>
                  </w:r>
                </w:p>
              </w:tc>
              <w:tc>
                <w:tcPr>
                  <w:tcW w:w="988" w:type="pct"/>
                  <w:noWrap w:val="0"/>
                  <w:vAlign w:val="center"/>
                </w:tcPr>
                <w:p w14:paraId="72ACFA66">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1</w:t>
                  </w:r>
                  <w:r>
                    <w:rPr>
                      <w:rFonts w:hint="eastAsia" w:ascii="Times New Roman" w:hAnsi="Times New Roman" w:eastAsia="宋体" w:cs="Times New Roman"/>
                      <w:color w:val="auto"/>
                      <w:kern w:val="0"/>
                      <w:sz w:val="21"/>
                      <w:szCs w:val="21"/>
                      <w:lang w:val="en-US" w:eastAsia="zh-CN"/>
                    </w:rPr>
                    <w:t>台</w:t>
                  </w:r>
                </w:p>
              </w:tc>
            </w:tr>
            <w:tr w14:paraId="47ECCC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4F61493D">
                  <w:pPr>
                    <w:widowControl/>
                    <w:adjustRightInd w:val="0"/>
                    <w:snapToGrid w:val="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5</w:t>
                  </w:r>
                </w:p>
              </w:tc>
              <w:tc>
                <w:tcPr>
                  <w:tcW w:w="1726" w:type="pct"/>
                  <w:noWrap/>
                  <w:vAlign w:val="center"/>
                </w:tcPr>
                <w:p w14:paraId="77E345A2">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螺杆式压缩机</w:t>
                  </w:r>
                </w:p>
              </w:tc>
              <w:tc>
                <w:tcPr>
                  <w:tcW w:w="1772" w:type="pct"/>
                  <w:noWrap w:val="0"/>
                  <w:vAlign w:val="center"/>
                </w:tcPr>
                <w:p w14:paraId="4619989A">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CS7.5-8</w:t>
                  </w:r>
                </w:p>
              </w:tc>
              <w:tc>
                <w:tcPr>
                  <w:tcW w:w="988" w:type="pct"/>
                  <w:noWrap w:val="0"/>
                  <w:vAlign w:val="center"/>
                </w:tcPr>
                <w:p w14:paraId="6A6C0473">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1</w:t>
                  </w:r>
                  <w:r>
                    <w:rPr>
                      <w:rFonts w:hint="eastAsia" w:ascii="Times New Roman" w:hAnsi="Times New Roman" w:eastAsia="宋体" w:cs="Times New Roman"/>
                      <w:color w:val="auto"/>
                      <w:kern w:val="0"/>
                      <w:sz w:val="21"/>
                      <w:szCs w:val="21"/>
                      <w:lang w:val="en-US" w:eastAsia="zh-CN"/>
                    </w:rPr>
                    <w:t>台</w:t>
                  </w:r>
                </w:p>
              </w:tc>
            </w:tr>
            <w:tr w14:paraId="5D5A0A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4F4D7CF2">
                  <w:pPr>
                    <w:widowControl/>
                    <w:adjustRightInd w:val="0"/>
                    <w:snapToGrid w:val="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6</w:t>
                  </w:r>
                </w:p>
              </w:tc>
              <w:tc>
                <w:tcPr>
                  <w:tcW w:w="1726" w:type="pct"/>
                  <w:noWrap/>
                  <w:vAlign w:val="center"/>
                </w:tcPr>
                <w:p w14:paraId="4333E38D">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废气抽排系统</w:t>
                  </w:r>
                </w:p>
              </w:tc>
              <w:tc>
                <w:tcPr>
                  <w:tcW w:w="1772" w:type="pct"/>
                  <w:noWrap w:val="0"/>
                  <w:vAlign w:val="center"/>
                </w:tcPr>
                <w:p w14:paraId="45619E9F">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WPS-190+单吸咀</w:t>
                  </w:r>
                </w:p>
              </w:tc>
              <w:tc>
                <w:tcPr>
                  <w:tcW w:w="988" w:type="pct"/>
                  <w:noWrap w:val="0"/>
                  <w:vAlign w:val="center"/>
                </w:tcPr>
                <w:p w14:paraId="23C51F9D">
                  <w:pPr>
                    <w:widowControl/>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rPr>
                    <w:t>2</w:t>
                  </w:r>
                  <w:r>
                    <w:rPr>
                      <w:rFonts w:hint="eastAsia" w:ascii="Times New Roman" w:hAnsi="Times New Roman" w:eastAsia="宋体" w:cs="Times New Roman"/>
                      <w:color w:val="auto"/>
                      <w:kern w:val="0"/>
                      <w:sz w:val="21"/>
                      <w:szCs w:val="21"/>
                      <w:lang w:val="en-US" w:eastAsia="zh-CN"/>
                    </w:rPr>
                    <w:t>套</w:t>
                  </w:r>
                </w:p>
              </w:tc>
            </w:tr>
            <w:tr w14:paraId="4C8EFD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2CF5A9CC">
                  <w:pPr>
                    <w:widowControl/>
                    <w:adjustRightInd w:val="0"/>
                    <w:snapToGrid w:val="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7</w:t>
                  </w:r>
                </w:p>
              </w:tc>
              <w:tc>
                <w:tcPr>
                  <w:tcW w:w="1726" w:type="pct"/>
                  <w:noWrap/>
                  <w:vAlign w:val="center"/>
                </w:tcPr>
                <w:p w14:paraId="33883935">
                  <w:pPr>
                    <w:widowControl/>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废气抽排系统活性炭箱</w:t>
                  </w:r>
                </w:p>
              </w:tc>
              <w:tc>
                <w:tcPr>
                  <w:tcW w:w="1772" w:type="pct"/>
                  <w:noWrap w:val="0"/>
                  <w:vAlign w:val="center"/>
                </w:tcPr>
                <w:p w14:paraId="61A648DD">
                  <w:pPr>
                    <w:widowControl/>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50DFCL16-60</w:t>
                  </w:r>
                </w:p>
              </w:tc>
              <w:tc>
                <w:tcPr>
                  <w:tcW w:w="988" w:type="pct"/>
                  <w:noWrap w:val="0"/>
                  <w:vAlign w:val="center"/>
                </w:tcPr>
                <w:p w14:paraId="18D887F7">
                  <w:pPr>
                    <w:widowControl/>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rPr>
                    <w:t>4</w:t>
                  </w:r>
                  <w:r>
                    <w:rPr>
                      <w:rFonts w:hint="eastAsia" w:ascii="Times New Roman" w:hAnsi="Times New Roman" w:eastAsia="宋体" w:cs="Times New Roman"/>
                      <w:color w:val="auto"/>
                      <w:kern w:val="0"/>
                      <w:sz w:val="21"/>
                      <w:szCs w:val="21"/>
                      <w:lang w:val="en-US" w:eastAsia="zh-CN"/>
                    </w:rPr>
                    <w:t>套</w:t>
                  </w:r>
                </w:p>
              </w:tc>
            </w:tr>
            <w:tr w14:paraId="7CD602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0DADDBDC">
                  <w:pPr>
                    <w:widowControl/>
                    <w:adjustRightInd w:val="0"/>
                    <w:snapToGrid w:val="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8</w:t>
                  </w:r>
                </w:p>
              </w:tc>
              <w:tc>
                <w:tcPr>
                  <w:tcW w:w="1726" w:type="pct"/>
                  <w:noWrap/>
                  <w:vAlign w:val="center"/>
                </w:tcPr>
                <w:p w14:paraId="371D7465">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4"/>
                      <w:sz w:val="21"/>
                      <w:szCs w:val="21"/>
                    </w:rPr>
                    <w:t>储气罐</w:t>
                  </w:r>
                </w:p>
              </w:tc>
              <w:tc>
                <w:tcPr>
                  <w:tcW w:w="1772" w:type="pct"/>
                  <w:noWrap w:val="0"/>
                  <w:vAlign w:val="center"/>
                </w:tcPr>
                <w:p w14:paraId="3AC01E3E">
                  <w:pPr>
                    <w:pStyle w:val="82"/>
                    <w:keepNext w:val="0"/>
                    <w:keepLines w:val="0"/>
                    <w:pageBreakBefore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w:t>
                  </w:r>
                </w:p>
              </w:tc>
              <w:tc>
                <w:tcPr>
                  <w:tcW w:w="988" w:type="pct"/>
                  <w:noWrap w:val="0"/>
                  <w:vAlign w:val="center"/>
                </w:tcPr>
                <w:p w14:paraId="34E4BB68">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1</w:t>
                  </w:r>
                  <w:r>
                    <w:rPr>
                      <w:rFonts w:hint="eastAsia" w:ascii="Times New Roman" w:hAnsi="Times New Roman" w:eastAsia="宋体" w:cs="Times New Roman"/>
                      <w:color w:val="auto"/>
                      <w:kern w:val="0"/>
                      <w:sz w:val="21"/>
                      <w:szCs w:val="21"/>
                      <w:lang w:val="en-US" w:eastAsia="zh-CN"/>
                    </w:rPr>
                    <w:t>个</w:t>
                  </w:r>
                </w:p>
              </w:tc>
            </w:tr>
            <w:tr w14:paraId="0CF292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7AB3511A">
                  <w:pPr>
                    <w:widowControl/>
                    <w:adjustRightInd w:val="0"/>
                    <w:snapToGrid w:val="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9</w:t>
                  </w:r>
                </w:p>
              </w:tc>
              <w:tc>
                <w:tcPr>
                  <w:tcW w:w="1726" w:type="pct"/>
                  <w:noWrap/>
                  <w:vAlign w:val="center"/>
                </w:tcPr>
                <w:p w14:paraId="2D970551">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 w:val="21"/>
                      <w:szCs w:val="21"/>
                    </w:rPr>
                    <w:t>组合绕线器+组合绕线支架</w:t>
                  </w:r>
                </w:p>
              </w:tc>
              <w:tc>
                <w:tcPr>
                  <w:tcW w:w="1772" w:type="pct"/>
                  <w:noWrap w:val="0"/>
                  <w:vAlign w:val="center"/>
                </w:tcPr>
                <w:p w14:paraId="4F33E717">
                  <w:pPr>
                    <w:pStyle w:val="82"/>
                    <w:keepNext w:val="0"/>
                    <w:keepLines w:val="0"/>
                    <w:pageBreakBefore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w:t>
                  </w:r>
                </w:p>
              </w:tc>
              <w:tc>
                <w:tcPr>
                  <w:tcW w:w="988" w:type="pct"/>
                  <w:noWrap w:val="0"/>
                  <w:vAlign w:val="center"/>
                </w:tcPr>
                <w:p w14:paraId="1F2D10A5">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22</w:t>
                  </w:r>
                  <w:r>
                    <w:rPr>
                      <w:rFonts w:hint="eastAsia" w:ascii="Times New Roman" w:hAnsi="Times New Roman" w:eastAsia="宋体" w:cs="Times New Roman"/>
                      <w:color w:val="auto"/>
                      <w:kern w:val="0"/>
                      <w:sz w:val="21"/>
                      <w:szCs w:val="21"/>
                      <w:lang w:val="en-US" w:eastAsia="zh-CN"/>
                    </w:rPr>
                    <w:t>套</w:t>
                  </w:r>
                </w:p>
              </w:tc>
            </w:tr>
            <w:tr w14:paraId="560B5F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16A2D8B3">
                  <w:pPr>
                    <w:widowControl/>
                    <w:adjustRightInd w:val="0"/>
                    <w:snapToGrid w:val="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10</w:t>
                  </w:r>
                </w:p>
              </w:tc>
              <w:tc>
                <w:tcPr>
                  <w:tcW w:w="1726" w:type="pct"/>
                  <w:noWrap/>
                  <w:vAlign w:val="center"/>
                </w:tcPr>
                <w:p w14:paraId="0282E109">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4"/>
                      <w:sz w:val="21"/>
                      <w:szCs w:val="21"/>
                    </w:rPr>
                    <w:t>冷干机</w:t>
                  </w:r>
                </w:p>
              </w:tc>
              <w:tc>
                <w:tcPr>
                  <w:tcW w:w="1772" w:type="pct"/>
                  <w:noWrap w:val="0"/>
                  <w:vAlign w:val="center"/>
                </w:tcPr>
                <w:p w14:paraId="5D8414BA">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1"/>
                      <w:sz w:val="21"/>
                      <w:szCs w:val="21"/>
                    </w:rPr>
                    <w:t>RD-2SA</w:t>
                  </w:r>
                </w:p>
              </w:tc>
              <w:tc>
                <w:tcPr>
                  <w:tcW w:w="988" w:type="pct"/>
                  <w:noWrap w:val="0"/>
                  <w:vAlign w:val="center"/>
                </w:tcPr>
                <w:p w14:paraId="77F3993D">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1</w:t>
                  </w:r>
                  <w:r>
                    <w:rPr>
                      <w:rFonts w:hint="eastAsia" w:ascii="Times New Roman" w:hAnsi="Times New Roman" w:eastAsia="宋体" w:cs="Times New Roman"/>
                      <w:color w:val="auto"/>
                      <w:kern w:val="0"/>
                      <w:sz w:val="21"/>
                      <w:szCs w:val="21"/>
                      <w:lang w:val="en-US" w:eastAsia="zh-CN"/>
                    </w:rPr>
                    <w:t>台</w:t>
                  </w:r>
                </w:p>
              </w:tc>
            </w:tr>
            <w:tr w14:paraId="11C4D3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07636D5A">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11</w:t>
                  </w:r>
                </w:p>
              </w:tc>
              <w:tc>
                <w:tcPr>
                  <w:tcW w:w="1726" w:type="pct"/>
                  <w:noWrap/>
                  <w:vAlign w:val="center"/>
                </w:tcPr>
                <w:p w14:paraId="1DCE41BB">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3"/>
                      <w:sz w:val="21"/>
                      <w:szCs w:val="21"/>
                    </w:rPr>
                    <w:t>龙门举升机</w:t>
                  </w:r>
                </w:p>
              </w:tc>
              <w:tc>
                <w:tcPr>
                  <w:tcW w:w="1772" w:type="pct"/>
                  <w:noWrap w:val="0"/>
                  <w:vAlign w:val="center"/>
                </w:tcPr>
                <w:p w14:paraId="6D3C11FF">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1"/>
                      <w:sz w:val="21"/>
                      <w:szCs w:val="21"/>
                    </w:rPr>
                    <w:t>4.5T</w:t>
                  </w:r>
                </w:p>
              </w:tc>
              <w:tc>
                <w:tcPr>
                  <w:tcW w:w="988" w:type="pct"/>
                  <w:noWrap w:val="0"/>
                  <w:vAlign w:val="center"/>
                </w:tcPr>
                <w:p w14:paraId="7E766C7C">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14</w:t>
                  </w:r>
                  <w:r>
                    <w:rPr>
                      <w:rFonts w:hint="eastAsia" w:ascii="Times New Roman" w:hAnsi="Times New Roman" w:eastAsia="宋体" w:cs="Times New Roman"/>
                      <w:color w:val="auto"/>
                      <w:kern w:val="0"/>
                      <w:sz w:val="21"/>
                      <w:szCs w:val="21"/>
                      <w:lang w:val="en-US" w:eastAsia="zh-CN"/>
                    </w:rPr>
                    <w:t>台</w:t>
                  </w:r>
                </w:p>
              </w:tc>
            </w:tr>
            <w:tr w14:paraId="26E997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301BD83F">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12</w:t>
                  </w:r>
                </w:p>
              </w:tc>
              <w:tc>
                <w:tcPr>
                  <w:tcW w:w="1726" w:type="pct"/>
                  <w:noWrap/>
                  <w:vAlign w:val="center"/>
                </w:tcPr>
                <w:p w14:paraId="2407D092">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7"/>
                      <w:sz w:val="21"/>
                      <w:szCs w:val="21"/>
                    </w:rPr>
                    <w:t>电池举升</w:t>
                  </w:r>
                </w:p>
              </w:tc>
              <w:tc>
                <w:tcPr>
                  <w:tcW w:w="1772" w:type="pct"/>
                  <w:noWrap w:val="0"/>
                  <w:vAlign w:val="center"/>
                </w:tcPr>
                <w:p w14:paraId="1A8358E0">
                  <w:pPr>
                    <w:pStyle w:val="82"/>
                    <w:keepNext w:val="0"/>
                    <w:keepLines w:val="0"/>
                    <w:pageBreakBefore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w:t>
                  </w:r>
                </w:p>
              </w:tc>
              <w:tc>
                <w:tcPr>
                  <w:tcW w:w="988" w:type="pct"/>
                  <w:noWrap w:val="0"/>
                  <w:vAlign w:val="center"/>
                </w:tcPr>
                <w:p w14:paraId="1D96B8BE">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1</w:t>
                  </w:r>
                  <w:r>
                    <w:rPr>
                      <w:rFonts w:hint="eastAsia" w:ascii="Times New Roman" w:hAnsi="Times New Roman" w:eastAsia="宋体" w:cs="Times New Roman"/>
                      <w:color w:val="auto"/>
                      <w:kern w:val="0"/>
                      <w:sz w:val="21"/>
                      <w:szCs w:val="21"/>
                      <w:lang w:val="en-US" w:eastAsia="zh-CN"/>
                    </w:rPr>
                    <w:t>台</w:t>
                  </w:r>
                </w:p>
              </w:tc>
            </w:tr>
            <w:tr w14:paraId="042A94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3C461980">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13</w:t>
                  </w:r>
                </w:p>
              </w:tc>
              <w:tc>
                <w:tcPr>
                  <w:tcW w:w="1726" w:type="pct"/>
                  <w:noWrap/>
                  <w:vAlign w:val="center"/>
                </w:tcPr>
                <w:p w14:paraId="0FE9489E">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3"/>
                      <w:sz w:val="21"/>
                      <w:szCs w:val="21"/>
                    </w:rPr>
                    <w:t>冷媒回收机</w:t>
                  </w:r>
                </w:p>
              </w:tc>
              <w:tc>
                <w:tcPr>
                  <w:tcW w:w="1772" w:type="pct"/>
                  <w:noWrap w:val="0"/>
                  <w:vAlign w:val="center"/>
                </w:tcPr>
                <w:p w14:paraId="52D23C47">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1"/>
                      <w:sz w:val="21"/>
                      <w:szCs w:val="21"/>
                    </w:rPr>
                    <w:t>R134a/R12/S600</w:t>
                  </w:r>
                </w:p>
              </w:tc>
              <w:tc>
                <w:tcPr>
                  <w:tcW w:w="988" w:type="pct"/>
                  <w:noWrap w:val="0"/>
                  <w:vAlign w:val="center"/>
                </w:tcPr>
                <w:p w14:paraId="5BFD347E">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2</w:t>
                  </w:r>
                  <w:r>
                    <w:rPr>
                      <w:rFonts w:hint="eastAsia" w:ascii="Times New Roman" w:hAnsi="Times New Roman" w:eastAsia="宋体" w:cs="Times New Roman"/>
                      <w:color w:val="auto"/>
                      <w:kern w:val="0"/>
                      <w:sz w:val="21"/>
                      <w:szCs w:val="21"/>
                      <w:lang w:val="en-US" w:eastAsia="zh-CN"/>
                    </w:rPr>
                    <w:t>台</w:t>
                  </w:r>
                </w:p>
              </w:tc>
            </w:tr>
            <w:tr w14:paraId="6D29B7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5C32003D">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14</w:t>
                  </w:r>
                </w:p>
              </w:tc>
              <w:tc>
                <w:tcPr>
                  <w:tcW w:w="1726" w:type="pct"/>
                  <w:noWrap/>
                  <w:vAlign w:val="center"/>
                </w:tcPr>
                <w:p w14:paraId="13F1A232">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3"/>
                      <w:sz w:val="21"/>
                      <w:szCs w:val="21"/>
                    </w:rPr>
                    <w:t>变速箱举升机</w:t>
                  </w:r>
                </w:p>
              </w:tc>
              <w:tc>
                <w:tcPr>
                  <w:tcW w:w="1772" w:type="pct"/>
                  <w:noWrap w:val="0"/>
                  <w:vAlign w:val="center"/>
                </w:tcPr>
                <w:p w14:paraId="1D073EF7">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3"/>
                      <w:sz w:val="21"/>
                      <w:szCs w:val="21"/>
                    </w:rPr>
                    <w:t>18D0981/0.5T</w:t>
                  </w:r>
                </w:p>
              </w:tc>
              <w:tc>
                <w:tcPr>
                  <w:tcW w:w="988" w:type="pct"/>
                  <w:noWrap w:val="0"/>
                  <w:vAlign w:val="center"/>
                </w:tcPr>
                <w:p w14:paraId="3FAF3645">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2</w:t>
                  </w:r>
                  <w:r>
                    <w:rPr>
                      <w:rFonts w:hint="eastAsia" w:ascii="Times New Roman" w:hAnsi="Times New Roman" w:eastAsia="宋体" w:cs="Times New Roman"/>
                      <w:color w:val="auto"/>
                      <w:kern w:val="0"/>
                      <w:sz w:val="21"/>
                      <w:szCs w:val="21"/>
                      <w:lang w:val="en-US" w:eastAsia="zh-CN"/>
                    </w:rPr>
                    <w:t>台</w:t>
                  </w:r>
                </w:p>
              </w:tc>
            </w:tr>
            <w:tr w14:paraId="19480B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70CC22FC">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15</w:t>
                  </w:r>
                </w:p>
              </w:tc>
              <w:tc>
                <w:tcPr>
                  <w:tcW w:w="1726" w:type="pct"/>
                  <w:noWrap/>
                  <w:vAlign w:val="center"/>
                </w:tcPr>
                <w:p w14:paraId="6DC0F24E">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4"/>
                      <w:sz w:val="21"/>
                      <w:szCs w:val="21"/>
                    </w:rPr>
                    <w:t>卧式千斤顶</w:t>
                  </w:r>
                </w:p>
              </w:tc>
              <w:tc>
                <w:tcPr>
                  <w:tcW w:w="1772" w:type="pct"/>
                  <w:noWrap w:val="0"/>
                  <w:vAlign w:val="center"/>
                </w:tcPr>
                <w:p w14:paraId="6E419B09">
                  <w:pPr>
                    <w:pStyle w:val="82"/>
                    <w:keepNext w:val="0"/>
                    <w:keepLines w:val="0"/>
                    <w:pageBreakBefore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w:t>
                  </w:r>
                </w:p>
              </w:tc>
              <w:tc>
                <w:tcPr>
                  <w:tcW w:w="988" w:type="pct"/>
                  <w:noWrap w:val="0"/>
                  <w:vAlign w:val="center"/>
                </w:tcPr>
                <w:p w14:paraId="60A5050F">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3</w:t>
                  </w:r>
                  <w:r>
                    <w:rPr>
                      <w:rFonts w:hint="eastAsia" w:ascii="Times New Roman" w:hAnsi="Times New Roman" w:eastAsia="宋体" w:cs="Times New Roman"/>
                      <w:color w:val="auto"/>
                      <w:kern w:val="0"/>
                      <w:sz w:val="21"/>
                      <w:szCs w:val="21"/>
                      <w:lang w:val="en-US" w:eastAsia="zh-CN"/>
                    </w:rPr>
                    <w:t>台</w:t>
                  </w:r>
                </w:p>
              </w:tc>
            </w:tr>
            <w:tr w14:paraId="1BE71B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551714D8">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16</w:t>
                  </w:r>
                </w:p>
              </w:tc>
              <w:tc>
                <w:tcPr>
                  <w:tcW w:w="1726" w:type="pct"/>
                  <w:noWrap/>
                  <w:vAlign w:val="center"/>
                </w:tcPr>
                <w:p w14:paraId="3D0B0FEE">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3"/>
                      <w:sz w:val="21"/>
                      <w:szCs w:val="21"/>
                    </w:rPr>
                    <w:t>发动机翻转架</w:t>
                  </w:r>
                </w:p>
              </w:tc>
              <w:tc>
                <w:tcPr>
                  <w:tcW w:w="1772" w:type="pct"/>
                  <w:noWrap w:val="0"/>
                  <w:vAlign w:val="center"/>
                </w:tcPr>
                <w:p w14:paraId="07EEE3EE">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1"/>
                      <w:sz w:val="21"/>
                      <w:szCs w:val="21"/>
                    </w:rPr>
                    <w:t>750P/1000</w:t>
                  </w:r>
                  <w:r>
                    <w:rPr>
                      <w:rFonts w:hint="eastAsia" w:cs="Times New Roman"/>
                      <w:color w:val="auto"/>
                      <w:spacing w:val="-1"/>
                      <w:sz w:val="21"/>
                      <w:szCs w:val="21"/>
                      <w:lang w:val="en-US" w:eastAsia="zh-CN"/>
                    </w:rPr>
                    <w:t>P</w:t>
                  </w:r>
                </w:p>
              </w:tc>
              <w:tc>
                <w:tcPr>
                  <w:tcW w:w="988" w:type="pct"/>
                  <w:noWrap w:val="0"/>
                  <w:vAlign w:val="center"/>
                </w:tcPr>
                <w:p w14:paraId="05F13D4A">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1</w:t>
                  </w:r>
                  <w:r>
                    <w:rPr>
                      <w:rFonts w:hint="eastAsia" w:ascii="Times New Roman" w:hAnsi="Times New Roman" w:eastAsia="宋体" w:cs="Times New Roman"/>
                      <w:color w:val="auto"/>
                      <w:kern w:val="0"/>
                      <w:sz w:val="21"/>
                      <w:szCs w:val="21"/>
                      <w:lang w:val="en-US" w:eastAsia="zh-CN"/>
                    </w:rPr>
                    <w:t>台</w:t>
                  </w:r>
                </w:p>
              </w:tc>
            </w:tr>
            <w:tr w14:paraId="63B27A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27F3551A">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17</w:t>
                  </w:r>
                </w:p>
              </w:tc>
              <w:tc>
                <w:tcPr>
                  <w:tcW w:w="1726" w:type="pct"/>
                  <w:noWrap/>
                  <w:vAlign w:val="center"/>
                </w:tcPr>
                <w:p w14:paraId="1F8BEF59">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3"/>
                      <w:sz w:val="21"/>
                      <w:szCs w:val="21"/>
                    </w:rPr>
                    <w:t>总成维修工作台</w:t>
                  </w:r>
                </w:p>
              </w:tc>
              <w:tc>
                <w:tcPr>
                  <w:tcW w:w="1772" w:type="pct"/>
                  <w:noWrap w:val="0"/>
                  <w:vAlign w:val="center"/>
                </w:tcPr>
                <w:p w14:paraId="0AC2BB8E">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1"/>
                      <w:sz w:val="21"/>
                      <w:szCs w:val="21"/>
                    </w:rPr>
                    <w:t>1500</w:t>
                  </w:r>
                  <w:r>
                    <w:rPr>
                      <w:rFonts w:hint="eastAsia" w:cs="Times New Roman"/>
                      <w:color w:val="auto"/>
                      <w:spacing w:val="-1"/>
                      <w:sz w:val="21"/>
                      <w:szCs w:val="21"/>
                      <w:lang w:val="en-US" w:eastAsia="zh-CN"/>
                    </w:rPr>
                    <w:t>×</w:t>
                  </w:r>
                  <w:r>
                    <w:rPr>
                      <w:rFonts w:hint="default" w:ascii="Times New Roman" w:hAnsi="Times New Roman" w:eastAsia="宋体" w:cs="Times New Roman"/>
                      <w:color w:val="auto"/>
                      <w:spacing w:val="-1"/>
                      <w:sz w:val="21"/>
                      <w:szCs w:val="21"/>
                    </w:rPr>
                    <w:t>800</w:t>
                  </w:r>
                  <w:r>
                    <w:rPr>
                      <w:rFonts w:hint="eastAsia" w:cs="Times New Roman"/>
                      <w:color w:val="auto"/>
                      <w:spacing w:val="-1"/>
                      <w:sz w:val="21"/>
                      <w:szCs w:val="21"/>
                      <w:lang w:val="en-US" w:eastAsia="zh-CN"/>
                    </w:rPr>
                    <w:t>×</w:t>
                  </w:r>
                  <w:r>
                    <w:rPr>
                      <w:rFonts w:hint="default" w:ascii="Times New Roman" w:hAnsi="Times New Roman" w:eastAsia="宋体" w:cs="Times New Roman"/>
                      <w:color w:val="auto"/>
                      <w:spacing w:val="-1"/>
                      <w:sz w:val="21"/>
                      <w:szCs w:val="21"/>
                    </w:rPr>
                    <w:t>795mm</w:t>
                  </w:r>
                </w:p>
              </w:tc>
              <w:tc>
                <w:tcPr>
                  <w:tcW w:w="988" w:type="pct"/>
                  <w:noWrap w:val="0"/>
                  <w:vAlign w:val="center"/>
                </w:tcPr>
                <w:p w14:paraId="654E6883">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1</w:t>
                  </w:r>
                  <w:r>
                    <w:rPr>
                      <w:rFonts w:hint="eastAsia" w:ascii="Times New Roman" w:hAnsi="Times New Roman" w:eastAsia="宋体" w:cs="Times New Roman"/>
                      <w:color w:val="auto"/>
                      <w:kern w:val="0"/>
                      <w:sz w:val="21"/>
                      <w:szCs w:val="21"/>
                      <w:lang w:val="en-US" w:eastAsia="zh-CN"/>
                    </w:rPr>
                    <w:t>台</w:t>
                  </w:r>
                </w:p>
              </w:tc>
            </w:tr>
            <w:tr w14:paraId="00E21D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197D55AB">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18</w:t>
                  </w:r>
                </w:p>
              </w:tc>
              <w:tc>
                <w:tcPr>
                  <w:tcW w:w="1726" w:type="pct"/>
                  <w:noWrap/>
                  <w:vAlign w:val="center"/>
                </w:tcPr>
                <w:p w14:paraId="17278E3A">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9"/>
                      <w:sz w:val="21"/>
                      <w:szCs w:val="21"/>
                    </w:rPr>
                    <w:t>电焊机</w:t>
                  </w:r>
                </w:p>
              </w:tc>
              <w:tc>
                <w:tcPr>
                  <w:tcW w:w="1772" w:type="pct"/>
                  <w:noWrap w:val="0"/>
                  <w:vAlign w:val="center"/>
                </w:tcPr>
                <w:p w14:paraId="35B84A41">
                  <w:pPr>
                    <w:pStyle w:val="82"/>
                    <w:keepNext w:val="0"/>
                    <w:keepLines w:val="0"/>
                    <w:pageBreakBefore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w:t>
                  </w:r>
                </w:p>
              </w:tc>
              <w:tc>
                <w:tcPr>
                  <w:tcW w:w="988" w:type="pct"/>
                  <w:noWrap w:val="0"/>
                  <w:vAlign w:val="center"/>
                </w:tcPr>
                <w:p w14:paraId="4400969B">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1</w:t>
                  </w:r>
                  <w:r>
                    <w:rPr>
                      <w:rFonts w:hint="eastAsia" w:ascii="Times New Roman" w:hAnsi="Times New Roman" w:eastAsia="宋体" w:cs="Times New Roman"/>
                      <w:color w:val="auto"/>
                      <w:kern w:val="0"/>
                      <w:sz w:val="21"/>
                      <w:szCs w:val="21"/>
                      <w:lang w:val="en-US" w:eastAsia="zh-CN"/>
                    </w:rPr>
                    <w:t>台</w:t>
                  </w:r>
                </w:p>
              </w:tc>
            </w:tr>
            <w:tr w14:paraId="4757DE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13" w:type="pct"/>
                  <w:noWrap/>
                  <w:vAlign w:val="center"/>
                </w:tcPr>
                <w:p w14:paraId="397E8EF0">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19</w:t>
                  </w:r>
                </w:p>
              </w:tc>
              <w:tc>
                <w:tcPr>
                  <w:tcW w:w="1726" w:type="pct"/>
                  <w:noWrap/>
                  <w:vAlign w:val="center"/>
                </w:tcPr>
                <w:p w14:paraId="630E0096">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3"/>
                      <w:sz w:val="21"/>
                      <w:szCs w:val="21"/>
                    </w:rPr>
                    <w:t>事故移动车</w:t>
                  </w:r>
                </w:p>
              </w:tc>
              <w:tc>
                <w:tcPr>
                  <w:tcW w:w="1772" w:type="pct"/>
                  <w:noWrap w:val="0"/>
                  <w:vAlign w:val="center"/>
                </w:tcPr>
                <w:p w14:paraId="37948E91">
                  <w:pPr>
                    <w:keepNext w:val="0"/>
                    <w:keepLines w:val="0"/>
                    <w:pageBreakBefore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3"/>
                      <w:sz w:val="21"/>
                      <w:szCs w:val="21"/>
                    </w:rPr>
                    <w:t>19A1220；承重≤2T；重量</w:t>
                  </w:r>
                  <w:r>
                    <w:rPr>
                      <w:rFonts w:hint="default" w:ascii="Times New Roman" w:hAnsi="Times New Roman" w:eastAsia="宋体" w:cs="Times New Roman"/>
                      <w:color w:val="auto"/>
                      <w:spacing w:val="-2"/>
                      <w:sz w:val="21"/>
                      <w:szCs w:val="21"/>
                    </w:rPr>
                    <w:t>65</w:t>
                  </w:r>
                  <w:r>
                    <w:rPr>
                      <w:rFonts w:hint="eastAsia" w:cs="Times New Roman"/>
                      <w:color w:val="auto"/>
                      <w:spacing w:val="-2"/>
                      <w:sz w:val="21"/>
                      <w:szCs w:val="21"/>
                      <w:lang w:val="en-US" w:eastAsia="zh-CN"/>
                    </w:rPr>
                    <w:t>kg</w:t>
                  </w:r>
                  <w:r>
                    <w:rPr>
                      <w:rFonts w:hint="default" w:ascii="Times New Roman" w:hAnsi="Times New Roman" w:eastAsia="宋体" w:cs="Times New Roman"/>
                      <w:color w:val="auto"/>
                      <w:spacing w:val="-2"/>
                      <w:sz w:val="21"/>
                      <w:szCs w:val="21"/>
                    </w:rPr>
                    <w:t>；</w:t>
                  </w:r>
                  <w:r>
                    <w:rPr>
                      <w:rFonts w:hint="default" w:ascii="Times New Roman" w:hAnsi="Times New Roman" w:eastAsia="宋体" w:cs="Times New Roman"/>
                      <w:color w:val="auto"/>
                      <w:spacing w:val="-3"/>
                      <w:sz w:val="21"/>
                      <w:szCs w:val="21"/>
                    </w:rPr>
                    <w:t>尺寸1800</w:t>
                  </w:r>
                  <w:r>
                    <w:rPr>
                      <w:rFonts w:hint="eastAsia" w:cs="Times New Roman"/>
                      <w:color w:val="auto"/>
                      <w:spacing w:val="-1"/>
                      <w:sz w:val="21"/>
                      <w:szCs w:val="21"/>
                      <w:lang w:val="en-US" w:eastAsia="zh-CN"/>
                    </w:rPr>
                    <w:t>×</w:t>
                  </w:r>
                  <w:r>
                    <w:rPr>
                      <w:rFonts w:hint="default" w:ascii="Times New Roman" w:hAnsi="Times New Roman" w:eastAsia="宋体" w:cs="Times New Roman"/>
                      <w:color w:val="auto"/>
                      <w:spacing w:val="-3"/>
                      <w:sz w:val="21"/>
                      <w:szCs w:val="21"/>
                    </w:rPr>
                    <w:t>200</w:t>
                  </w:r>
                  <w:r>
                    <w:rPr>
                      <w:rFonts w:hint="eastAsia" w:cs="Times New Roman"/>
                      <w:color w:val="auto"/>
                      <w:spacing w:val="-1"/>
                      <w:sz w:val="21"/>
                      <w:szCs w:val="21"/>
                      <w:lang w:val="en-US" w:eastAsia="zh-CN"/>
                    </w:rPr>
                    <w:t>×</w:t>
                  </w:r>
                  <w:r>
                    <w:rPr>
                      <w:rFonts w:hint="default" w:ascii="Times New Roman" w:hAnsi="Times New Roman" w:eastAsia="宋体" w:cs="Times New Roman"/>
                      <w:color w:val="auto"/>
                      <w:spacing w:val="-3"/>
                      <w:sz w:val="21"/>
                      <w:szCs w:val="21"/>
                    </w:rPr>
                    <w:t>200mm</w:t>
                  </w:r>
                </w:p>
              </w:tc>
              <w:tc>
                <w:tcPr>
                  <w:tcW w:w="988" w:type="pct"/>
                  <w:noWrap w:val="0"/>
                  <w:vAlign w:val="center"/>
                </w:tcPr>
                <w:p w14:paraId="2992526F">
                  <w:pPr>
                    <w:widowControl/>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1辆</w:t>
                  </w:r>
                </w:p>
              </w:tc>
            </w:tr>
            <w:tr w14:paraId="71E1B7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316F245A">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20</w:t>
                  </w:r>
                </w:p>
              </w:tc>
              <w:tc>
                <w:tcPr>
                  <w:tcW w:w="1726" w:type="pct"/>
                  <w:noWrap/>
                  <w:vAlign w:val="center"/>
                </w:tcPr>
                <w:p w14:paraId="42A89E39">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4"/>
                      <w:sz w:val="21"/>
                      <w:szCs w:val="21"/>
                    </w:rPr>
                    <w:t>地牛</w:t>
                  </w:r>
                </w:p>
              </w:tc>
              <w:tc>
                <w:tcPr>
                  <w:tcW w:w="1772" w:type="pct"/>
                  <w:noWrap w:val="0"/>
                  <w:vAlign w:val="center"/>
                </w:tcPr>
                <w:p w14:paraId="2C5EC710">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1"/>
                      <w:sz w:val="21"/>
                      <w:szCs w:val="21"/>
                    </w:rPr>
                    <w:t>2T</w:t>
                  </w:r>
                </w:p>
              </w:tc>
              <w:tc>
                <w:tcPr>
                  <w:tcW w:w="988" w:type="pct"/>
                  <w:noWrap w:val="0"/>
                  <w:vAlign w:val="center"/>
                </w:tcPr>
                <w:p w14:paraId="2C5927BC">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1</w:t>
                  </w:r>
                  <w:r>
                    <w:rPr>
                      <w:rFonts w:hint="eastAsia" w:ascii="Times New Roman" w:hAnsi="Times New Roman" w:eastAsia="宋体" w:cs="Times New Roman"/>
                      <w:color w:val="auto"/>
                      <w:kern w:val="0"/>
                      <w:sz w:val="21"/>
                      <w:szCs w:val="21"/>
                      <w:lang w:val="en-US" w:eastAsia="zh-CN"/>
                    </w:rPr>
                    <w:t>个</w:t>
                  </w:r>
                </w:p>
              </w:tc>
            </w:tr>
            <w:tr w14:paraId="5181F0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6EBBE873">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21</w:t>
                  </w:r>
                </w:p>
              </w:tc>
              <w:tc>
                <w:tcPr>
                  <w:tcW w:w="1726" w:type="pct"/>
                  <w:noWrap/>
                  <w:vAlign w:val="center"/>
                </w:tcPr>
                <w:p w14:paraId="532A6BFB">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6"/>
                      <w:sz w:val="21"/>
                      <w:szCs w:val="21"/>
                    </w:rPr>
                    <w:t>百分表</w:t>
                  </w:r>
                </w:p>
              </w:tc>
              <w:tc>
                <w:tcPr>
                  <w:tcW w:w="1772" w:type="pct"/>
                  <w:noWrap w:val="0"/>
                  <w:vAlign w:val="center"/>
                </w:tcPr>
                <w:p w14:paraId="35E00D3A">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1"/>
                      <w:sz w:val="21"/>
                      <w:szCs w:val="21"/>
                    </w:rPr>
                    <w:t>E0581/E0581</w:t>
                  </w:r>
                </w:p>
              </w:tc>
              <w:tc>
                <w:tcPr>
                  <w:tcW w:w="988" w:type="pct"/>
                  <w:noWrap w:val="0"/>
                  <w:vAlign w:val="center"/>
                </w:tcPr>
                <w:p w14:paraId="6BC4BBEF">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1</w:t>
                  </w:r>
                  <w:r>
                    <w:rPr>
                      <w:rFonts w:hint="eastAsia" w:ascii="Times New Roman" w:hAnsi="Times New Roman" w:eastAsia="宋体" w:cs="Times New Roman"/>
                      <w:color w:val="auto"/>
                      <w:kern w:val="0"/>
                      <w:sz w:val="21"/>
                      <w:szCs w:val="21"/>
                      <w:lang w:val="en-US" w:eastAsia="zh-CN"/>
                    </w:rPr>
                    <w:t>个</w:t>
                  </w:r>
                </w:p>
              </w:tc>
            </w:tr>
            <w:tr w14:paraId="1AD63A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2EAA626C">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22</w:t>
                  </w:r>
                </w:p>
              </w:tc>
              <w:tc>
                <w:tcPr>
                  <w:tcW w:w="1726" w:type="pct"/>
                  <w:noWrap/>
                  <w:vAlign w:val="center"/>
                </w:tcPr>
                <w:p w14:paraId="4A2BB590">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3"/>
                      <w:sz w:val="21"/>
                      <w:szCs w:val="21"/>
                    </w:rPr>
                    <w:t>交直流数显钳型表</w:t>
                  </w:r>
                </w:p>
              </w:tc>
              <w:tc>
                <w:tcPr>
                  <w:tcW w:w="1772" w:type="pct"/>
                  <w:noWrap w:val="0"/>
                  <w:vAlign w:val="center"/>
                </w:tcPr>
                <w:p w14:paraId="34B94853">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4"/>
                      <w:sz w:val="21"/>
                      <w:szCs w:val="21"/>
                    </w:rPr>
                    <w:t>世达</w:t>
                  </w:r>
                  <w:r>
                    <w:rPr>
                      <w:rFonts w:hint="default" w:ascii="Times New Roman" w:hAnsi="Times New Roman" w:eastAsia="宋体" w:cs="Times New Roman"/>
                      <w:color w:val="auto"/>
                      <w:spacing w:val="-40"/>
                      <w:sz w:val="21"/>
                      <w:szCs w:val="21"/>
                    </w:rPr>
                    <w:t xml:space="preserve"> </w:t>
                  </w:r>
                  <w:r>
                    <w:rPr>
                      <w:rFonts w:hint="default" w:ascii="Times New Roman" w:hAnsi="Times New Roman" w:eastAsia="宋体" w:cs="Times New Roman"/>
                      <w:color w:val="auto"/>
                      <w:spacing w:val="-4"/>
                      <w:sz w:val="21"/>
                      <w:szCs w:val="21"/>
                    </w:rPr>
                    <w:t>03022</w:t>
                  </w:r>
                </w:p>
              </w:tc>
              <w:tc>
                <w:tcPr>
                  <w:tcW w:w="988" w:type="pct"/>
                  <w:noWrap w:val="0"/>
                  <w:vAlign w:val="center"/>
                </w:tcPr>
                <w:p w14:paraId="1B9C9656">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1</w:t>
                  </w:r>
                  <w:r>
                    <w:rPr>
                      <w:rFonts w:hint="eastAsia" w:ascii="Times New Roman" w:hAnsi="Times New Roman" w:eastAsia="宋体" w:cs="Times New Roman"/>
                      <w:color w:val="auto"/>
                      <w:kern w:val="0"/>
                      <w:sz w:val="21"/>
                      <w:szCs w:val="21"/>
                      <w:lang w:val="en-US" w:eastAsia="zh-CN"/>
                    </w:rPr>
                    <w:t>个</w:t>
                  </w:r>
                </w:p>
              </w:tc>
            </w:tr>
            <w:tr w14:paraId="17C2BF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2D20FFF5">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23</w:t>
                  </w:r>
                </w:p>
              </w:tc>
              <w:tc>
                <w:tcPr>
                  <w:tcW w:w="1726" w:type="pct"/>
                  <w:noWrap/>
                  <w:vAlign w:val="center"/>
                </w:tcPr>
                <w:p w14:paraId="49FD2FE3">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3"/>
                      <w:sz w:val="21"/>
                      <w:szCs w:val="21"/>
                    </w:rPr>
                    <w:t>烟雾测漏</w:t>
                  </w:r>
                </w:p>
              </w:tc>
              <w:tc>
                <w:tcPr>
                  <w:tcW w:w="1772" w:type="pct"/>
                  <w:noWrap w:val="0"/>
                  <w:vAlign w:val="center"/>
                </w:tcPr>
                <w:p w14:paraId="1E783B1C">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3"/>
                      <w:sz w:val="21"/>
                      <w:szCs w:val="21"/>
                    </w:rPr>
                    <w:t>烟雾测漏仪</w:t>
                  </w:r>
                </w:p>
              </w:tc>
              <w:tc>
                <w:tcPr>
                  <w:tcW w:w="988" w:type="pct"/>
                  <w:noWrap w:val="0"/>
                  <w:vAlign w:val="center"/>
                </w:tcPr>
                <w:p w14:paraId="635120E6">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1</w:t>
                  </w:r>
                  <w:r>
                    <w:rPr>
                      <w:rFonts w:hint="eastAsia" w:ascii="Times New Roman" w:hAnsi="Times New Roman" w:eastAsia="宋体" w:cs="Times New Roman"/>
                      <w:color w:val="auto"/>
                      <w:kern w:val="0"/>
                      <w:sz w:val="21"/>
                      <w:szCs w:val="21"/>
                      <w:lang w:val="en-US" w:eastAsia="zh-CN"/>
                    </w:rPr>
                    <w:t>个</w:t>
                  </w:r>
                </w:p>
              </w:tc>
            </w:tr>
            <w:tr w14:paraId="6AC943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29AFDCBF">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24</w:t>
                  </w:r>
                </w:p>
              </w:tc>
              <w:tc>
                <w:tcPr>
                  <w:tcW w:w="1726" w:type="pct"/>
                  <w:noWrap/>
                  <w:vAlign w:val="center"/>
                </w:tcPr>
                <w:p w14:paraId="53B9425A">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3"/>
                      <w:sz w:val="21"/>
                      <w:szCs w:val="21"/>
                    </w:rPr>
                    <w:t>双柱举升机</w:t>
                  </w:r>
                </w:p>
              </w:tc>
              <w:tc>
                <w:tcPr>
                  <w:tcW w:w="1772" w:type="pct"/>
                  <w:noWrap w:val="0"/>
                  <w:vAlign w:val="center"/>
                </w:tcPr>
                <w:p w14:paraId="35481C49">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1"/>
                      <w:sz w:val="21"/>
                      <w:szCs w:val="21"/>
                    </w:rPr>
                    <w:t>GC-4.0PRO-A/JT-T155-2004</w:t>
                  </w:r>
                </w:p>
              </w:tc>
              <w:tc>
                <w:tcPr>
                  <w:tcW w:w="988" w:type="pct"/>
                  <w:noWrap w:val="0"/>
                  <w:vAlign w:val="center"/>
                </w:tcPr>
                <w:p w14:paraId="18295E8A">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1</w:t>
                  </w:r>
                  <w:r>
                    <w:rPr>
                      <w:rFonts w:hint="eastAsia" w:ascii="Times New Roman" w:hAnsi="Times New Roman" w:eastAsia="宋体" w:cs="Times New Roman"/>
                      <w:color w:val="auto"/>
                      <w:kern w:val="0"/>
                      <w:sz w:val="21"/>
                      <w:szCs w:val="21"/>
                      <w:lang w:val="en-US" w:eastAsia="zh-CN"/>
                    </w:rPr>
                    <w:t>台</w:t>
                  </w:r>
                </w:p>
              </w:tc>
            </w:tr>
            <w:tr w14:paraId="4ACFA0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7CA5352F">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25</w:t>
                  </w:r>
                </w:p>
              </w:tc>
              <w:tc>
                <w:tcPr>
                  <w:tcW w:w="1726" w:type="pct"/>
                  <w:noWrap/>
                  <w:vAlign w:val="center"/>
                </w:tcPr>
                <w:p w14:paraId="49E556ED">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3"/>
                      <w:sz w:val="21"/>
                      <w:szCs w:val="21"/>
                    </w:rPr>
                    <w:t>尾气分析仪</w:t>
                  </w:r>
                </w:p>
              </w:tc>
              <w:tc>
                <w:tcPr>
                  <w:tcW w:w="1772" w:type="pct"/>
                  <w:noWrap w:val="0"/>
                  <w:vAlign w:val="center"/>
                </w:tcPr>
                <w:p w14:paraId="2788947B">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 w:val="21"/>
                      <w:szCs w:val="21"/>
                    </w:rPr>
                    <w:t>南华</w:t>
                  </w:r>
                  <w:r>
                    <w:rPr>
                      <w:rFonts w:hint="default" w:ascii="Times New Roman" w:hAnsi="Times New Roman" w:eastAsia="宋体" w:cs="Times New Roman"/>
                      <w:color w:val="auto"/>
                      <w:spacing w:val="-2"/>
                      <w:sz w:val="21"/>
                      <w:szCs w:val="21"/>
                      <w:lang w:val="en-US" w:eastAsia="zh-CN"/>
                    </w:rPr>
                    <w:t>N</w:t>
                  </w:r>
                  <w:r>
                    <w:rPr>
                      <w:rFonts w:hint="default" w:ascii="Times New Roman" w:hAnsi="Times New Roman" w:eastAsia="宋体" w:cs="Times New Roman"/>
                      <w:color w:val="auto"/>
                      <w:spacing w:val="-2"/>
                      <w:sz w:val="21"/>
                      <w:szCs w:val="21"/>
                    </w:rPr>
                    <w:t>H-605/符合国六</w:t>
                  </w:r>
                  <w:r>
                    <w:rPr>
                      <w:rFonts w:hint="default" w:ascii="Times New Roman" w:hAnsi="Times New Roman" w:eastAsia="宋体" w:cs="Times New Roman"/>
                      <w:color w:val="auto"/>
                      <w:spacing w:val="-49"/>
                      <w:sz w:val="21"/>
                      <w:szCs w:val="21"/>
                    </w:rPr>
                    <w:t xml:space="preserve"> </w:t>
                  </w:r>
                  <w:r>
                    <w:rPr>
                      <w:rFonts w:hint="default" w:ascii="Times New Roman" w:hAnsi="Times New Roman" w:eastAsia="宋体" w:cs="Times New Roman"/>
                      <w:color w:val="auto"/>
                      <w:spacing w:val="-49"/>
                      <w:sz w:val="21"/>
                      <w:szCs w:val="21"/>
                      <w:lang w:val="en-US" w:eastAsia="zh-CN"/>
                    </w:rPr>
                    <w:t>B</w:t>
                  </w:r>
                </w:p>
              </w:tc>
              <w:tc>
                <w:tcPr>
                  <w:tcW w:w="988" w:type="pct"/>
                  <w:noWrap w:val="0"/>
                  <w:vAlign w:val="center"/>
                </w:tcPr>
                <w:p w14:paraId="1CD03CC5">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1</w:t>
                  </w:r>
                  <w:r>
                    <w:rPr>
                      <w:rFonts w:hint="eastAsia" w:ascii="Times New Roman" w:hAnsi="Times New Roman" w:eastAsia="宋体" w:cs="Times New Roman"/>
                      <w:color w:val="auto"/>
                      <w:kern w:val="0"/>
                      <w:sz w:val="21"/>
                      <w:szCs w:val="21"/>
                      <w:lang w:val="en-US" w:eastAsia="zh-CN"/>
                    </w:rPr>
                    <w:t>个</w:t>
                  </w:r>
                </w:p>
              </w:tc>
            </w:tr>
            <w:tr w14:paraId="5B36BB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65A702EE">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26</w:t>
                  </w:r>
                </w:p>
              </w:tc>
              <w:tc>
                <w:tcPr>
                  <w:tcW w:w="1726" w:type="pct"/>
                  <w:noWrap/>
                  <w:vAlign w:val="center"/>
                </w:tcPr>
                <w:p w14:paraId="05722A58">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4"/>
                      <w:sz w:val="21"/>
                      <w:szCs w:val="21"/>
                    </w:rPr>
                    <w:t>示波器</w:t>
                  </w:r>
                </w:p>
              </w:tc>
              <w:tc>
                <w:tcPr>
                  <w:tcW w:w="1772" w:type="pct"/>
                  <w:noWrap w:val="0"/>
                  <w:vAlign w:val="center"/>
                </w:tcPr>
                <w:p w14:paraId="739EBFF2">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3"/>
                      <w:sz w:val="21"/>
                      <w:szCs w:val="21"/>
                    </w:rPr>
                    <w:t>普源</w:t>
                  </w:r>
                  <w:r>
                    <w:rPr>
                      <w:rFonts w:hint="default" w:ascii="Times New Roman" w:hAnsi="Times New Roman" w:eastAsia="宋体" w:cs="Times New Roman"/>
                      <w:color w:val="auto"/>
                      <w:spacing w:val="-46"/>
                      <w:sz w:val="21"/>
                      <w:szCs w:val="21"/>
                    </w:rPr>
                    <w:t xml:space="preserve"> </w:t>
                  </w:r>
                  <w:r>
                    <w:rPr>
                      <w:rFonts w:hint="default" w:ascii="Times New Roman" w:hAnsi="Times New Roman" w:eastAsia="宋体" w:cs="Times New Roman"/>
                      <w:color w:val="auto"/>
                      <w:spacing w:val="-3"/>
                      <w:sz w:val="21"/>
                      <w:szCs w:val="21"/>
                    </w:rPr>
                    <w:t>DS1102E</w:t>
                  </w:r>
                </w:p>
              </w:tc>
              <w:tc>
                <w:tcPr>
                  <w:tcW w:w="988" w:type="pct"/>
                  <w:noWrap w:val="0"/>
                  <w:vAlign w:val="center"/>
                </w:tcPr>
                <w:p w14:paraId="5E8F3F96">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1</w:t>
                  </w:r>
                  <w:r>
                    <w:rPr>
                      <w:rFonts w:hint="eastAsia" w:ascii="Times New Roman" w:hAnsi="Times New Roman" w:eastAsia="宋体" w:cs="Times New Roman"/>
                      <w:color w:val="auto"/>
                      <w:kern w:val="0"/>
                      <w:sz w:val="21"/>
                      <w:szCs w:val="21"/>
                      <w:lang w:val="en-US" w:eastAsia="zh-CN"/>
                    </w:rPr>
                    <w:t>个</w:t>
                  </w:r>
                </w:p>
              </w:tc>
            </w:tr>
            <w:tr w14:paraId="127C7F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07965D73">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27</w:t>
                  </w:r>
                </w:p>
              </w:tc>
              <w:tc>
                <w:tcPr>
                  <w:tcW w:w="1726" w:type="pct"/>
                  <w:noWrap/>
                  <w:vAlign w:val="center"/>
                </w:tcPr>
                <w:p w14:paraId="736687E3">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4"/>
                      <w:sz w:val="21"/>
                      <w:szCs w:val="21"/>
                    </w:rPr>
                    <w:t>7抽工具车</w:t>
                  </w:r>
                </w:p>
              </w:tc>
              <w:tc>
                <w:tcPr>
                  <w:tcW w:w="1772" w:type="pct"/>
                  <w:noWrap w:val="0"/>
                  <w:vAlign w:val="center"/>
                </w:tcPr>
                <w:p w14:paraId="7CE3FFCF">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1"/>
                      <w:sz w:val="21"/>
                      <w:szCs w:val="21"/>
                    </w:rPr>
                    <w:t>JTC5021/JTC5021</w:t>
                  </w:r>
                </w:p>
              </w:tc>
              <w:tc>
                <w:tcPr>
                  <w:tcW w:w="988" w:type="pct"/>
                  <w:noWrap w:val="0"/>
                  <w:vAlign w:val="center"/>
                </w:tcPr>
                <w:p w14:paraId="2BA70D86">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12</w:t>
                  </w:r>
                  <w:r>
                    <w:rPr>
                      <w:rFonts w:hint="eastAsia" w:ascii="Times New Roman" w:hAnsi="Times New Roman" w:eastAsia="宋体" w:cs="Times New Roman"/>
                      <w:color w:val="auto"/>
                      <w:kern w:val="0"/>
                      <w:sz w:val="21"/>
                      <w:szCs w:val="21"/>
                      <w:lang w:val="en-US" w:eastAsia="zh-CN"/>
                    </w:rPr>
                    <w:t>台</w:t>
                  </w:r>
                </w:p>
              </w:tc>
            </w:tr>
            <w:tr w14:paraId="6A5A4D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58E77B17">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28</w:t>
                  </w:r>
                </w:p>
              </w:tc>
              <w:tc>
                <w:tcPr>
                  <w:tcW w:w="1726" w:type="pct"/>
                  <w:noWrap/>
                  <w:vAlign w:val="center"/>
                </w:tcPr>
                <w:p w14:paraId="146FD9AE">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4"/>
                      <w:sz w:val="21"/>
                      <w:szCs w:val="21"/>
                    </w:rPr>
                    <w:t>气密性检测仪</w:t>
                  </w:r>
                </w:p>
              </w:tc>
              <w:tc>
                <w:tcPr>
                  <w:tcW w:w="1772" w:type="pct"/>
                  <w:noWrap w:val="0"/>
                  <w:vAlign w:val="center"/>
                </w:tcPr>
                <w:p w14:paraId="79419D59">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1"/>
                      <w:sz w:val="21"/>
                      <w:szCs w:val="21"/>
                    </w:rPr>
                    <w:t>42E0047/气密性检测设备</w:t>
                  </w:r>
                </w:p>
              </w:tc>
              <w:tc>
                <w:tcPr>
                  <w:tcW w:w="988" w:type="pct"/>
                  <w:noWrap w:val="0"/>
                  <w:vAlign w:val="center"/>
                </w:tcPr>
                <w:p w14:paraId="39DC4152">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1</w:t>
                  </w:r>
                  <w:r>
                    <w:rPr>
                      <w:rFonts w:hint="eastAsia" w:ascii="Times New Roman" w:hAnsi="Times New Roman" w:eastAsia="宋体" w:cs="Times New Roman"/>
                      <w:color w:val="auto"/>
                      <w:kern w:val="0"/>
                      <w:sz w:val="21"/>
                      <w:szCs w:val="21"/>
                      <w:lang w:val="en-US" w:eastAsia="zh-CN"/>
                    </w:rPr>
                    <w:t>个</w:t>
                  </w:r>
                </w:p>
              </w:tc>
            </w:tr>
            <w:tr w14:paraId="119BCA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182F96F2">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29</w:t>
                  </w:r>
                </w:p>
              </w:tc>
              <w:tc>
                <w:tcPr>
                  <w:tcW w:w="1726" w:type="pct"/>
                  <w:noWrap/>
                  <w:vAlign w:val="center"/>
                </w:tcPr>
                <w:p w14:paraId="7A8EB7C4">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3"/>
                      <w:sz w:val="21"/>
                      <w:szCs w:val="21"/>
                    </w:rPr>
                    <w:t>游标卡尺</w:t>
                  </w:r>
                  <w:r>
                    <w:rPr>
                      <w:rFonts w:hint="default" w:ascii="Times New Roman" w:hAnsi="Times New Roman" w:eastAsia="宋体" w:cs="Times New Roman"/>
                      <w:color w:val="auto"/>
                      <w:spacing w:val="-37"/>
                      <w:sz w:val="21"/>
                      <w:szCs w:val="21"/>
                      <w:lang w:val="en-US" w:eastAsia="zh-CN"/>
                    </w:rPr>
                    <w:t>0</w:t>
                  </w:r>
                  <w:r>
                    <w:rPr>
                      <w:rFonts w:hint="default" w:ascii="Times New Roman" w:hAnsi="Times New Roman" w:eastAsia="宋体" w:cs="Times New Roman"/>
                      <w:color w:val="auto"/>
                      <w:spacing w:val="-3"/>
                      <w:sz w:val="21"/>
                      <w:szCs w:val="21"/>
                    </w:rPr>
                    <w:t>-150mm</w:t>
                  </w:r>
                </w:p>
              </w:tc>
              <w:tc>
                <w:tcPr>
                  <w:tcW w:w="1772" w:type="pct"/>
                  <w:noWrap w:val="0"/>
                  <w:vAlign w:val="center"/>
                </w:tcPr>
                <w:p w14:paraId="6D7D4060">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4"/>
                      <w:sz w:val="21"/>
                      <w:szCs w:val="21"/>
                    </w:rPr>
                    <w:t>150mm</w:t>
                  </w:r>
                </w:p>
              </w:tc>
              <w:tc>
                <w:tcPr>
                  <w:tcW w:w="988" w:type="pct"/>
                  <w:noWrap w:val="0"/>
                  <w:vAlign w:val="center"/>
                </w:tcPr>
                <w:p w14:paraId="296049C3">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1</w:t>
                  </w:r>
                  <w:r>
                    <w:rPr>
                      <w:rFonts w:hint="eastAsia" w:ascii="Times New Roman" w:hAnsi="Times New Roman" w:eastAsia="宋体" w:cs="Times New Roman"/>
                      <w:color w:val="auto"/>
                      <w:kern w:val="0"/>
                      <w:sz w:val="21"/>
                      <w:szCs w:val="21"/>
                      <w:lang w:val="en-US" w:eastAsia="zh-CN"/>
                    </w:rPr>
                    <w:t>个</w:t>
                  </w:r>
                </w:p>
              </w:tc>
            </w:tr>
            <w:tr w14:paraId="310315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1527EAFB">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30</w:t>
                  </w:r>
                </w:p>
              </w:tc>
              <w:tc>
                <w:tcPr>
                  <w:tcW w:w="1726" w:type="pct"/>
                  <w:noWrap/>
                  <w:vAlign w:val="center"/>
                </w:tcPr>
                <w:p w14:paraId="343CB370">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3"/>
                      <w:sz w:val="21"/>
                      <w:szCs w:val="21"/>
                    </w:rPr>
                    <w:t>往复式洗车机</w:t>
                  </w:r>
                </w:p>
              </w:tc>
              <w:tc>
                <w:tcPr>
                  <w:tcW w:w="1772" w:type="pct"/>
                  <w:noWrap w:val="0"/>
                  <w:vAlign w:val="center"/>
                </w:tcPr>
                <w:p w14:paraId="40B99B0F">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 w:val="21"/>
                      <w:szCs w:val="21"/>
                    </w:rPr>
                    <w:t>优耐特</w:t>
                  </w:r>
                  <w:r>
                    <w:rPr>
                      <w:rFonts w:hint="default" w:ascii="Times New Roman" w:hAnsi="Times New Roman" w:eastAsia="宋体" w:cs="Times New Roman"/>
                      <w:color w:val="auto"/>
                      <w:spacing w:val="-2"/>
                      <w:sz w:val="21"/>
                      <w:szCs w:val="21"/>
                      <w:lang w:eastAsia="zh-CN"/>
                    </w:rPr>
                    <w:t>：</w:t>
                  </w:r>
                  <w:r>
                    <w:rPr>
                      <w:rFonts w:hint="default" w:ascii="Times New Roman" w:hAnsi="Times New Roman" w:eastAsia="宋体" w:cs="Times New Roman"/>
                      <w:color w:val="auto"/>
                      <w:spacing w:val="-2"/>
                      <w:sz w:val="21"/>
                      <w:szCs w:val="21"/>
                    </w:rPr>
                    <w:t>530</w:t>
                  </w:r>
                </w:p>
              </w:tc>
              <w:tc>
                <w:tcPr>
                  <w:tcW w:w="988" w:type="pct"/>
                  <w:noWrap w:val="0"/>
                  <w:vAlign w:val="center"/>
                </w:tcPr>
                <w:p w14:paraId="20788ADA">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1</w:t>
                  </w:r>
                  <w:r>
                    <w:rPr>
                      <w:rFonts w:hint="eastAsia" w:ascii="Times New Roman" w:hAnsi="Times New Roman" w:eastAsia="宋体" w:cs="Times New Roman"/>
                      <w:color w:val="auto"/>
                      <w:kern w:val="0"/>
                      <w:sz w:val="21"/>
                      <w:szCs w:val="21"/>
                      <w:lang w:val="en-US" w:eastAsia="zh-CN"/>
                    </w:rPr>
                    <w:t>个</w:t>
                  </w:r>
                </w:p>
              </w:tc>
            </w:tr>
            <w:tr w14:paraId="409D99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5DA2F65F">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31</w:t>
                  </w:r>
                </w:p>
              </w:tc>
              <w:tc>
                <w:tcPr>
                  <w:tcW w:w="1726" w:type="pct"/>
                  <w:noWrap/>
                  <w:vAlign w:val="center"/>
                </w:tcPr>
                <w:p w14:paraId="2AFD794C">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3"/>
                      <w:sz w:val="21"/>
                      <w:szCs w:val="21"/>
                    </w:rPr>
                    <w:t>洗车循环水设备</w:t>
                  </w:r>
                </w:p>
              </w:tc>
              <w:tc>
                <w:tcPr>
                  <w:tcW w:w="1772" w:type="pct"/>
                  <w:noWrap w:val="0"/>
                  <w:vAlign w:val="center"/>
                </w:tcPr>
                <w:p w14:paraId="6D0DC077">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 w:val="21"/>
                      <w:szCs w:val="21"/>
                    </w:rPr>
                    <w:t>SXH200G</w:t>
                  </w:r>
                </w:p>
              </w:tc>
              <w:tc>
                <w:tcPr>
                  <w:tcW w:w="988" w:type="pct"/>
                  <w:noWrap w:val="0"/>
                  <w:vAlign w:val="center"/>
                </w:tcPr>
                <w:p w14:paraId="5831A080">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1</w:t>
                  </w:r>
                  <w:r>
                    <w:rPr>
                      <w:rFonts w:hint="eastAsia" w:ascii="Times New Roman" w:hAnsi="Times New Roman" w:eastAsia="宋体" w:cs="Times New Roman"/>
                      <w:color w:val="auto"/>
                      <w:kern w:val="0"/>
                      <w:sz w:val="21"/>
                      <w:szCs w:val="21"/>
                      <w:lang w:val="en-US" w:eastAsia="zh-CN"/>
                    </w:rPr>
                    <w:t>台</w:t>
                  </w:r>
                </w:p>
              </w:tc>
            </w:tr>
            <w:tr w14:paraId="599F1C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4A7C5290">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32</w:t>
                  </w:r>
                </w:p>
              </w:tc>
              <w:tc>
                <w:tcPr>
                  <w:tcW w:w="1726" w:type="pct"/>
                  <w:noWrap/>
                  <w:vAlign w:val="center"/>
                </w:tcPr>
                <w:p w14:paraId="512B09F3">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4"/>
                      <w:sz w:val="21"/>
                      <w:szCs w:val="21"/>
                    </w:rPr>
                    <w:t>清洗机</w:t>
                  </w:r>
                </w:p>
              </w:tc>
              <w:tc>
                <w:tcPr>
                  <w:tcW w:w="1772" w:type="pct"/>
                  <w:noWrap w:val="0"/>
                  <w:vAlign w:val="center"/>
                </w:tcPr>
                <w:p w14:paraId="5324F9B7">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 w:val="21"/>
                      <w:szCs w:val="21"/>
                    </w:rPr>
                    <w:t>黑猫</w:t>
                  </w:r>
                  <w:r>
                    <w:rPr>
                      <w:rFonts w:hint="default" w:ascii="Times New Roman" w:hAnsi="Times New Roman" w:eastAsia="宋体" w:cs="Times New Roman"/>
                      <w:color w:val="auto"/>
                      <w:spacing w:val="-2"/>
                      <w:sz w:val="21"/>
                      <w:szCs w:val="21"/>
                      <w:lang w:eastAsia="zh-CN"/>
                    </w:rPr>
                    <w:t>：</w:t>
                  </w:r>
                  <w:r>
                    <w:rPr>
                      <w:rFonts w:hint="default" w:ascii="Times New Roman" w:hAnsi="Times New Roman" w:eastAsia="宋体" w:cs="Times New Roman"/>
                      <w:color w:val="auto"/>
                      <w:spacing w:val="-2"/>
                      <w:sz w:val="21"/>
                      <w:szCs w:val="21"/>
                    </w:rPr>
                    <w:t>BCC0717C</w:t>
                  </w:r>
                </w:p>
              </w:tc>
              <w:tc>
                <w:tcPr>
                  <w:tcW w:w="988" w:type="pct"/>
                  <w:noWrap w:val="0"/>
                  <w:vAlign w:val="center"/>
                </w:tcPr>
                <w:p w14:paraId="2AC4C0F7">
                  <w:pPr>
                    <w:widowControl/>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2</w:t>
                  </w:r>
                  <w:r>
                    <w:rPr>
                      <w:rFonts w:hint="eastAsia" w:ascii="Times New Roman" w:hAnsi="Times New Roman" w:eastAsia="宋体" w:cs="Times New Roman"/>
                      <w:color w:val="auto"/>
                      <w:kern w:val="0"/>
                      <w:sz w:val="21"/>
                      <w:szCs w:val="21"/>
                      <w:lang w:val="en-US" w:eastAsia="zh-CN"/>
                    </w:rPr>
                    <w:t>台</w:t>
                  </w:r>
                </w:p>
              </w:tc>
            </w:tr>
            <w:tr w14:paraId="03093B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329FC06B">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33</w:t>
                  </w:r>
                </w:p>
              </w:tc>
              <w:tc>
                <w:tcPr>
                  <w:tcW w:w="1726" w:type="pct"/>
                  <w:noWrap/>
                  <w:vAlign w:val="center"/>
                </w:tcPr>
                <w:p w14:paraId="6465DECA">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6"/>
                      <w:sz w:val="21"/>
                      <w:szCs w:val="21"/>
                    </w:rPr>
                    <w:t>吸尘器</w:t>
                  </w:r>
                </w:p>
              </w:tc>
              <w:tc>
                <w:tcPr>
                  <w:tcW w:w="1772" w:type="pct"/>
                  <w:noWrap w:val="0"/>
                  <w:vAlign w:val="center"/>
                </w:tcPr>
                <w:p w14:paraId="1F313028">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2"/>
                      <w:sz w:val="21"/>
                      <w:szCs w:val="21"/>
                    </w:rPr>
                    <w:t>佳美</w:t>
                  </w:r>
                  <w:r>
                    <w:rPr>
                      <w:rFonts w:hint="eastAsia" w:cs="Times New Roman"/>
                      <w:color w:val="auto"/>
                      <w:spacing w:val="-2"/>
                      <w:sz w:val="21"/>
                      <w:szCs w:val="21"/>
                      <w:lang w:eastAsia="zh-CN"/>
                    </w:rPr>
                    <w:t>：</w:t>
                  </w:r>
                  <w:r>
                    <w:rPr>
                      <w:rFonts w:hint="default" w:ascii="Times New Roman" w:hAnsi="Times New Roman" w:eastAsia="宋体" w:cs="Times New Roman"/>
                      <w:color w:val="auto"/>
                      <w:spacing w:val="-2"/>
                      <w:sz w:val="21"/>
                      <w:szCs w:val="21"/>
                    </w:rPr>
                    <w:t>BF580</w:t>
                  </w:r>
                </w:p>
              </w:tc>
              <w:tc>
                <w:tcPr>
                  <w:tcW w:w="988" w:type="pct"/>
                  <w:noWrap w:val="0"/>
                  <w:vAlign w:val="center"/>
                </w:tcPr>
                <w:p w14:paraId="77372EC9">
                  <w:pPr>
                    <w:keepNext w:val="0"/>
                    <w:keepLines w:val="0"/>
                    <w:pageBreakBefore w:val="0"/>
                    <w:widowControl/>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1</w:t>
                  </w:r>
                  <w:r>
                    <w:rPr>
                      <w:rFonts w:hint="eastAsia" w:ascii="Times New Roman" w:hAnsi="Times New Roman" w:eastAsia="宋体" w:cs="Times New Roman"/>
                      <w:color w:val="auto"/>
                      <w:kern w:val="0"/>
                      <w:sz w:val="21"/>
                      <w:szCs w:val="21"/>
                      <w:lang w:val="en-US" w:eastAsia="zh-CN"/>
                    </w:rPr>
                    <w:t>台</w:t>
                  </w:r>
                </w:p>
              </w:tc>
            </w:tr>
            <w:tr w14:paraId="6B8B0B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3205B4F5">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34</w:t>
                  </w:r>
                </w:p>
              </w:tc>
              <w:tc>
                <w:tcPr>
                  <w:tcW w:w="1726" w:type="pct"/>
                  <w:noWrap/>
                  <w:vAlign w:val="center"/>
                </w:tcPr>
                <w:p w14:paraId="5DB4A8E0">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6"/>
                      <w:sz w:val="21"/>
                      <w:szCs w:val="21"/>
                      <w:lang w:val="en-US" w:eastAsia="zh-CN"/>
                    </w:rPr>
                  </w:pPr>
                  <w:r>
                    <w:rPr>
                      <w:rFonts w:hint="eastAsia" w:ascii="Times New Roman" w:hAnsi="Times New Roman" w:eastAsia="宋体" w:cs="Times New Roman"/>
                      <w:color w:val="auto"/>
                      <w:spacing w:val="-6"/>
                      <w:sz w:val="21"/>
                      <w:szCs w:val="21"/>
                    </w:rPr>
                    <w:t>打磨房</w:t>
                  </w:r>
                </w:p>
              </w:tc>
              <w:tc>
                <w:tcPr>
                  <w:tcW w:w="1772" w:type="pct"/>
                  <w:noWrap w:val="0"/>
                  <w:vAlign w:val="center"/>
                </w:tcPr>
                <w:p w14:paraId="70071326">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6"/>
                      <w:sz w:val="21"/>
                      <w:szCs w:val="21"/>
                      <w:lang w:val="en-US" w:eastAsia="zh-CN"/>
                    </w:rPr>
                  </w:pPr>
                  <w:r>
                    <w:rPr>
                      <w:rFonts w:hint="eastAsia" w:ascii="Times New Roman" w:hAnsi="Times New Roman" w:eastAsia="宋体" w:cs="Times New Roman"/>
                      <w:color w:val="auto"/>
                      <w:spacing w:val="-6"/>
                      <w:sz w:val="21"/>
                      <w:szCs w:val="21"/>
                    </w:rPr>
                    <w:t>宝中宝</w:t>
                  </w:r>
                </w:p>
              </w:tc>
              <w:tc>
                <w:tcPr>
                  <w:tcW w:w="988" w:type="pct"/>
                  <w:noWrap w:val="0"/>
                  <w:vAlign w:val="center"/>
                </w:tcPr>
                <w:p w14:paraId="6C15CCF4">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color w:val="auto"/>
                      <w:spacing w:val="-6"/>
                      <w:sz w:val="21"/>
                      <w:szCs w:val="21"/>
                      <w:lang w:val="en-US" w:eastAsia="zh-CN"/>
                    </w:rPr>
                  </w:pPr>
                  <w:r>
                    <w:rPr>
                      <w:rFonts w:hint="eastAsia" w:ascii="Times New Roman" w:hAnsi="Times New Roman" w:eastAsia="宋体" w:cs="Times New Roman"/>
                      <w:color w:val="auto"/>
                      <w:spacing w:val="-6"/>
                      <w:sz w:val="21"/>
                      <w:szCs w:val="21"/>
                      <w:lang w:val="en-US" w:eastAsia="zh-CN"/>
                    </w:rPr>
                    <w:t>5个</w:t>
                  </w:r>
                </w:p>
              </w:tc>
            </w:tr>
            <w:tr w14:paraId="5202AE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5B2EECD5">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35</w:t>
                  </w:r>
                </w:p>
              </w:tc>
              <w:tc>
                <w:tcPr>
                  <w:tcW w:w="1726" w:type="pct"/>
                  <w:noWrap/>
                  <w:vAlign w:val="center"/>
                </w:tcPr>
                <w:p w14:paraId="28439A1D">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6"/>
                      <w:sz w:val="21"/>
                      <w:szCs w:val="21"/>
                      <w:lang w:val="en-US" w:eastAsia="zh-CN"/>
                    </w:rPr>
                  </w:pPr>
                  <w:r>
                    <w:rPr>
                      <w:rFonts w:hint="eastAsia" w:ascii="Times New Roman" w:hAnsi="Times New Roman" w:eastAsia="宋体" w:cs="Times New Roman"/>
                      <w:color w:val="auto"/>
                      <w:spacing w:val="-6"/>
                      <w:sz w:val="21"/>
                      <w:szCs w:val="21"/>
                    </w:rPr>
                    <w:t>喷</w:t>
                  </w:r>
                  <w:r>
                    <w:rPr>
                      <w:rFonts w:hint="eastAsia" w:ascii="Times New Roman" w:hAnsi="Times New Roman" w:eastAsia="宋体" w:cs="Times New Roman"/>
                      <w:color w:val="auto"/>
                      <w:spacing w:val="-6"/>
                      <w:sz w:val="21"/>
                      <w:szCs w:val="21"/>
                      <w:lang w:val="en-US" w:eastAsia="zh-CN"/>
                    </w:rPr>
                    <w:t>烤</w:t>
                  </w:r>
                  <w:r>
                    <w:rPr>
                      <w:rFonts w:hint="eastAsia" w:ascii="Times New Roman" w:hAnsi="Times New Roman" w:eastAsia="宋体" w:cs="Times New Roman"/>
                      <w:color w:val="auto"/>
                      <w:spacing w:val="-6"/>
                      <w:sz w:val="21"/>
                      <w:szCs w:val="21"/>
                    </w:rPr>
                    <w:t>漆房</w:t>
                  </w:r>
                </w:p>
              </w:tc>
              <w:tc>
                <w:tcPr>
                  <w:tcW w:w="1772" w:type="pct"/>
                  <w:noWrap w:val="0"/>
                  <w:vAlign w:val="center"/>
                </w:tcPr>
                <w:p w14:paraId="2F4F472B">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6"/>
                      <w:sz w:val="21"/>
                      <w:szCs w:val="21"/>
                      <w:lang w:val="en-US" w:eastAsia="zh-CN"/>
                    </w:rPr>
                  </w:pPr>
                  <w:r>
                    <w:rPr>
                      <w:rFonts w:hint="eastAsia" w:ascii="Times New Roman" w:hAnsi="Times New Roman" w:eastAsia="宋体" w:cs="Times New Roman"/>
                      <w:color w:val="auto"/>
                      <w:spacing w:val="-6"/>
                      <w:sz w:val="21"/>
                      <w:szCs w:val="21"/>
                    </w:rPr>
                    <w:t>宝中宝</w:t>
                  </w:r>
                </w:p>
              </w:tc>
              <w:tc>
                <w:tcPr>
                  <w:tcW w:w="988" w:type="pct"/>
                  <w:noWrap w:val="0"/>
                  <w:vAlign w:val="center"/>
                </w:tcPr>
                <w:p w14:paraId="0A648896">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color w:val="auto"/>
                      <w:spacing w:val="-6"/>
                      <w:sz w:val="21"/>
                      <w:szCs w:val="21"/>
                      <w:lang w:val="en-US" w:eastAsia="zh-CN"/>
                    </w:rPr>
                  </w:pPr>
                  <w:r>
                    <w:rPr>
                      <w:rFonts w:hint="eastAsia" w:ascii="Times New Roman" w:hAnsi="Times New Roman" w:eastAsia="宋体" w:cs="Times New Roman"/>
                      <w:color w:val="auto"/>
                      <w:spacing w:val="-6"/>
                      <w:sz w:val="21"/>
                      <w:szCs w:val="21"/>
                      <w:lang w:val="en-US" w:eastAsia="zh-CN"/>
                    </w:rPr>
                    <w:t>3个</w:t>
                  </w:r>
                </w:p>
              </w:tc>
            </w:tr>
            <w:tr w14:paraId="1ED19B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3" w:type="pct"/>
                  <w:noWrap/>
                  <w:vAlign w:val="center"/>
                </w:tcPr>
                <w:p w14:paraId="056FBC0D">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36</w:t>
                  </w:r>
                </w:p>
              </w:tc>
              <w:tc>
                <w:tcPr>
                  <w:tcW w:w="1726" w:type="pct"/>
                  <w:noWrap/>
                  <w:vAlign w:val="center"/>
                </w:tcPr>
                <w:p w14:paraId="0563EB2E">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6"/>
                      <w:sz w:val="21"/>
                      <w:szCs w:val="21"/>
                      <w:lang w:val="en-US" w:eastAsia="zh-CN"/>
                    </w:rPr>
                  </w:pPr>
                  <w:r>
                    <w:rPr>
                      <w:rFonts w:hint="eastAsia" w:ascii="Times New Roman" w:hAnsi="Times New Roman" w:eastAsia="宋体" w:cs="Times New Roman"/>
                      <w:color w:val="auto"/>
                      <w:spacing w:val="-6"/>
                      <w:sz w:val="21"/>
                      <w:szCs w:val="21"/>
                    </w:rPr>
                    <w:t>中</w:t>
                  </w:r>
                  <w:r>
                    <w:rPr>
                      <w:rFonts w:hint="eastAsia" w:ascii="Times New Roman" w:hAnsi="Times New Roman" w:eastAsia="宋体" w:cs="Times New Roman"/>
                      <w:color w:val="auto"/>
                      <w:spacing w:val="-6"/>
                      <w:sz w:val="21"/>
                      <w:szCs w:val="21"/>
                      <w:lang w:val="en-US" w:eastAsia="zh-CN"/>
                    </w:rPr>
                    <w:t>涂</w:t>
                  </w:r>
                  <w:r>
                    <w:rPr>
                      <w:rFonts w:hint="eastAsia" w:ascii="Times New Roman" w:hAnsi="Times New Roman" w:eastAsia="宋体" w:cs="Times New Roman"/>
                      <w:color w:val="auto"/>
                      <w:spacing w:val="-6"/>
                      <w:sz w:val="21"/>
                      <w:szCs w:val="21"/>
                    </w:rPr>
                    <w:t>房</w:t>
                  </w:r>
                </w:p>
              </w:tc>
              <w:tc>
                <w:tcPr>
                  <w:tcW w:w="1772" w:type="pct"/>
                  <w:noWrap w:val="0"/>
                  <w:vAlign w:val="center"/>
                </w:tcPr>
                <w:p w14:paraId="4376D5CE">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6"/>
                      <w:sz w:val="21"/>
                      <w:szCs w:val="21"/>
                      <w:lang w:val="en-US" w:eastAsia="zh-CN"/>
                    </w:rPr>
                  </w:pPr>
                  <w:r>
                    <w:rPr>
                      <w:rFonts w:hint="eastAsia" w:ascii="Times New Roman" w:hAnsi="Times New Roman" w:eastAsia="宋体" w:cs="Times New Roman"/>
                      <w:color w:val="auto"/>
                      <w:spacing w:val="-6"/>
                      <w:sz w:val="21"/>
                      <w:szCs w:val="21"/>
                    </w:rPr>
                    <w:t>宝中宝</w:t>
                  </w:r>
                </w:p>
              </w:tc>
              <w:tc>
                <w:tcPr>
                  <w:tcW w:w="988" w:type="pct"/>
                  <w:noWrap w:val="0"/>
                  <w:vAlign w:val="center"/>
                </w:tcPr>
                <w:p w14:paraId="2D39C265">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color w:val="auto"/>
                      <w:spacing w:val="-6"/>
                      <w:sz w:val="21"/>
                      <w:szCs w:val="21"/>
                      <w:lang w:val="en-US" w:eastAsia="zh-CN"/>
                    </w:rPr>
                  </w:pPr>
                  <w:r>
                    <w:rPr>
                      <w:rFonts w:hint="eastAsia" w:ascii="Times New Roman" w:hAnsi="Times New Roman" w:eastAsia="宋体" w:cs="Times New Roman"/>
                      <w:color w:val="auto"/>
                      <w:spacing w:val="-6"/>
                      <w:sz w:val="21"/>
                      <w:szCs w:val="21"/>
                    </w:rPr>
                    <w:t>1</w:t>
                  </w:r>
                  <w:r>
                    <w:rPr>
                      <w:rFonts w:hint="eastAsia" w:ascii="Times New Roman" w:hAnsi="Times New Roman" w:eastAsia="宋体" w:cs="Times New Roman"/>
                      <w:color w:val="auto"/>
                      <w:spacing w:val="-6"/>
                      <w:sz w:val="21"/>
                      <w:szCs w:val="21"/>
                      <w:lang w:val="en-US" w:eastAsia="zh-CN"/>
                    </w:rPr>
                    <w:t>个</w:t>
                  </w:r>
                </w:p>
              </w:tc>
            </w:tr>
            <w:tr w14:paraId="3BAACF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13" w:type="pct"/>
                  <w:noWrap/>
                  <w:vAlign w:val="center"/>
                </w:tcPr>
                <w:p w14:paraId="5DBC776B">
                  <w:pPr>
                    <w:widowControl/>
                    <w:adjustRightInd w:val="0"/>
                    <w:snapToGrid w:val="0"/>
                    <w:jc w:val="center"/>
                    <w:rPr>
                      <w:rFonts w:hint="default"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37</w:t>
                  </w:r>
                </w:p>
              </w:tc>
              <w:tc>
                <w:tcPr>
                  <w:tcW w:w="1726" w:type="pct"/>
                  <w:noWrap/>
                  <w:vAlign w:val="center"/>
                </w:tcPr>
                <w:p w14:paraId="7118B72E">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6"/>
                      <w:sz w:val="21"/>
                      <w:szCs w:val="21"/>
                      <w:lang w:val="en-US" w:eastAsia="zh-CN"/>
                    </w:rPr>
                  </w:pPr>
                  <w:r>
                    <w:rPr>
                      <w:rFonts w:hint="eastAsia" w:ascii="Times New Roman" w:hAnsi="Times New Roman" w:eastAsia="宋体" w:cs="Times New Roman"/>
                      <w:color w:val="auto"/>
                      <w:spacing w:val="-6"/>
                      <w:sz w:val="21"/>
                      <w:szCs w:val="21"/>
                    </w:rPr>
                    <w:t>移动式干磨机</w:t>
                  </w:r>
                </w:p>
              </w:tc>
              <w:tc>
                <w:tcPr>
                  <w:tcW w:w="1772" w:type="pct"/>
                  <w:noWrap w:val="0"/>
                  <w:vAlign w:val="center"/>
                </w:tcPr>
                <w:p w14:paraId="0E919C99">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6"/>
                      <w:sz w:val="21"/>
                      <w:szCs w:val="21"/>
                      <w:lang w:val="en-US" w:eastAsia="zh-CN"/>
                    </w:rPr>
                  </w:pPr>
                  <w:r>
                    <w:rPr>
                      <w:rFonts w:hint="eastAsia" w:ascii="Times New Roman" w:hAnsi="Times New Roman" w:eastAsia="宋体" w:cs="Times New Roman"/>
                      <w:color w:val="auto"/>
                      <w:spacing w:val="-6"/>
                      <w:sz w:val="21"/>
                      <w:szCs w:val="21"/>
                      <w:lang w:val="en-US" w:eastAsia="zh-CN"/>
                    </w:rPr>
                    <w:t>/</w:t>
                  </w:r>
                </w:p>
              </w:tc>
              <w:tc>
                <w:tcPr>
                  <w:tcW w:w="988" w:type="pct"/>
                  <w:noWrap w:val="0"/>
                  <w:vAlign w:val="center"/>
                </w:tcPr>
                <w:p w14:paraId="649C0D2B">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color w:val="auto"/>
                      <w:spacing w:val="-6"/>
                      <w:sz w:val="21"/>
                      <w:szCs w:val="21"/>
                      <w:lang w:val="en-US" w:eastAsia="zh-CN"/>
                    </w:rPr>
                  </w:pPr>
                  <w:r>
                    <w:rPr>
                      <w:rFonts w:hint="eastAsia" w:ascii="Times New Roman" w:hAnsi="Times New Roman" w:eastAsia="宋体" w:cs="Times New Roman"/>
                      <w:color w:val="auto"/>
                      <w:spacing w:val="-6"/>
                      <w:sz w:val="21"/>
                      <w:szCs w:val="21"/>
                    </w:rPr>
                    <w:t>3</w:t>
                  </w:r>
                  <w:r>
                    <w:rPr>
                      <w:rFonts w:hint="eastAsia" w:ascii="Times New Roman" w:hAnsi="Times New Roman" w:eastAsia="宋体" w:cs="Times New Roman"/>
                      <w:color w:val="auto"/>
                      <w:spacing w:val="-6"/>
                      <w:sz w:val="21"/>
                      <w:szCs w:val="21"/>
                      <w:lang w:val="en-US" w:eastAsia="zh-CN"/>
                    </w:rPr>
                    <w:t>个</w:t>
                  </w:r>
                </w:p>
              </w:tc>
            </w:tr>
          </w:tbl>
          <w:p w14:paraId="29F4A409">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2" w:firstLineChars="200"/>
              <w:textAlignment w:val="auto"/>
              <w:rPr>
                <w:b/>
                <w:bCs/>
                <w:color w:val="auto"/>
                <w:sz w:val="24"/>
              </w:rPr>
            </w:pPr>
            <w:r>
              <w:rPr>
                <w:rFonts w:hint="eastAsia"/>
                <w:b/>
                <w:bCs/>
                <w:color w:val="auto"/>
                <w:sz w:val="24"/>
              </w:rPr>
              <w:t>5</w:t>
            </w:r>
            <w:r>
              <w:rPr>
                <w:b/>
                <w:bCs/>
                <w:color w:val="auto"/>
                <w:sz w:val="24"/>
              </w:rPr>
              <w:t>、平面布置</w:t>
            </w:r>
          </w:p>
          <w:p w14:paraId="4A9199FF">
            <w:pPr>
              <w:widowControl/>
              <w:adjustRightInd w:val="0"/>
              <w:snapToGrid w:val="0"/>
              <w:spacing w:line="360" w:lineRule="auto"/>
              <w:ind w:firstLine="480" w:firstLineChars="200"/>
              <w:rPr>
                <w:rFonts w:hint="eastAsia"/>
                <w:color w:val="auto"/>
                <w:sz w:val="24"/>
              </w:rPr>
            </w:pPr>
            <w:r>
              <w:rPr>
                <w:rFonts w:hint="eastAsia"/>
                <w:color w:val="auto"/>
                <w:sz w:val="24"/>
              </w:rPr>
              <w:t>本项目按照分区布置的原则，</w:t>
            </w:r>
            <w:r>
              <w:rPr>
                <w:rFonts w:hint="eastAsia"/>
                <w:color w:val="auto"/>
                <w:sz w:val="24"/>
                <w:lang w:val="en-US" w:eastAsia="zh-CN"/>
              </w:rPr>
              <w:t>分为服务中心、钣喷中心和洗车房，设备排列布局合理</w:t>
            </w:r>
            <w:r>
              <w:rPr>
                <w:rFonts w:hint="eastAsia"/>
                <w:color w:val="auto"/>
                <w:sz w:val="24"/>
              </w:rPr>
              <w:t>。项目平面布置图见附图2。</w:t>
            </w:r>
          </w:p>
          <w:p w14:paraId="3E73C54F">
            <w:pPr>
              <w:adjustRightInd w:val="0"/>
              <w:snapToGrid w:val="0"/>
              <w:spacing w:line="360" w:lineRule="auto"/>
              <w:ind w:firstLine="482" w:firstLineChars="200"/>
              <w:rPr>
                <w:b/>
                <w:color w:val="auto"/>
                <w:sz w:val="24"/>
              </w:rPr>
            </w:pPr>
            <w:r>
              <w:rPr>
                <w:rFonts w:hint="eastAsia"/>
                <w:b/>
                <w:color w:val="auto"/>
                <w:sz w:val="24"/>
              </w:rPr>
              <w:t>6</w:t>
            </w:r>
            <w:r>
              <w:rPr>
                <w:b/>
                <w:color w:val="auto"/>
                <w:sz w:val="24"/>
              </w:rPr>
              <w:t>、</w:t>
            </w:r>
            <w:r>
              <w:rPr>
                <w:rFonts w:hint="eastAsia"/>
                <w:b/>
                <w:color w:val="auto"/>
                <w:sz w:val="24"/>
              </w:rPr>
              <w:t>劳动定员</w:t>
            </w:r>
            <w:r>
              <w:rPr>
                <w:b/>
                <w:color w:val="auto"/>
                <w:sz w:val="24"/>
              </w:rPr>
              <w:t>及工作制度</w:t>
            </w:r>
          </w:p>
          <w:p w14:paraId="4573ECC8">
            <w:pPr>
              <w:adjustRightInd w:val="0"/>
              <w:snapToGrid w:val="0"/>
              <w:spacing w:line="360" w:lineRule="auto"/>
              <w:ind w:firstLine="480" w:firstLineChars="200"/>
              <w:jc w:val="left"/>
              <w:rPr>
                <w:color w:val="auto"/>
                <w:sz w:val="24"/>
              </w:rPr>
            </w:pPr>
            <w:r>
              <w:rPr>
                <w:color w:val="auto"/>
                <w:sz w:val="24"/>
              </w:rPr>
              <w:t>本项目</w:t>
            </w:r>
            <w:r>
              <w:rPr>
                <w:rFonts w:hint="eastAsia"/>
                <w:color w:val="auto"/>
                <w:sz w:val="24"/>
                <w:lang w:val="en-US" w:eastAsia="zh-CN"/>
              </w:rPr>
              <w:t>劳动定员58</w:t>
            </w:r>
            <w:r>
              <w:rPr>
                <w:color w:val="auto"/>
                <w:sz w:val="24"/>
              </w:rPr>
              <w:t>人，年</w:t>
            </w:r>
            <w:r>
              <w:rPr>
                <w:rFonts w:hint="eastAsia"/>
                <w:color w:val="auto"/>
                <w:sz w:val="24"/>
                <w:lang w:val="en-US" w:eastAsia="zh-CN"/>
              </w:rPr>
              <w:t>工作365天</w:t>
            </w:r>
            <w:r>
              <w:rPr>
                <w:color w:val="auto"/>
                <w:sz w:val="24"/>
              </w:rPr>
              <w:t>，</w:t>
            </w:r>
            <w:r>
              <w:rPr>
                <w:rFonts w:hint="eastAsia"/>
                <w:color w:val="auto"/>
                <w:sz w:val="24"/>
              </w:rPr>
              <w:t>每天工作时间为</w:t>
            </w:r>
            <w:r>
              <w:rPr>
                <w:rFonts w:hint="eastAsia"/>
                <w:color w:val="auto"/>
                <w:sz w:val="24"/>
                <w:lang w:val="en-US" w:eastAsia="zh-CN"/>
              </w:rPr>
              <w:t>8</w:t>
            </w:r>
            <w:r>
              <w:rPr>
                <w:rFonts w:hint="eastAsia"/>
                <w:color w:val="auto"/>
                <w:sz w:val="24"/>
              </w:rPr>
              <w:t>h（</w:t>
            </w:r>
            <w:r>
              <w:rPr>
                <w:rFonts w:hint="eastAsia"/>
                <w:color w:val="auto"/>
                <w:sz w:val="24"/>
                <w:lang w:val="en-US" w:eastAsia="zh-CN"/>
              </w:rPr>
              <w:t>1</w:t>
            </w:r>
            <w:r>
              <w:rPr>
                <w:rFonts w:hint="eastAsia"/>
                <w:color w:val="auto"/>
                <w:sz w:val="24"/>
              </w:rPr>
              <w:t>班制）。不设食宿</w:t>
            </w:r>
            <w:r>
              <w:rPr>
                <w:color w:val="auto"/>
                <w:sz w:val="24"/>
              </w:rPr>
              <w:t>。</w:t>
            </w:r>
          </w:p>
          <w:p w14:paraId="456284FE">
            <w:pPr>
              <w:spacing w:line="360" w:lineRule="auto"/>
              <w:ind w:firstLine="482" w:firstLineChars="200"/>
              <w:rPr>
                <w:b/>
                <w:bCs/>
                <w:color w:val="auto"/>
                <w:sz w:val="24"/>
              </w:rPr>
            </w:pPr>
            <w:r>
              <w:rPr>
                <w:rFonts w:hint="eastAsia"/>
                <w:b/>
                <w:bCs/>
                <w:color w:val="auto"/>
                <w:sz w:val="24"/>
              </w:rPr>
              <w:t>7</w:t>
            </w:r>
            <w:r>
              <w:rPr>
                <w:b/>
                <w:bCs/>
                <w:color w:val="auto"/>
                <w:sz w:val="24"/>
              </w:rPr>
              <w:t>、</w:t>
            </w:r>
            <w:r>
              <w:rPr>
                <w:rFonts w:hint="eastAsia"/>
                <w:b/>
                <w:bCs/>
                <w:color w:val="auto"/>
                <w:sz w:val="24"/>
              </w:rPr>
              <w:t>公用工程</w:t>
            </w:r>
          </w:p>
          <w:p w14:paraId="09019BA6">
            <w:pPr>
              <w:pStyle w:val="63"/>
              <w:spacing w:line="360" w:lineRule="auto"/>
              <w:rPr>
                <w:rFonts w:hAnsi="Times New Roman" w:cs="Times New Roman"/>
                <w:color w:val="auto"/>
                <w:szCs w:val="24"/>
              </w:rPr>
            </w:pPr>
            <w:r>
              <w:rPr>
                <w:rFonts w:hAnsi="Times New Roman" w:cs="Times New Roman"/>
                <w:color w:val="auto"/>
                <w:szCs w:val="24"/>
              </w:rPr>
              <w:t>（1）给</w:t>
            </w:r>
            <w:r>
              <w:rPr>
                <w:rFonts w:hint="eastAsia" w:hAnsi="Times New Roman" w:cs="Times New Roman"/>
                <w:color w:val="auto"/>
                <w:szCs w:val="24"/>
                <w:lang w:val="en-US" w:eastAsia="zh-CN"/>
              </w:rPr>
              <w:t>排</w:t>
            </w:r>
            <w:r>
              <w:rPr>
                <w:rFonts w:hAnsi="Times New Roman" w:cs="Times New Roman"/>
                <w:color w:val="auto"/>
                <w:szCs w:val="24"/>
              </w:rPr>
              <w:t>水</w:t>
            </w:r>
          </w:p>
          <w:p w14:paraId="56080639">
            <w:pPr>
              <w:pStyle w:val="63"/>
              <w:spacing w:line="360" w:lineRule="auto"/>
              <w:rPr>
                <w:color w:val="auto"/>
                <w:kern w:val="0"/>
              </w:rPr>
            </w:pPr>
            <w:r>
              <w:rPr>
                <w:rFonts w:hint="eastAsia"/>
                <w:color w:val="auto"/>
                <w:kern w:val="0"/>
              </w:rPr>
              <w:t>本项目用水由市政供水管网提供，营运期用水主要包括生活用水和生产用水。</w:t>
            </w:r>
            <w:r>
              <w:rPr>
                <w:rFonts w:hint="eastAsia"/>
                <w:color w:val="auto"/>
                <w:kern w:val="0"/>
                <w:lang w:val="en-US" w:eastAsia="zh-CN"/>
              </w:rPr>
              <w:t>生活用水</w:t>
            </w:r>
            <w:r>
              <w:rPr>
                <w:rFonts w:hint="eastAsia"/>
                <w:color w:val="auto"/>
                <w:kern w:val="0"/>
              </w:rPr>
              <w:t>主要为</w:t>
            </w:r>
            <w:r>
              <w:rPr>
                <w:rFonts w:hint="eastAsia"/>
                <w:color w:val="auto"/>
                <w:kern w:val="0"/>
                <w:lang w:val="en-US" w:eastAsia="zh-CN"/>
              </w:rPr>
              <w:t>员工</w:t>
            </w:r>
            <w:r>
              <w:rPr>
                <w:rFonts w:hint="eastAsia"/>
                <w:color w:val="auto"/>
                <w:kern w:val="0"/>
              </w:rPr>
              <w:t>生活用水、</w:t>
            </w:r>
            <w:r>
              <w:rPr>
                <w:rFonts w:hint="eastAsia"/>
                <w:color w:val="auto"/>
                <w:kern w:val="0"/>
                <w:lang w:val="en-US" w:eastAsia="zh-CN"/>
              </w:rPr>
              <w:t>顾客用水；生产用水主要为钣喷中心地面拖地用水、洗车用水</w:t>
            </w:r>
            <w:r>
              <w:rPr>
                <w:rFonts w:hint="eastAsia"/>
                <w:color w:val="auto"/>
                <w:kern w:val="0"/>
              </w:rPr>
              <w:t>。</w:t>
            </w:r>
          </w:p>
          <w:p w14:paraId="4CE55ED9">
            <w:pPr>
              <w:pStyle w:val="63"/>
              <w:spacing w:line="360" w:lineRule="auto"/>
              <w:rPr>
                <w:rFonts w:hAnsi="Times New Roman" w:cs="Times New Roman"/>
                <w:color w:val="auto"/>
                <w:szCs w:val="24"/>
              </w:rPr>
            </w:pPr>
            <w:r>
              <w:rPr>
                <w:rFonts w:hint="eastAsia" w:hAnsi="Times New Roman" w:cs="Times New Roman"/>
                <w:color w:val="auto"/>
                <w:szCs w:val="24"/>
              </w:rPr>
              <w:t>①生活用水</w:t>
            </w:r>
          </w:p>
          <w:p w14:paraId="03831DEC">
            <w:pPr>
              <w:pStyle w:val="63"/>
              <w:spacing w:line="360" w:lineRule="auto"/>
              <w:rPr>
                <w:rFonts w:hint="eastAsia" w:eastAsia="宋体"/>
                <w:color w:val="auto"/>
                <w:spacing w:val="-2"/>
                <w:lang w:val="en-US" w:eastAsia="zh-CN"/>
              </w:rPr>
            </w:pPr>
            <w:r>
              <w:rPr>
                <w:rFonts w:hint="eastAsia" w:hAnsi="Times New Roman" w:cs="Times New Roman"/>
                <w:color w:val="auto"/>
                <w:szCs w:val="24"/>
              </w:rPr>
              <w:t>项目运营期</w:t>
            </w:r>
            <w:r>
              <w:rPr>
                <w:rFonts w:hint="eastAsia"/>
                <w:color w:val="auto"/>
                <w:sz w:val="24"/>
                <w:lang w:val="en-US" w:eastAsia="zh-CN"/>
              </w:rPr>
              <w:t>劳动定员</w:t>
            </w:r>
            <w:r>
              <w:rPr>
                <w:rFonts w:hint="eastAsia" w:hAnsi="Times New Roman" w:cs="Times New Roman"/>
                <w:color w:val="auto"/>
                <w:szCs w:val="24"/>
                <w:lang w:val="en-US" w:eastAsia="zh-CN"/>
              </w:rPr>
              <w:t>58</w:t>
            </w:r>
            <w:r>
              <w:rPr>
                <w:rFonts w:hint="eastAsia" w:hAnsi="Times New Roman" w:cs="Times New Roman"/>
                <w:color w:val="auto"/>
                <w:szCs w:val="24"/>
              </w:rPr>
              <w:t>人，年工作3</w:t>
            </w:r>
            <w:r>
              <w:rPr>
                <w:rFonts w:hint="eastAsia" w:hAnsi="Times New Roman" w:cs="Times New Roman"/>
                <w:color w:val="auto"/>
                <w:szCs w:val="24"/>
                <w:lang w:val="en-US" w:eastAsia="zh-CN"/>
              </w:rPr>
              <w:t>65</w:t>
            </w:r>
            <w:r>
              <w:rPr>
                <w:rFonts w:hint="eastAsia" w:hAnsi="Times New Roman" w:cs="Times New Roman"/>
                <w:color w:val="auto"/>
                <w:szCs w:val="24"/>
              </w:rPr>
              <w:t>天</w:t>
            </w:r>
            <w:r>
              <w:rPr>
                <w:rFonts w:hAnsi="Times New Roman" w:cs="Times New Roman"/>
                <w:color w:val="auto"/>
                <w:szCs w:val="24"/>
              </w:rPr>
              <w:t>。</w:t>
            </w:r>
            <w:r>
              <w:rPr>
                <w:rFonts w:hint="eastAsia" w:hAnsi="Times New Roman" w:cs="Times New Roman"/>
                <w:color w:val="auto"/>
                <w:szCs w:val="24"/>
              </w:rPr>
              <w:t>根据</w:t>
            </w:r>
            <w:r>
              <w:rPr>
                <w:rFonts w:hint="eastAsia" w:hAnsi="Times New Roman" w:cs="Times New Roman"/>
                <w:color w:val="auto"/>
                <w:szCs w:val="24"/>
                <w:lang w:val="en-US" w:eastAsia="zh-CN"/>
              </w:rPr>
              <w:t>企业提供项目实际运行情况，</w:t>
            </w:r>
            <w:r>
              <w:rPr>
                <w:rFonts w:hint="eastAsia" w:hAnsi="Times New Roman" w:cs="Times New Roman"/>
                <w:color w:val="auto"/>
                <w:szCs w:val="24"/>
              </w:rPr>
              <w:t>生活用水</w:t>
            </w:r>
            <w:r>
              <w:rPr>
                <w:rFonts w:hAnsi="Times New Roman" w:cs="Times New Roman"/>
                <w:color w:val="auto"/>
              </w:rPr>
              <w:t>量</w:t>
            </w:r>
            <w:r>
              <w:rPr>
                <w:rFonts w:hint="eastAsia" w:hAnsi="Times New Roman" w:cs="Times New Roman"/>
                <w:color w:val="auto"/>
                <w:szCs w:val="24"/>
                <w:lang w:eastAsia="zh-CN"/>
              </w:rPr>
              <w:t>（</w:t>
            </w:r>
            <w:r>
              <w:rPr>
                <w:rFonts w:hint="eastAsia" w:hAnsi="Times New Roman" w:cs="Times New Roman"/>
                <w:color w:val="auto"/>
                <w:szCs w:val="24"/>
                <w:lang w:val="en-US" w:eastAsia="zh-CN"/>
              </w:rPr>
              <w:t>员工生活用水和顾客用水</w:t>
            </w:r>
            <w:r>
              <w:rPr>
                <w:rFonts w:hint="eastAsia" w:hAnsi="Times New Roman" w:cs="Times New Roman"/>
                <w:color w:val="auto"/>
                <w:szCs w:val="24"/>
                <w:lang w:eastAsia="zh-CN"/>
              </w:rPr>
              <w:t>）</w:t>
            </w:r>
            <w:r>
              <w:rPr>
                <w:rFonts w:hint="eastAsia" w:hAnsi="Times New Roman" w:cs="Times New Roman"/>
                <w:color w:val="auto"/>
                <w:szCs w:val="24"/>
                <w:lang w:val="en-US" w:eastAsia="zh-CN"/>
              </w:rPr>
              <w:t>约</w:t>
            </w:r>
            <w:r>
              <w:rPr>
                <w:rFonts w:hint="eastAsia" w:hAnsi="Times New Roman" w:cs="Times New Roman"/>
                <w:snapToGrid w:val="0"/>
                <w:color w:val="auto"/>
                <w:szCs w:val="24"/>
                <w:lang w:val="en-US" w:eastAsia="zh-CN"/>
              </w:rPr>
              <w:t>840</w:t>
            </w:r>
            <w:r>
              <w:rPr>
                <w:rFonts w:hAnsi="Times New Roman" w:cs="Times New Roman"/>
                <w:snapToGrid w:val="0"/>
                <w:color w:val="auto"/>
                <w:szCs w:val="24"/>
              </w:rPr>
              <w:t>m</w:t>
            </w:r>
            <w:r>
              <w:rPr>
                <w:rFonts w:hAnsi="Times New Roman" w:cs="Times New Roman"/>
                <w:snapToGrid w:val="0"/>
                <w:color w:val="auto"/>
                <w:szCs w:val="24"/>
                <w:vertAlign w:val="superscript"/>
              </w:rPr>
              <w:t>3</w:t>
            </w:r>
            <w:r>
              <w:rPr>
                <w:rFonts w:hAnsi="Times New Roman" w:cs="Times New Roman"/>
                <w:snapToGrid w:val="0"/>
                <w:color w:val="auto"/>
                <w:szCs w:val="24"/>
              </w:rPr>
              <w:t>/a</w:t>
            </w:r>
            <w:r>
              <w:rPr>
                <w:rFonts w:hint="eastAsia" w:hAnsi="Times New Roman" w:cs="Times New Roman"/>
                <w:snapToGrid w:val="0"/>
                <w:color w:val="auto"/>
                <w:szCs w:val="24"/>
              </w:rPr>
              <w:t>（</w:t>
            </w:r>
            <w:r>
              <w:rPr>
                <w:rFonts w:hint="eastAsia" w:hAnsi="Times New Roman" w:cs="Times New Roman"/>
                <w:snapToGrid w:val="0"/>
                <w:color w:val="auto"/>
                <w:szCs w:val="24"/>
                <w:lang w:val="en-US" w:eastAsia="zh-CN"/>
              </w:rPr>
              <w:t>2.31</w:t>
            </w:r>
            <w:r>
              <w:rPr>
                <w:rFonts w:hAnsi="Times New Roman" w:cs="Times New Roman"/>
                <w:snapToGrid w:val="0"/>
                <w:color w:val="auto"/>
                <w:szCs w:val="24"/>
              </w:rPr>
              <w:t>m</w:t>
            </w:r>
            <w:r>
              <w:rPr>
                <w:rFonts w:hAnsi="Times New Roman" w:cs="Times New Roman"/>
                <w:snapToGrid w:val="0"/>
                <w:color w:val="auto"/>
                <w:szCs w:val="24"/>
                <w:vertAlign w:val="superscript"/>
              </w:rPr>
              <w:t>3</w:t>
            </w:r>
            <w:r>
              <w:rPr>
                <w:rFonts w:hAnsi="Times New Roman" w:cs="Times New Roman"/>
                <w:snapToGrid w:val="0"/>
                <w:color w:val="auto"/>
                <w:szCs w:val="24"/>
              </w:rPr>
              <w:t>/d</w:t>
            </w:r>
            <w:r>
              <w:rPr>
                <w:rFonts w:hint="eastAsia" w:hAnsi="Times New Roman" w:cs="Times New Roman"/>
                <w:snapToGrid w:val="0"/>
                <w:color w:val="auto"/>
                <w:szCs w:val="24"/>
              </w:rPr>
              <w:t>）</w:t>
            </w:r>
            <w:r>
              <w:rPr>
                <w:rFonts w:hAnsi="Times New Roman" w:cs="Times New Roman"/>
                <w:snapToGrid w:val="0"/>
                <w:color w:val="auto"/>
                <w:szCs w:val="24"/>
              </w:rPr>
              <w:t>。</w:t>
            </w:r>
          </w:p>
          <w:p w14:paraId="25B01141">
            <w:pPr>
              <w:pStyle w:val="63"/>
              <w:spacing w:line="360" w:lineRule="auto"/>
              <w:rPr>
                <w:rFonts w:hAnsi="Times New Roman" w:cs="Times New Roman"/>
                <w:snapToGrid w:val="0"/>
                <w:color w:val="auto"/>
                <w:szCs w:val="24"/>
              </w:rPr>
            </w:pPr>
            <w:r>
              <w:rPr>
                <w:rFonts w:hAnsi="Times New Roman" w:cs="Times New Roman"/>
                <w:color w:val="auto"/>
              </w:rPr>
              <w:t>生活污水</w:t>
            </w:r>
            <w:r>
              <w:rPr>
                <w:rFonts w:hint="eastAsia" w:hAnsi="Times New Roman" w:cs="Times New Roman"/>
                <w:color w:val="auto"/>
                <w:lang w:val="en-US" w:eastAsia="zh-CN"/>
              </w:rPr>
              <w:t>包括员工和顾客产生的生活污水，</w:t>
            </w:r>
            <w:r>
              <w:rPr>
                <w:rFonts w:hAnsi="Times New Roman" w:cs="Times New Roman"/>
                <w:color w:val="auto"/>
              </w:rPr>
              <w:t>产生量按照新鲜用水量的80%计算，则生活污水量为</w:t>
            </w:r>
            <w:r>
              <w:rPr>
                <w:rFonts w:hint="eastAsia" w:hAnsi="Times New Roman" w:cs="Times New Roman"/>
                <w:color w:val="auto"/>
                <w:lang w:val="en-US" w:eastAsia="zh-CN"/>
              </w:rPr>
              <w:t>672</w:t>
            </w:r>
            <w:r>
              <w:rPr>
                <w:rFonts w:hAnsi="Times New Roman" w:cs="Times New Roman"/>
                <w:color w:val="auto"/>
              </w:rPr>
              <w:t>m</w:t>
            </w:r>
            <w:r>
              <w:rPr>
                <w:rFonts w:hAnsi="Times New Roman" w:cs="Times New Roman"/>
                <w:color w:val="auto"/>
                <w:vertAlign w:val="superscript"/>
              </w:rPr>
              <w:t>3</w:t>
            </w:r>
            <w:r>
              <w:rPr>
                <w:rFonts w:hAnsi="Times New Roman" w:cs="Times New Roman"/>
                <w:color w:val="auto"/>
              </w:rPr>
              <w:t>/a（</w:t>
            </w:r>
            <w:r>
              <w:rPr>
                <w:rFonts w:hint="eastAsia" w:hAnsi="Times New Roman" w:cs="Times New Roman"/>
                <w:color w:val="auto"/>
                <w:lang w:val="en-US" w:eastAsia="zh-CN"/>
              </w:rPr>
              <w:t>1.84</w:t>
            </w:r>
            <w:r>
              <w:rPr>
                <w:rFonts w:hAnsi="Times New Roman" w:cs="Times New Roman"/>
                <w:color w:val="auto"/>
              </w:rPr>
              <w:t>m</w:t>
            </w:r>
            <w:r>
              <w:rPr>
                <w:rFonts w:hAnsi="Times New Roman" w:cs="Times New Roman"/>
                <w:color w:val="auto"/>
                <w:vertAlign w:val="superscript"/>
              </w:rPr>
              <w:t>3</w:t>
            </w:r>
            <w:r>
              <w:rPr>
                <w:rFonts w:hAnsi="Times New Roman" w:cs="Times New Roman"/>
                <w:color w:val="auto"/>
              </w:rPr>
              <w:t>/d）。主要污染物为COD、BOD</w:t>
            </w:r>
            <w:r>
              <w:rPr>
                <w:rFonts w:hAnsi="Times New Roman" w:cs="Times New Roman"/>
                <w:color w:val="auto"/>
                <w:vertAlign w:val="subscript"/>
              </w:rPr>
              <w:t>5</w:t>
            </w:r>
            <w:r>
              <w:rPr>
                <w:rFonts w:hAnsi="Times New Roman" w:cs="Times New Roman"/>
                <w:color w:val="auto"/>
              </w:rPr>
              <w:t>、SS、氨氮</w:t>
            </w:r>
            <w:r>
              <w:rPr>
                <w:rFonts w:hint="eastAsia" w:hAnsi="Times New Roman" w:cs="Times New Roman"/>
                <w:color w:val="auto"/>
              </w:rPr>
              <w:t>、TN、TP</w:t>
            </w:r>
            <w:r>
              <w:rPr>
                <w:rFonts w:hAnsi="Times New Roman" w:cs="Times New Roman"/>
                <w:color w:val="auto"/>
              </w:rPr>
              <w:t>等。生活污水</w:t>
            </w:r>
            <w:r>
              <w:rPr>
                <w:rFonts w:hint="eastAsia" w:hAnsi="Times New Roman" w:cs="Times New Roman"/>
                <w:color w:val="auto"/>
              </w:rPr>
              <w:t>排入</w:t>
            </w:r>
            <w:r>
              <w:rPr>
                <w:rFonts w:hint="eastAsia" w:hAnsi="Times New Roman" w:cs="Times New Roman"/>
                <w:color w:val="auto"/>
                <w:lang w:val="en-US" w:eastAsia="zh-CN"/>
              </w:rPr>
              <w:t>产业园</w:t>
            </w:r>
            <w:r>
              <w:rPr>
                <w:rFonts w:hint="eastAsia" w:hAnsi="Times New Roman" w:cs="Times New Roman"/>
                <w:color w:val="auto"/>
              </w:rPr>
              <w:t>污水管网，经化粪池处理后排入市政污水管网，最终进入西安净水处理有限责任公司第六再生水厂进行处理</w:t>
            </w:r>
            <w:r>
              <w:rPr>
                <w:rFonts w:hAnsi="Times New Roman" w:cs="Times New Roman"/>
                <w:color w:val="auto"/>
              </w:rPr>
              <w:t>。</w:t>
            </w:r>
          </w:p>
          <w:p w14:paraId="5B72C436">
            <w:pPr>
              <w:pStyle w:val="63"/>
              <w:spacing w:line="360" w:lineRule="auto"/>
              <w:rPr>
                <w:rFonts w:hint="eastAsia"/>
                <w:color w:val="auto"/>
                <w:sz w:val="24"/>
              </w:rPr>
            </w:pPr>
            <w:r>
              <w:rPr>
                <w:rFonts w:hint="eastAsia" w:hAnsi="Times New Roman" w:cs="Times New Roman"/>
                <w:color w:val="auto"/>
                <w:szCs w:val="24"/>
              </w:rPr>
              <w:t>②</w:t>
            </w:r>
            <w:r>
              <w:rPr>
                <w:rFonts w:hint="eastAsia"/>
                <w:color w:val="auto"/>
                <w:sz w:val="24"/>
                <w:lang w:val="en-US" w:eastAsia="zh-CN"/>
              </w:rPr>
              <w:t>钣喷中心</w:t>
            </w:r>
            <w:r>
              <w:rPr>
                <w:rFonts w:hint="eastAsia"/>
                <w:color w:val="auto"/>
                <w:sz w:val="24"/>
              </w:rPr>
              <w:t>地面</w:t>
            </w:r>
            <w:r>
              <w:rPr>
                <w:rFonts w:hint="eastAsia"/>
                <w:color w:val="auto"/>
                <w:sz w:val="24"/>
                <w:lang w:val="en-US" w:eastAsia="zh-CN"/>
              </w:rPr>
              <w:t>拖地</w:t>
            </w:r>
            <w:r>
              <w:rPr>
                <w:rFonts w:hint="eastAsia"/>
                <w:color w:val="auto"/>
                <w:sz w:val="24"/>
              </w:rPr>
              <w:t>用水：</w:t>
            </w:r>
            <w:r>
              <w:rPr>
                <w:rFonts w:hint="eastAsia"/>
                <w:color w:val="auto"/>
                <w:sz w:val="24"/>
                <w:lang w:val="en-US" w:eastAsia="zh-CN"/>
              </w:rPr>
              <w:t>钣喷中心</w:t>
            </w:r>
            <w:r>
              <w:rPr>
                <w:rFonts w:hint="eastAsia"/>
                <w:color w:val="auto"/>
                <w:sz w:val="24"/>
              </w:rPr>
              <w:t>包括</w:t>
            </w:r>
            <w:r>
              <w:rPr>
                <w:rFonts w:hint="eastAsia"/>
                <w:color w:val="auto"/>
                <w:sz w:val="24"/>
                <w:lang w:val="en-US" w:eastAsia="zh-CN"/>
              </w:rPr>
              <w:t>钣喷</w:t>
            </w:r>
            <w:r>
              <w:rPr>
                <w:rFonts w:hint="eastAsia"/>
                <w:color w:val="auto"/>
                <w:sz w:val="24"/>
              </w:rPr>
              <w:t>车间</w:t>
            </w:r>
            <w:r>
              <w:rPr>
                <w:rFonts w:hint="eastAsia"/>
                <w:color w:val="auto"/>
                <w:sz w:val="24"/>
                <w:lang w:val="en-US" w:eastAsia="zh-CN"/>
              </w:rPr>
              <w:t>和维修车间</w:t>
            </w:r>
            <w:r>
              <w:rPr>
                <w:rFonts w:hint="eastAsia"/>
                <w:color w:val="auto"/>
                <w:sz w:val="24"/>
              </w:rPr>
              <w:t>，面积约</w:t>
            </w:r>
            <w:r>
              <w:rPr>
                <w:rFonts w:hint="eastAsia"/>
                <w:color w:val="auto"/>
                <w:sz w:val="24"/>
                <w:lang w:val="en-US" w:eastAsia="zh-CN"/>
              </w:rPr>
              <w:t>2000</w:t>
            </w:r>
            <w:r>
              <w:rPr>
                <w:rFonts w:hint="eastAsia"/>
                <w:color w:val="auto"/>
                <w:sz w:val="24"/>
              </w:rPr>
              <w:t>m</w:t>
            </w:r>
            <w:r>
              <w:rPr>
                <w:rFonts w:hint="eastAsia"/>
                <w:color w:val="auto"/>
                <w:sz w:val="24"/>
                <w:vertAlign w:val="superscript"/>
              </w:rPr>
              <w:t>2</w:t>
            </w:r>
            <w:r>
              <w:rPr>
                <w:rFonts w:hint="eastAsia"/>
                <w:color w:val="auto"/>
                <w:sz w:val="24"/>
              </w:rPr>
              <w:t>，根据建设单位提供情况，</w:t>
            </w:r>
            <w:r>
              <w:rPr>
                <w:rFonts w:hint="eastAsia"/>
                <w:color w:val="auto"/>
                <w:sz w:val="24"/>
                <w:lang w:val="en-US" w:eastAsia="zh-CN"/>
              </w:rPr>
              <w:t>每天定时进行地面拖地，</w:t>
            </w:r>
            <w:r>
              <w:rPr>
                <w:rFonts w:hint="eastAsia"/>
                <w:color w:val="auto"/>
                <w:sz w:val="24"/>
              </w:rPr>
              <w:t>参照陕西省《行业用水定额》（DB 61/T 943-2020）中的用水定额规定，地面清洗用水</w:t>
            </w:r>
            <w:r>
              <w:rPr>
                <w:rFonts w:hint="eastAsia"/>
                <w:color w:val="auto"/>
                <w:sz w:val="24"/>
                <w:lang w:val="en-US" w:eastAsia="zh-CN"/>
              </w:rPr>
              <w:t>为3</w:t>
            </w:r>
            <w:r>
              <w:rPr>
                <w:rFonts w:hint="eastAsia"/>
                <w:color w:val="auto"/>
                <w:sz w:val="24"/>
              </w:rPr>
              <w:t>L/m</w:t>
            </w:r>
            <w:r>
              <w:rPr>
                <w:rFonts w:hint="eastAsia"/>
                <w:color w:val="auto"/>
                <w:sz w:val="24"/>
                <w:vertAlign w:val="superscript"/>
              </w:rPr>
              <w:t>2</w:t>
            </w:r>
            <w:r>
              <w:rPr>
                <w:rFonts w:hint="eastAsia"/>
                <w:color w:val="auto"/>
                <w:sz w:val="24"/>
              </w:rPr>
              <w:t>·次，</w:t>
            </w:r>
            <w:r>
              <w:rPr>
                <w:rFonts w:hint="eastAsia"/>
                <w:color w:val="auto"/>
                <w:sz w:val="24"/>
                <w:lang w:val="en-US" w:eastAsia="zh-CN"/>
              </w:rPr>
              <w:t>结合本项目为拖地不进行清洗，用水量按0.5</w:t>
            </w:r>
            <w:r>
              <w:rPr>
                <w:rFonts w:hint="eastAsia"/>
                <w:color w:val="auto"/>
                <w:sz w:val="24"/>
              </w:rPr>
              <w:t>L/m</w:t>
            </w:r>
            <w:r>
              <w:rPr>
                <w:rFonts w:hint="eastAsia"/>
                <w:color w:val="auto"/>
                <w:sz w:val="24"/>
                <w:vertAlign w:val="superscript"/>
              </w:rPr>
              <w:t>2</w:t>
            </w:r>
            <w:r>
              <w:rPr>
                <w:rFonts w:hint="eastAsia"/>
                <w:color w:val="auto"/>
                <w:sz w:val="24"/>
              </w:rPr>
              <w:t>·次</w:t>
            </w:r>
            <w:r>
              <w:rPr>
                <w:rFonts w:hint="eastAsia"/>
                <w:color w:val="auto"/>
                <w:sz w:val="24"/>
                <w:lang w:val="en-US" w:eastAsia="zh-CN"/>
              </w:rPr>
              <w:t>，</w:t>
            </w:r>
            <w:r>
              <w:rPr>
                <w:rFonts w:hint="eastAsia"/>
                <w:color w:val="auto"/>
                <w:sz w:val="24"/>
              </w:rPr>
              <w:t>则</w:t>
            </w:r>
            <w:r>
              <w:rPr>
                <w:rFonts w:hint="eastAsia"/>
                <w:color w:val="auto"/>
                <w:sz w:val="24"/>
                <w:lang w:val="en-US" w:eastAsia="zh-CN"/>
              </w:rPr>
              <w:t>钣喷中心</w:t>
            </w:r>
            <w:r>
              <w:rPr>
                <w:rFonts w:hint="eastAsia"/>
                <w:color w:val="auto"/>
                <w:sz w:val="24"/>
              </w:rPr>
              <w:t>地面</w:t>
            </w:r>
            <w:r>
              <w:rPr>
                <w:rFonts w:hint="eastAsia"/>
                <w:color w:val="auto"/>
                <w:sz w:val="24"/>
                <w:lang w:val="en-US" w:eastAsia="zh-CN"/>
              </w:rPr>
              <w:t>拖地</w:t>
            </w:r>
            <w:r>
              <w:rPr>
                <w:rFonts w:hint="eastAsia"/>
                <w:color w:val="auto"/>
                <w:sz w:val="24"/>
              </w:rPr>
              <w:t>用水量为</w:t>
            </w:r>
            <w:r>
              <w:rPr>
                <w:rFonts w:hint="eastAsia"/>
                <w:color w:val="auto"/>
                <w:sz w:val="24"/>
                <w:lang w:val="en-US" w:eastAsia="zh-CN"/>
              </w:rPr>
              <w:t>365</w:t>
            </w:r>
            <w:r>
              <w:rPr>
                <w:rFonts w:hint="eastAsia"/>
                <w:color w:val="auto"/>
                <w:sz w:val="24"/>
              </w:rPr>
              <w:t>m</w:t>
            </w:r>
            <w:r>
              <w:rPr>
                <w:rFonts w:hint="eastAsia"/>
                <w:color w:val="auto"/>
                <w:sz w:val="24"/>
                <w:vertAlign w:val="superscript"/>
              </w:rPr>
              <w:t>3</w:t>
            </w:r>
            <w:r>
              <w:rPr>
                <w:rFonts w:hint="eastAsia"/>
                <w:color w:val="auto"/>
                <w:sz w:val="24"/>
              </w:rPr>
              <w:t>/a（</w:t>
            </w:r>
            <w:r>
              <w:rPr>
                <w:rFonts w:hint="eastAsia"/>
                <w:color w:val="auto"/>
                <w:sz w:val="24"/>
                <w:lang w:val="en-US" w:eastAsia="zh-CN"/>
              </w:rPr>
              <w:t>1</w:t>
            </w:r>
            <w:r>
              <w:rPr>
                <w:rFonts w:hint="eastAsia"/>
                <w:color w:val="auto"/>
                <w:sz w:val="24"/>
              </w:rPr>
              <w:t>m</w:t>
            </w:r>
            <w:r>
              <w:rPr>
                <w:rFonts w:hint="eastAsia"/>
                <w:color w:val="auto"/>
                <w:sz w:val="24"/>
                <w:vertAlign w:val="superscript"/>
              </w:rPr>
              <w:t>3</w:t>
            </w:r>
            <w:r>
              <w:rPr>
                <w:rFonts w:hint="eastAsia"/>
                <w:color w:val="auto"/>
                <w:sz w:val="24"/>
              </w:rPr>
              <w:t>/d）</w:t>
            </w:r>
            <w:r>
              <w:rPr>
                <w:rFonts w:hint="eastAsia"/>
                <w:color w:val="auto"/>
                <w:sz w:val="24"/>
                <w:lang w:eastAsia="zh-CN"/>
              </w:rPr>
              <w:t>，</w:t>
            </w:r>
            <w:r>
              <w:rPr>
                <w:rFonts w:hint="eastAsia"/>
                <w:color w:val="auto"/>
                <w:sz w:val="24"/>
                <w:lang w:val="en-US" w:eastAsia="zh-CN"/>
              </w:rPr>
              <w:t>拖地损耗蒸发量按5%计算，损耗量为18.25</w:t>
            </w:r>
            <w:r>
              <w:rPr>
                <w:rFonts w:hint="eastAsia"/>
                <w:color w:val="auto"/>
                <w:sz w:val="24"/>
              </w:rPr>
              <w:t>m</w:t>
            </w:r>
            <w:r>
              <w:rPr>
                <w:rFonts w:hint="eastAsia"/>
                <w:color w:val="auto"/>
                <w:sz w:val="24"/>
                <w:vertAlign w:val="superscript"/>
              </w:rPr>
              <w:t>3</w:t>
            </w:r>
            <w:r>
              <w:rPr>
                <w:rFonts w:hint="eastAsia"/>
                <w:color w:val="auto"/>
                <w:sz w:val="24"/>
              </w:rPr>
              <w:t>/a（</w:t>
            </w:r>
            <w:r>
              <w:rPr>
                <w:rFonts w:hint="eastAsia"/>
                <w:color w:val="auto"/>
                <w:sz w:val="24"/>
                <w:lang w:val="en-US" w:eastAsia="zh-CN"/>
              </w:rPr>
              <w:t>0.05</w:t>
            </w:r>
            <w:r>
              <w:rPr>
                <w:rFonts w:hint="eastAsia"/>
                <w:color w:val="auto"/>
                <w:sz w:val="24"/>
              </w:rPr>
              <w:t>m</w:t>
            </w:r>
            <w:r>
              <w:rPr>
                <w:rFonts w:hint="eastAsia"/>
                <w:color w:val="auto"/>
                <w:sz w:val="24"/>
                <w:vertAlign w:val="superscript"/>
              </w:rPr>
              <w:t>3</w:t>
            </w:r>
            <w:r>
              <w:rPr>
                <w:rFonts w:hint="eastAsia"/>
                <w:color w:val="auto"/>
                <w:sz w:val="24"/>
              </w:rPr>
              <w:t>/d）。</w:t>
            </w:r>
          </w:p>
          <w:p w14:paraId="2F5DEE7D">
            <w:pPr>
              <w:spacing w:line="360" w:lineRule="auto"/>
              <w:ind w:firstLine="480" w:firstLineChars="200"/>
              <w:rPr>
                <w:color w:val="auto"/>
              </w:rPr>
            </w:pPr>
            <w:r>
              <w:rPr>
                <w:rFonts w:hint="eastAsia"/>
                <w:color w:val="auto"/>
                <w:sz w:val="24"/>
              </w:rPr>
              <w:t>③洗车用水：项目全年</w:t>
            </w:r>
            <w:r>
              <w:rPr>
                <w:rFonts w:hint="eastAsia"/>
                <w:color w:val="auto"/>
                <w:sz w:val="24"/>
                <w:lang w:val="en-US" w:eastAsia="zh-CN"/>
              </w:rPr>
              <w:t>清洗</w:t>
            </w:r>
            <w:r>
              <w:rPr>
                <w:rFonts w:hint="eastAsia"/>
                <w:color w:val="auto"/>
                <w:sz w:val="24"/>
              </w:rPr>
              <w:t>车辆</w:t>
            </w:r>
            <w:r>
              <w:rPr>
                <w:rFonts w:hint="eastAsia"/>
                <w:color w:val="auto"/>
                <w:sz w:val="24"/>
                <w:lang w:val="en-US" w:eastAsia="zh-CN"/>
              </w:rPr>
              <w:t>2</w:t>
            </w:r>
            <w:r>
              <w:rPr>
                <w:rFonts w:hint="eastAsia"/>
                <w:color w:val="auto"/>
                <w:sz w:val="24"/>
              </w:rPr>
              <w:t>2000台次，参照陕西省《行业用水定额》（DB 61/T 943-2020）中表B.10</w:t>
            </w:r>
            <w:r>
              <w:rPr>
                <w:rFonts w:hint="eastAsia"/>
                <w:color w:val="auto"/>
                <w:sz w:val="24"/>
                <w:lang w:eastAsia="zh-CN"/>
              </w:rPr>
              <w:t>，机动车、电子产品和日用产品修理业循环用水冲洗</w:t>
            </w:r>
            <w:r>
              <w:rPr>
                <w:rFonts w:hint="eastAsia"/>
                <w:color w:val="auto"/>
                <w:sz w:val="24"/>
              </w:rPr>
              <w:t>，洗车用水按</w:t>
            </w:r>
            <w:r>
              <w:rPr>
                <w:rFonts w:hint="eastAsia"/>
                <w:color w:val="auto"/>
                <w:sz w:val="24"/>
                <w:lang w:val="en-US" w:eastAsia="zh-CN"/>
              </w:rPr>
              <w:t>25</w:t>
            </w:r>
            <w:r>
              <w:rPr>
                <w:rFonts w:hint="eastAsia"/>
                <w:color w:val="auto"/>
                <w:sz w:val="24"/>
              </w:rPr>
              <w:t>L/辆·次，年用水量为</w:t>
            </w:r>
            <w:r>
              <w:rPr>
                <w:rFonts w:hint="eastAsia"/>
                <w:color w:val="auto"/>
                <w:sz w:val="24"/>
                <w:lang w:val="en-US" w:eastAsia="zh-CN"/>
              </w:rPr>
              <w:t>55</w:t>
            </w:r>
            <w:r>
              <w:rPr>
                <w:rFonts w:hint="eastAsia"/>
                <w:color w:val="auto"/>
                <w:sz w:val="24"/>
              </w:rPr>
              <w:t>0m</w:t>
            </w:r>
            <w:r>
              <w:rPr>
                <w:rFonts w:hint="eastAsia"/>
                <w:color w:val="auto"/>
                <w:sz w:val="24"/>
                <w:vertAlign w:val="superscript"/>
              </w:rPr>
              <w:t>3</w:t>
            </w:r>
            <w:r>
              <w:rPr>
                <w:rFonts w:hint="eastAsia"/>
                <w:color w:val="auto"/>
                <w:sz w:val="24"/>
              </w:rPr>
              <w:t>/a（</w:t>
            </w:r>
            <w:r>
              <w:rPr>
                <w:rFonts w:hint="eastAsia"/>
                <w:color w:val="auto"/>
                <w:sz w:val="24"/>
                <w:lang w:val="en-US" w:eastAsia="zh-CN"/>
              </w:rPr>
              <w:t>1.51</w:t>
            </w:r>
            <w:r>
              <w:rPr>
                <w:rFonts w:hint="eastAsia"/>
                <w:color w:val="auto"/>
                <w:sz w:val="24"/>
              </w:rPr>
              <w:t>m</w:t>
            </w:r>
            <w:r>
              <w:rPr>
                <w:rFonts w:hint="eastAsia"/>
                <w:color w:val="auto"/>
                <w:sz w:val="24"/>
                <w:vertAlign w:val="superscript"/>
              </w:rPr>
              <w:t>3</w:t>
            </w:r>
            <w:r>
              <w:rPr>
                <w:rFonts w:hint="eastAsia"/>
                <w:color w:val="auto"/>
                <w:sz w:val="24"/>
              </w:rPr>
              <w:t>/d）</w:t>
            </w:r>
            <w:r>
              <w:rPr>
                <w:rFonts w:hint="eastAsia"/>
                <w:color w:val="auto"/>
                <w:sz w:val="24"/>
                <w:lang w:eastAsia="zh-CN"/>
              </w:rPr>
              <w:t>，</w:t>
            </w:r>
            <w:r>
              <w:rPr>
                <w:rFonts w:hint="eastAsia"/>
                <w:color w:val="auto"/>
                <w:sz w:val="24"/>
                <w:lang w:val="en-US" w:eastAsia="zh-CN"/>
              </w:rPr>
              <w:t>洗车用水损耗蒸发量按10%计算，损耗量为55</w:t>
            </w:r>
            <w:r>
              <w:rPr>
                <w:rFonts w:hint="eastAsia"/>
                <w:color w:val="auto"/>
                <w:sz w:val="24"/>
              </w:rPr>
              <w:t>m</w:t>
            </w:r>
            <w:r>
              <w:rPr>
                <w:rFonts w:hint="eastAsia"/>
                <w:color w:val="auto"/>
                <w:sz w:val="24"/>
                <w:vertAlign w:val="superscript"/>
              </w:rPr>
              <w:t>3</w:t>
            </w:r>
            <w:r>
              <w:rPr>
                <w:rFonts w:hint="eastAsia"/>
                <w:color w:val="auto"/>
                <w:sz w:val="24"/>
              </w:rPr>
              <w:t>/a（</w:t>
            </w:r>
            <w:r>
              <w:rPr>
                <w:rFonts w:hint="eastAsia"/>
                <w:color w:val="auto"/>
                <w:sz w:val="24"/>
                <w:lang w:val="en-US" w:eastAsia="zh-CN"/>
              </w:rPr>
              <w:t>0.15</w:t>
            </w:r>
            <w:r>
              <w:rPr>
                <w:rFonts w:hint="eastAsia"/>
                <w:color w:val="auto"/>
                <w:sz w:val="24"/>
              </w:rPr>
              <w:t>m</w:t>
            </w:r>
            <w:r>
              <w:rPr>
                <w:rFonts w:hint="eastAsia"/>
                <w:color w:val="auto"/>
                <w:sz w:val="24"/>
                <w:vertAlign w:val="superscript"/>
              </w:rPr>
              <w:t>3</w:t>
            </w:r>
            <w:r>
              <w:rPr>
                <w:rFonts w:hint="eastAsia"/>
                <w:color w:val="auto"/>
                <w:sz w:val="24"/>
              </w:rPr>
              <w:t>/d）。</w:t>
            </w:r>
          </w:p>
          <w:p w14:paraId="6D3B0013">
            <w:pPr>
              <w:pStyle w:val="63"/>
              <w:spacing w:line="360" w:lineRule="auto"/>
              <w:rPr>
                <w:rFonts w:hint="eastAsia"/>
                <w:color w:val="auto"/>
                <w:lang w:eastAsia="zh-CN"/>
              </w:rPr>
            </w:pPr>
            <w:r>
              <w:rPr>
                <w:rFonts w:hint="eastAsia"/>
                <w:color w:val="auto"/>
                <w:sz w:val="24"/>
                <w:lang w:val="en-US" w:eastAsia="zh-CN"/>
              </w:rPr>
              <w:t>钣喷中心</w:t>
            </w:r>
            <w:r>
              <w:rPr>
                <w:rFonts w:hint="eastAsia"/>
                <w:color w:val="auto"/>
                <w:sz w:val="24"/>
              </w:rPr>
              <w:t>地面</w:t>
            </w:r>
            <w:r>
              <w:rPr>
                <w:rFonts w:hint="eastAsia"/>
                <w:color w:val="auto"/>
                <w:sz w:val="24"/>
                <w:lang w:val="en-US" w:eastAsia="zh-CN"/>
              </w:rPr>
              <w:t>拖地废</w:t>
            </w:r>
            <w:r>
              <w:rPr>
                <w:rFonts w:hint="eastAsia"/>
                <w:color w:val="auto"/>
                <w:sz w:val="24"/>
              </w:rPr>
              <w:t>水</w:t>
            </w:r>
            <w:r>
              <w:rPr>
                <w:rFonts w:hint="eastAsia"/>
                <w:color w:val="auto"/>
                <w:lang w:val="en-US" w:eastAsia="zh-CN"/>
              </w:rPr>
              <w:t>和</w:t>
            </w:r>
            <w:r>
              <w:rPr>
                <w:rFonts w:hint="eastAsia"/>
                <w:color w:val="auto"/>
                <w:lang w:eastAsia="zh-CN"/>
              </w:rPr>
              <w:t>洗车废水，</w:t>
            </w:r>
            <w:r>
              <w:rPr>
                <w:rFonts w:hint="eastAsia"/>
                <w:color w:val="auto"/>
                <w:sz w:val="24"/>
                <w:lang w:val="en-US" w:eastAsia="zh-CN"/>
              </w:rPr>
              <w:t>产生量为841.75</w:t>
            </w:r>
            <w:r>
              <w:rPr>
                <w:rFonts w:hint="eastAsia"/>
                <w:color w:val="auto"/>
                <w:sz w:val="24"/>
              </w:rPr>
              <w:t>m</w:t>
            </w:r>
            <w:r>
              <w:rPr>
                <w:rFonts w:hint="eastAsia"/>
                <w:color w:val="auto"/>
                <w:sz w:val="24"/>
                <w:vertAlign w:val="superscript"/>
              </w:rPr>
              <w:t>3</w:t>
            </w:r>
            <w:r>
              <w:rPr>
                <w:rFonts w:hint="eastAsia"/>
                <w:color w:val="auto"/>
                <w:sz w:val="24"/>
              </w:rPr>
              <w:t>/a（</w:t>
            </w:r>
            <w:r>
              <w:rPr>
                <w:rFonts w:hint="eastAsia"/>
                <w:color w:val="auto"/>
                <w:sz w:val="24"/>
                <w:lang w:val="en-US" w:eastAsia="zh-CN"/>
              </w:rPr>
              <w:t>2.31</w:t>
            </w:r>
            <w:r>
              <w:rPr>
                <w:rFonts w:hint="eastAsia"/>
                <w:color w:val="auto"/>
                <w:sz w:val="24"/>
              </w:rPr>
              <w:t>m</w:t>
            </w:r>
            <w:r>
              <w:rPr>
                <w:rFonts w:hint="eastAsia"/>
                <w:color w:val="auto"/>
                <w:sz w:val="24"/>
                <w:vertAlign w:val="superscript"/>
              </w:rPr>
              <w:t>3</w:t>
            </w:r>
            <w:r>
              <w:rPr>
                <w:rFonts w:hint="eastAsia"/>
                <w:color w:val="auto"/>
                <w:sz w:val="24"/>
              </w:rPr>
              <w:t>/d）</w:t>
            </w:r>
            <w:r>
              <w:rPr>
                <w:rFonts w:hint="eastAsia"/>
                <w:color w:val="auto"/>
                <w:sz w:val="24"/>
                <w:lang w:eastAsia="zh-CN"/>
              </w:rPr>
              <w:t>，</w:t>
            </w:r>
            <w:r>
              <w:rPr>
                <w:rFonts w:hAnsi="Times New Roman" w:cs="Times New Roman"/>
                <w:color w:val="auto"/>
              </w:rPr>
              <w:t>主要污染物为</w:t>
            </w:r>
            <w:r>
              <w:rPr>
                <w:rFonts w:hint="eastAsia"/>
                <w:color w:val="auto"/>
                <w:szCs w:val="24"/>
                <w:lang w:val="en-US" w:eastAsia="zh-CN"/>
              </w:rPr>
              <w:t>COD、SS、石油类、LAS</w:t>
            </w:r>
            <w:r>
              <w:rPr>
                <w:rFonts w:hAnsi="Times New Roman" w:cs="Times New Roman"/>
                <w:color w:val="auto"/>
              </w:rPr>
              <w:t>等</w:t>
            </w:r>
            <w:r>
              <w:rPr>
                <w:rFonts w:hint="eastAsia" w:hAnsi="Times New Roman" w:cs="Times New Roman"/>
                <w:color w:val="auto"/>
                <w:lang w:eastAsia="zh-CN"/>
              </w:rPr>
              <w:t>，</w:t>
            </w:r>
            <w:r>
              <w:rPr>
                <w:rFonts w:hint="eastAsia"/>
                <w:color w:val="auto"/>
                <w:lang w:eastAsia="zh-CN"/>
              </w:rPr>
              <w:t>经隔油池（</w:t>
            </w:r>
            <w:r>
              <w:rPr>
                <w:rFonts w:hint="eastAsia"/>
                <w:color w:val="auto"/>
                <w:lang w:val="en-US" w:eastAsia="zh-CN"/>
              </w:rPr>
              <w:t>5m</w:t>
            </w:r>
            <w:r>
              <w:rPr>
                <w:rFonts w:hint="eastAsia"/>
                <w:color w:val="auto"/>
                <w:vertAlign w:val="superscript"/>
                <w:lang w:val="en-US" w:eastAsia="zh-CN"/>
              </w:rPr>
              <w:t>3</w:t>
            </w:r>
            <w:r>
              <w:rPr>
                <w:rFonts w:hint="eastAsia"/>
                <w:color w:val="auto"/>
                <w:lang w:eastAsia="zh-CN"/>
              </w:rPr>
              <w:t>）+沉淀池（</w:t>
            </w:r>
            <w:r>
              <w:rPr>
                <w:rFonts w:hint="eastAsia"/>
                <w:color w:val="auto"/>
                <w:lang w:val="en-US" w:eastAsia="zh-CN"/>
              </w:rPr>
              <w:t>5.2m</w:t>
            </w:r>
            <w:r>
              <w:rPr>
                <w:rFonts w:hint="eastAsia"/>
                <w:color w:val="auto"/>
                <w:vertAlign w:val="superscript"/>
                <w:lang w:val="en-US" w:eastAsia="zh-CN"/>
              </w:rPr>
              <w:t>3</w:t>
            </w:r>
            <w:r>
              <w:rPr>
                <w:rFonts w:hint="eastAsia"/>
                <w:color w:val="auto"/>
                <w:lang w:eastAsia="zh-CN"/>
              </w:rPr>
              <w:t>），</w:t>
            </w:r>
            <w:r>
              <w:rPr>
                <w:rFonts w:hint="eastAsia"/>
                <w:color w:val="auto"/>
                <w:szCs w:val="24"/>
                <w:lang w:val="en-US" w:eastAsia="zh-CN"/>
              </w:rPr>
              <w:t>通过化粪池后进入市政</w:t>
            </w:r>
            <w:r>
              <w:rPr>
                <w:rFonts w:hint="eastAsia"/>
                <w:color w:val="auto"/>
                <w:szCs w:val="24"/>
              </w:rPr>
              <w:t>污水管网，最终进入西安净水处理有限责任公司第六再生水厂</w:t>
            </w:r>
            <w:r>
              <w:rPr>
                <w:rFonts w:hint="eastAsia"/>
                <w:color w:val="auto"/>
                <w:lang w:eastAsia="zh-CN"/>
              </w:rPr>
              <w:t>。</w:t>
            </w:r>
          </w:p>
          <w:p w14:paraId="101F08F0">
            <w:pPr>
              <w:pStyle w:val="63"/>
              <w:spacing w:line="360" w:lineRule="auto"/>
              <w:rPr>
                <w:rFonts w:hint="eastAsia" w:hAnsi="Times New Roman" w:cs="Times New Roman"/>
                <w:color w:val="auto"/>
                <w:szCs w:val="24"/>
              </w:rPr>
            </w:pPr>
            <w:r>
              <w:rPr>
                <w:rFonts w:hint="eastAsia" w:hAnsi="Times New Roman" w:cs="Times New Roman"/>
                <w:color w:val="auto"/>
                <w:szCs w:val="24"/>
              </w:rPr>
              <w:t>项目用水、排水情况见表2-</w:t>
            </w:r>
            <w:r>
              <w:rPr>
                <w:rFonts w:hint="eastAsia" w:hAnsi="Times New Roman" w:cs="Times New Roman"/>
                <w:color w:val="auto"/>
                <w:szCs w:val="24"/>
                <w:lang w:val="en-US" w:eastAsia="zh-CN"/>
              </w:rPr>
              <w:t>10</w:t>
            </w:r>
            <w:r>
              <w:rPr>
                <w:rFonts w:hint="eastAsia" w:hAnsi="Times New Roman" w:cs="Times New Roman"/>
                <w:color w:val="auto"/>
                <w:szCs w:val="24"/>
              </w:rPr>
              <w:t>，水平衡图见图2-</w:t>
            </w:r>
            <w:r>
              <w:rPr>
                <w:rFonts w:hint="eastAsia" w:hAnsi="Times New Roman" w:cs="Times New Roman"/>
                <w:color w:val="auto"/>
                <w:szCs w:val="24"/>
                <w:lang w:val="en-US" w:eastAsia="zh-CN"/>
              </w:rPr>
              <w:t>3</w:t>
            </w:r>
            <w:r>
              <w:rPr>
                <w:rFonts w:hint="eastAsia" w:hAnsi="Times New Roman" w:cs="Times New Roman"/>
                <w:color w:val="auto"/>
                <w:szCs w:val="24"/>
              </w:rPr>
              <w:t>：</w:t>
            </w:r>
          </w:p>
          <w:p w14:paraId="45F36BEC">
            <w:pPr>
              <w:pStyle w:val="63"/>
              <w:spacing w:line="240" w:lineRule="auto"/>
              <w:ind w:firstLine="0" w:firstLineChars="0"/>
              <w:jc w:val="center"/>
              <w:rPr>
                <w:rFonts w:hAnsi="Times New Roman" w:cs="Times New Roman"/>
                <w:b/>
                <w:bCs/>
                <w:color w:val="auto"/>
                <w:kern w:val="21"/>
                <w:szCs w:val="24"/>
              </w:rPr>
            </w:pPr>
            <w:r>
              <w:rPr>
                <w:rFonts w:hAnsi="Times New Roman" w:cs="Times New Roman"/>
                <w:b/>
                <w:bCs/>
                <w:color w:val="auto"/>
                <w:kern w:val="21"/>
                <w:szCs w:val="24"/>
              </w:rPr>
              <w:t>表</w:t>
            </w:r>
            <w:r>
              <w:rPr>
                <w:rFonts w:hint="eastAsia" w:hAnsi="Times New Roman" w:cs="Times New Roman"/>
                <w:b/>
                <w:bCs/>
                <w:color w:val="auto"/>
                <w:kern w:val="21"/>
                <w:szCs w:val="24"/>
              </w:rPr>
              <w:t>2</w:t>
            </w:r>
            <w:r>
              <w:rPr>
                <w:rFonts w:hint="eastAsia" w:hAnsi="Times New Roman" w:cs="Times New Roman"/>
                <w:b/>
                <w:bCs/>
                <w:color w:val="auto"/>
                <w:kern w:val="21"/>
                <w:szCs w:val="24"/>
                <w:lang w:val="en-US" w:eastAsia="zh-CN"/>
              </w:rPr>
              <w:t>-10</w:t>
            </w:r>
            <w:r>
              <w:rPr>
                <w:rFonts w:hAnsi="Times New Roman" w:cs="Times New Roman"/>
                <w:b/>
                <w:bCs/>
                <w:color w:val="auto"/>
                <w:kern w:val="21"/>
                <w:szCs w:val="24"/>
              </w:rPr>
              <w:t xml:space="preserve"> </w:t>
            </w:r>
            <w:r>
              <w:rPr>
                <w:rFonts w:hint="eastAsia" w:hAnsi="Times New Roman" w:cs="Times New Roman"/>
                <w:b/>
                <w:bCs/>
                <w:color w:val="auto"/>
                <w:kern w:val="21"/>
                <w:szCs w:val="24"/>
              </w:rPr>
              <w:t xml:space="preserve"> </w:t>
            </w:r>
            <w:r>
              <w:rPr>
                <w:rFonts w:hAnsi="Times New Roman" w:cs="Times New Roman"/>
                <w:b/>
                <w:bCs/>
                <w:color w:val="auto"/>
                <w:kern w:val="21"/>
                <w:szCs w:val="24"/>
              </w:rPr>
              <w:t>项目给排水情况一览表</w:t>
            </w:r>
          </w:p>
          <w:tbl>
            <w:tblPr>
              <w:tblStyle w:val="25"/>
              <w:tblW w:w="821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429"/>
              <w:gridCol w:w="1995"/>
              <w:gridCol w:w="1890"/>
              <w:gridCol w:w="1897"/>
            </w:tblGrid>
            <w:tr w14:paraId="26AB69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79" w:type="pct"/>
                  <w:noWrap w:val="0"/>
                  <w:vAlign w:val="center"/>
                </w:tcPr>
                <w:p w14:paraId="18578668">
                  <w:pPr>
                    <w:adjustRightInd w:val="0"/>
                    <w:snapToGrid w:val="0"/>
                    <w:jc w:val="center"/>
                    <w:rPr>
                      <w:b/>
                      <w:bCs/>
                      <w:snapToGrid w:val="0"/>
                      <w:color w:val="auto"/>
                      <w:szCs w:val="21"/>
                    </w:rPr>
                  </w:pPr>
                  <w:r>
                    <w:rPr>
                      <w:rFonts w:hint="eastAsia"/>
                      <w:b/>
                      <w:bCs/>
                      <w:snapToGrid w:val="0"/>
                      <w:color w:val="auto"/>
                      <w:szCs w:val="21"/>
                    </w:rPr>
                    <w:t>用水环节</w:t>
                  </w:r>
                </w:p>
              </w:tc>
              <w:tc>
                <w:tcPr>
                  <w:tcW w:w="1214" w:type="pct"/>
                  <w:noWrap w:val="0"/>
                  <w:vAlign w:val="center"/>
                </w:tcPr>
                <w:p w14:paraId="2F788A82">
                  <w:pPr>
                    <w:adjustRightInd w:val="0"/>
                    <w:snapToGrid w:val="0"/>
                    <w:jc w:val="center"/>
                    <w:rPr>
                      <w:b/>
                      <w:bCs/>
                      <w:snapToGrid w:val="0"/>
                      <w:color w:val="auto"/>
                      <w:szCs w:val="21"/>
                    </w:rPr>
                  </w:pPr>
                  <w:r>
                    <w:rPr>
                      <w:rFonts w:hint="eastAsia"/>
                      <w:b/>
                      <w:bCs/>
                      <w:snapToGrid w:val="0"/>
                      <w:color w:val="auto"/>
                      <w:szCs w:val="21"/>
                    </w:rPr>
                    <w:t>新鲜水量</w:t>
                  </w:r>
                  <w:r>
                    <w:rPr>
                      <w:rFonts w:hint="eastAsia"/>
                      <w:b/>
                      <w:bCs/>
                      <w:color w:val="auto"/>
                      <w:szCs w:val="21"/>
                    </w:rPr>
                    <w:t>(</w:t>
                  </w:r>
                  <w:r>
                    <w:rPr>
                      <w:b/>
                      <w:bCs/>
                      <w:color w:val="auto"/>
                      <w:szCs w:val="21"/>
                    </w:rPr>
                    <w:t>m</w:t>
                  </w:r>
                  <w:r>
                    <w:rPr>
                      <w:b/>
                      <w:bCs/>
                      <w:color w:val="auto"/>
                      <w:szCs w:val="21"/>
                      <w:vertAlign w:val="superscript"/>
                    </w:rPr>
                    <w:t>3</w:t>
                  </w:r>
                  <w:r>
                    <w:rPr>
                      <w:b/>
                      <w:bCs/>
                      <w:color w:val="auto"/>
                      <w:szCs w:val="21"/>
                    </w:rPr>
                    <w:t>/</w:t>
                  </w:r>
                  <w:r>
                    <w:rPr>
                      <w:rFonts w:hint="eastAsia"/>
                      <w:b/>
                      <w:bCs/>
                      <w:color w:val="auto"/>
                      <w:szCs w:val="21"/>
                    </w:rPr>
                    <w:t>a)</w:t>
                  </w:r>
                </w:p>
              </w:tc>
              <w:tc>
                <w:tcPr>
                  <w:tcW w:w="1150" w:type="pct"/>
                  <w:noWrap w:val="0"/>
                  <w:vAlign w:val="center"/>
                </w:tcPr>
                <w:p w14:paraId="3E21C9B3">
                  <w:pPr>
                    <w:adjustRightInd w:val="0"/>
                    <w:snapToGrid w:val="0"/>
                    <w:jc w:val="center"/>
                    <w:rPr>
                      <w:b/>
                      <w:bCs/>
                      <w:snapToGrid w:val="0"/>
                      <w:color w:val="auto"/>
                      <w:szCs w:val="21"/>
                    </w:rPr>
                  </w:pPr>
                  <w:r>
                    <w:rPr>
                      <w:rFonts w:hint="eastAsia"/>
                      <w:b/>
                      <w:bCs/>
                      <w:snapToGrid w:val="0"/>
                      <w:color w:val="auto"/>
                      <w:szCs w:val="21"/>
                    </w:rPr>
                    <w:t>损耗量</w:t>
                  </w:r>
                  <w:r>
                    <w:rPr>
                      <w:rFonts w:hint="eastAsia"/>
                      <w:b/>
                      <w:bCs/>
                      <w:color w:val="auto"/>
                      <w:szCs w:val="21"/>
                    </w:rPr>
                    <w:t>(</w:t>
                  </w:r>
                  <w:r>
                    <w:rPr>
                      <w:b/>
                      <w:bCs/>
                      <w:color w:val="auto"/>
                      <w:szCs w:val="21"/>
                    </w:rPr>
                    <w:t>m</w:t>
                  </w:r>
                  <w:r>
                    <w:rPr>
                      <w:b/>
                      <w:bCs/>
                      <w:color w:val="auto"/>
                      <w:szCs w:val="21"/>
                      <w:vertAlign w:val="superscript"/>
                    </w:rPr>
                    <w:t>3</w:t>
                  </w:r>
                  <w:r>
                    <w:rPr>
                      <w:b/>
                      <w:bCs/>
                      <w:color w:val="auto"/>
                      <w:szCs w:val="21"/>
                    </w:rPr>
                    <w:t>/</w:t>
                  </w:r>
                  <w:r>
                    <w:rPr>
                      <w:rFonts w:hint="eastAsia"/>
                      <w:b/>
                      <w:bCs/>
                      <w:color w:val="auto"/>
                      <w:szCs w:val="21"/>
                    </w:rPr>
                    <w:t>a)</w:t>
                  </w:r>
                </w:p>
              </w:tc>
              <w:tc>
                <w:tcPr>
                  <w:tcW w:w="1155" w:type="pct"/>
                  <w:noWrap w:val="0"/>
                  <w:vAlign w:val="center"/>
                </w:tcPr>
                <w:p w14:paraId="3C1CB0C9">
                  <w:pPr>
                    <w:adjustRightInd w:val="0"/>
                    <w:snapToGrid w:val="0"/>
                    <w:jc w:val="center"/>
                    <w:rPr>
                      <w:b/>
                      <w:bCs/>
                      <w:snapToGrid w:val="0"/>
                      <w:color w:val="auto"/>
                      <w:szCs w:val="21"/>
                    </w:rPr>
                  </w:pPr>
                  <w:r>
                    <w:rPr>
                      <w:rFonts w:hint="eastAsia"/>
                      <w:b/>
                      <w:bCs/>
                      <w:snapToGrid w:val="0"/>
                      <w:color w:val="auto"/>
                      <w:szCs w:val="21"/>
                    </w:rPr>
                    <w:t>排水量</w:t>
                  </w:r>
                  <w:r>
                    <w:rPr>
                      <w:rFonts w:hint="eastAsia"/>
                      <w:b/>
                      <w:bCs/>
                      <w:color w:val="auto"/>
                      <w:szCs w:val="21"/>
                    </w:rPr>
                    <w:t>(</w:t>
                  </w:r>
                  <w:r>
                    <w:rPr>
                      <w:b/>
                      <w:bCs/>
                      <w:color w:val="auto"/>
                      <w:szCs w:val="21"/>
                    </w:rPr>
                    <w:t>m</w:t>
                  </w:r>
                  <w:r>
                    <w:rPr>
                      <w:b/>
                      <w:bCs/>
                      <w:color w:val="auto"/>
                      <w:szCs w:val="21"/>
                      <w:vertAlign w:val="superscript"/>
                    </w:rPr>
                    <w:t>3</w:t>
                  </w:r>
                  <w:r>
                    <w:rPr>
                      <w:b/>
                      <w:bCs/>
                      <w:color w:val="auto"/>
                      <w:szCs w:val="21"/>
                    </w:rPr>
                    <w:t>/</w:t>
                  </w:r>
                  <w:r>
                    <w:rPr>
                      <w:rFonts w:hint="eastAsia"/>
                      <w:b/>
                      <w:bCs/>
                      <w:color w:val="auto"/>
                      <w:szCs w:val="21"/>
                    </w:rPr>
                    <w:t>a)</w:t>
                  </w:r>
                </w:p>
              </w:tc>
            </w:tr>
            <w:tr w14:paraId="369863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79" w:type="pct"/>
                  <w:noWrap w:val="0"/>
                  <w:vAlign w:val="center"/>
                </w:tcPr>
                <w:p w14:paraId="041D6BCE">
                  <w:pPr>
                    <w:adjustRightInd w:val="0"/>
                    <w:snapToGrid w:val="0"/>
                    <w:jc w:val="center"/>
                    <w:rPr>
                      <w:snapToGrid w:val="0"/>
                      <w:color w:val="auto"/>
                      <w:szCs w:val="21"/>
                    </w:rPr>
                  </w:pPr>
                  <w:r>
                    <w:rPr>
                      <w:rFonts w:hint="eastAsia"/>
                      <w:snapToGrid w:val="0"/>
                      <w:color w:val="auto"/>
                      <w:szCs w:val="21"/>
                    </w:rPr>
                    <w:t>生活用水</w:t>
                  </w:r>
                </w:p>
              </w:tc>
              <w:tc>
                <w:tcPr>
                  <w:tcW w:w="1214" w:type="pct"/>
                  <w:noWrap w:val="0"/>
                  <w:vAlign w:val="center"/>
                </w:tcPr>
                <w:p w14:paraId="3DDCDFDA">
                  <w:pPr>
                    <w:adjustRightInd w:val="0"/>
                    <w:snapToGrid w:val="0"/>
                    <w:jc w:val="center"/>
                    <w:rPr>
                      <w:rFonts w:hint="default" w:eastAsia="宋体"/>
                      <w:snapToGrid w:val="0"/>
                      <w:color w:val="auto"/>
                      <w:szCs w:val="21"/>
                      <w:lang w:val="en-US" w:eastAsia="zh-CN"/>
                    </w:rPr>
                  </w:pPr>
                  <w:r>
                    <w:rPr>
                      <w:rFonts w:hint="eastAsia"/>
                      <w:snapToGrid w:val="0"/>
                      <w:color w:val="auto"/>
                      <w:szCs w:val="21"/>
                      <w:lang w:val="en-US" w:eastAsia="zh-CN"/>
                    </w:rPr>
                    <w:t>840</w:t>
                  </w:r>
                </w:p>
              </w:tc>
              <w:tc>
                <w:tcPr>
                  <w:tcW w:w="1150" w:type="pct"/>
                  <w:noWrap w:val="0"/>
                  <w:vAlign w:val="center"/>
                </w:tcPr>
                <w:p w14:paraId="037C7DD0">
                  <w:pPr>
                    <w:adjustRightInd w:val="0"/>
                    <w:snapToGrid w:val="0"/>
                    <w:jc w:val="center"/>
                    <w:rPr>
                      <w:rFonts w:hint="default" w:eastAsia="宋体"/>
                      <w:snapToGrid w:val="0"/>
                      <w:color w:val="auto"/>
                      <w:szCs w:val="21"/>
                      <w:lang w:val="en-US" w:eastAsia="zh-CN"/>
                    </w:rPr>
                  </w:pPr>
                  <w:r>
                    <w:rPr>
                      <w:rFonts w:hint="eastAsia"/>
                      <w:snapToGrid w:val="0"/>
                      <w:color w:val="auto"/>
                      <w:szCs w:val="21"/>
                      <w:lang w:val="en-US" w:eastAsia="zh-CN"/>
                    </w:rPr>
                    <w:t>168</w:t>
                  </w:r>
                </w:p>
              </w:tc>
              <w:tc>
                <w:tcPr>
                  <w:tcW w:w="1155" w:type="pct"/>
                  <w:noWrap w:val="0"/>
                  <w:vAlign w:val="center"/>
                </w:tcPr>
                <w:p w14:paraId="5DCDD10C">
                  <w:pPr>
                    <w:adjustRightInd w:val="0"/>
                    <w:snapToGrid w:val="0"/>
                    <w:jc w:val="center"/>
                    <w:rPr>
                      <w:rFonts w:hint="default" w:eastAsia="宋体"/>
                      <w:snapToGrid w:val="0"/>
                      <w:color w:val="auto"/>
                      <w:szCs w:val="21"/>
                      <w:lang w:val="en-US" w:eastAsia="zh-CN"/>
                    </w:rPr>
                  </w:pPr>
                  <w:r>
                    <w:rPr>
                      <w:rFonts w:hint="eastAsia"/>
                      <w:snapToGrid w:val="0"/>
                      <w:color w:val="auto"/>
                      <w:szCs w:val="21"/>
                      <w:lang w:val="en-US" w:eastAsia="zh-CN"/>
                    </w:rPr>
                    <w:t>672</w:t>
                  </w:r>
                </w:p>
              </w:tc>
            </w:tr>
            <w:tr w14:paraId="4E9996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79" w:type="pct"/>
                  <w:noWrap w:val="0"/>
                  <w:vAlign w:val="center"/>
                </w:tcPr>
                <w:p w14:paraId="63C4873D">
                  <w:pPr>
                    <w:adjustRightInd w:val="0"/>
                    <w:snapToGrid w:val="0"/>
                    <w:jc w:val="center"/>
                    <w:rPr>
                      <w:snapToGrid w:val="0"/>
                      <w:color w:val="auto"/>
                      <w:szCs w:val="21"/>
                    </w:rPr>
                  </w:pPr>
                  <w:r>
                    <w:rPr>
                      <w:rFonts w:hint="eastAsia"/>
                      <w:snapToGrid w:val="0"/>
                      <w:color w:val="auto"/>
                      <w:szCs w:val="21"/>
                    </w:rPr>
                    <w:t>钣喷中心地面拖地用水</w:t>
                  </w:r>
                </w:p>
              </w:tc>
              <w:tc>
                <w:tcPr>
                  <w:tcW w:w="1214" w:type="pct"/>
                  <w:noWrap w:val="0"/>
                  <w:vAlign w:val="center"/>
                </w:tcPr>
                <w:p w14:paraId="46B3C600">
                  <w:pPr>
                    <w:adjustRightInd w:val="0"/>
                    <w:snapToGrid w:val="0"/>
                    <w:jc w:val="center"/>
                    <w:rPr>
                      <w:rFonts w:hint="default" w:eastAsia="宋体"/>
                      <w:snapToGrid w:val="0"/>
                      <w:color w:val="auto"/>
                      <w:szCs w:val="21"/>
                      <w:lang w:val="en-US" w:eastAsia="zh-CN"/>
                    </w:rPr>
                  </w:pPr>
                  <w:r>
                    <w:rPr>
                      <w:rFonts w:hint="eastAsia"/>
                      <w:snapToGrid w:val="0"/>
                      <w:color w:val="auto"/>
                      <w:szCs w:val="21"/>
                      <w:lang w:val="en-US" w:eastAsia="zh-CN"/>
                    </w:rPr>
                    <w:t>365</w:t>
                  </w:r>
                </w:p>
              </w:tc>
              <w:tc>
                <w:tcPr>
                  <w:tcW w:w="1150" w:type="pct"/>
                  <w:noWrap w:val="0"/>
                  <w:vAlign w:val="center"/>
                </w:tcPr>
                <w:p w14:paraId="0A26ECED">
                  <w:pPr>
                    <w:adjustRightInd w:val="0"/>
                    <w:snapToGrid w:val="0"/>
                    <w:jc w:val="center"/>
                    <w:rPr>
                      <w:rFonts w:hint="default" w:eastAsia="宋体"/>
                      <w:color w:val="auto"/>
                      <w:szCs w:val="21"/>
                      <w:lang w:val="en-US" w:eastAsia="zh-CN"/>
                    </w:rPr>
                  </w:pPr>
                  <w:r>
                    <w:rPr>
                      <w:rFonts w:hint="eastAsia"/>
                      <w:color w:val="auto"/>
                      <w:szCs w:val="21"/>
                      <w:lang w:val="en-US" w:eastAsia="zh-CN"/>
                    </w:rPr>
                    <w:t>18.25</w:t>
                  </w:r>
                </w:p>
              </w:tc>
              <w:tc>
                <w:tcPr>
                  <w:tcW w:w="1155" w:type="pct"/>
                  <w:noWrap w:val="0"/>
                  <w:vAlign w:val="center"/>
                </w:tcPr>
                <w:p w14:paraId="61194F3A">
                  <w:pPr>
                    <w:adjustRightInd w:val="0"/>
                    <w:snapToGrid w:val="0"/>
                    <w:jc w:val="center"/>
                    <w:rPr>
                      <w:rFonts w:hint="default" w:eastAsia="宋体"/>
                      <w:snapToGrid w:val="0"/>
                      <w:color w:val="auto"/>
                      <w:szCs w:val="21"/>
                      <w:lang w:val="en-US" w:eastAsia="zh-CN"/>
                    </w:rPr>
                  </w:pPr>
                  <w:r>
                    <w:rPr>
                      <w:rFonts w:hint="eastAsia" w:eastAsia="宋体"/>
                      <w:snapToGrid w:val="0"/>
                      <w:color w:val="auto"/>
                      <w:szCs w:val="21"/>
                      <w:lang w:val="en-US" w:eastAsia="zh-CN"/>
                    </w:rPr>
                    <w:t>346.75</w:t>
                  </w:r>
                </w:p>
              </w:tc>
            </w:tr>
            <w:tr w14:paraId="683F39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79" w:type="pct"/>
                  <w:noWrap w:val="0"/>
                  <w:vAlign w:val="center"/>
                </w:tcPr>
                <w:p w14:paraId="5A9E6CCF">
                  <w:pPr>
                    <w:adjustRightInd w:val="0"/>
                    <w:snapToGrid w:val="0"/>
                    <w:jc w:val="center"/>
                    <w:rPr>
                      <w:rFonts w:hint="default" w:eastAsia="宋体"/>
                      <w:snapToGrid w:val="0"/>
                      <w:color w:val="auto"/>
                      <w:szCs w:val="21"/>
                      <w:lang w:val="en-US" w:eastAsia="zh-CN"/>
                    </w:rPr>
                  </w:pPr>
                  <w:r>
                    <w:rPr>
                      <w:rFonts w:hint="eastAsia"/>
                      <w:snapToGrid w:val="0"/>
                      <w:color w:val="auto"/>
                      <w:szCs w:val="21"/>
                      <w:lang w:val="en-US" w:eastAsia="zh-CN"/>
                    </w:rPr>
                    <w:t>洗车用水</w:t>
                  </w:r>
                </w:p>
              </w:tc>
              <w:tc>
                <w:tcPr>
                  <w:tcW w:w="1214" w:type="pct"/>
                  <w:noWrap w:val="0"/>
                  <w:vAlign w:val="center"/>
                </w:tcPr>
                <w:p w14:paraId="6E8D16BC">
                  <w:pPr>
                    <w:adjustRightInd w:val="0"/>
                    <w:snapToGrid w:val="0"/>
                    <w:jc w:val="center"/>
                    <w:rPr>
                      <w:rFonts w:hint="default" w:eastAsia="宋体"/>
                      <w:snapToGrid w:val="0"/>
                      <w:color w:val="auto"/>
                      <w:szCs w:val="21"/>
                      <w:lang w:val="en-US" w:eastAsia="zh-CN"/>
                    </w:rPr>
                  </w:pPr>
                  <w:r>
                    <w:rPr>
                      <w:rFonts w:hint="eastAsia" w:eastAsia="宋体"/>
                      <w:snapToGrid w:val="0"/>
                      <w:color w:val="auto"/>
                      <w:szCs w:val="21"/>
                      <w:lang w:val="en-US" w:eastAsia="zh-CN"/>
                    </w:rPr>
                    <w:t>550</w:t>
                  </w:r>
                </w:p>
              </w:tc>
              <w:tc>
                <w:tcPr>
                  <w:tcW w:w="1150" w:type="pct"/>
                  <w:noWrap w:val="0"/>
                  <w:vAlign w:val="center"/>
                </w:tcPr>
                <w:p w14:paraId="25E0414C">
                  <w:pPr>
                    <w:adjustRightInd w:val="0"/>
                    <w:snapToGrid w:val="0"/>
                    <w:jc w:val="center"/>
                    <w:rPr>
                      <w:rFonts w:hint="default" w:eastAsia="宋体"/>
                      <w:snapToGrid w:val="0"/>
                      <w:color w:val="auto"/>
                      <w:szCs w:val="21"/>
                      <w:lang w:val="en-US" w:eastAsia="zh-CN"/>
                    </w:rPr>
                  </w:pPr>
                  <w:r>
                    <w:rPr>
                      <w:rFonts w:hint="eastAsia"/>
                      <w:snapToGrid w:val="0"/>
                      <w:color w:val="auto"/>
                      <w:szCs w:val="21"/>
                      <w:lang w:val="en-US" w:eastAsia="zh-CN"/>
                    </w:rPr>
                    <w:t>55</w:t>
                  </w:r>
                </w:p>
              </w:tc>
              <w:tc>
                <w:tcPr>
                  <w:tcW w:w="1155" w:type="pct"/>
                  <w:noWrap w:val="0"/>
                  <w:vAlign w:val="center"/>
                </w:tcPr>
                <w:p w14:paraId="54DB33EF">
                  <w:pPr>
                    <w:adjustRightInd w:val="0"/>
                    <w:snapToGrid w:val="0"/>
                    <w:jc w:val="center"/>
                    <w:rPr>
                      <w:rFonts w:hint="default" w:eastAsia="宋体"/>
                      <w:snapToGrid w:val="0"/>
                      <w:color w:val="auto"/>
                      <w:szCs w:val="21"/>
                      <w:lang w:val="en-US" w:eastAsia="zh-CN"/>
                    </w:rPr>
                  </w:pPr>
                  <w:r>
                    <w:rPr>
                      <w:rFonts w:hint="eastAsia" w:eastAsia="宋体"/>
                      <w:snapToGrid w:val="0"/>
                      <w:color w:val="auto"/>
                      <w:szCs w:val="21"/>
                      <w:lang w:val="en-US" w:eastAsia="zh-CN"/>
                    </w:rPr>
                    <w:t>495</w:t>
                  </w:r>
                </w:p>
              </w:tc>
            </w:tr>
            <w:tr w14:paraId="0DD824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79" w:type="pct"/>
                  <w:noWrap w:val="0"/>
                  <w:vAlign w:val="center"/>
                </w:tcPr>
                <w:p w14:paraId="56DDCBFC">
                  <w:pPr>
                    <w:adjustRightInd w:val="0"/>
                    <w:snapToGrid w:val="0"/>
                    <w:jc w:val="center"/>
                    <w:rPr>
                      <w:color w:val="auto"/>
                      <w:szCs w:val="21"/>
                    </w:rPr>
                  </w:pPr>
                  <w:r>
                    <w:rPr>
                      <w:rFonts w:hint="eastAsia"/>
                      <w:color w:val="auto"/>
                      <w:szCs w:val="21"/>
                    </w:rPr>
                    <w:t>合计</w:t>
                  </w:r>
                </w:p>
              </w:tc>
              <w:tc>
                <w:tcPr>
                  <w:tcW w:w="1214" w:type="pct"/>
                  <w:noWrap w:val="0"/>
                  <w:vAlign w:val="center"/>
                </w:tcPr>
                <w:p w14:paraId="4B116697">
                  <w:pPr>
                    <w:adjustRightInd w:val="0"/>
                    <w:snapToGrid w:val="0"/>
                    <w:jc w:val="center"/>
                    <w:rPr>
                      <w:rFonts w:hint="default" w:eastAsia="宋体"/>
                      <w:snapToGrid w:val="0"/>
                      <w:color w:val="auto"/>
                      <w:szCs w:val="21"/>
                      <w:lang w:val="en-US" w:eastAsia="zh-CN"/>
                    </w:rPr>
                  </w:pPr>
                  <w:r>
                    <w:rPr>
                      <w:rFonts w:hint="eastAsia"/>
                      <w:snapToGrid w:val="0"/>
                      <w:color w:val="auto"/>
                      <w:szCs w:val="21"/>
                      <w:lang w:val="en-US" w:eastAsia="zh-CN"/>
                    </w:rPr>
                    <w:t>1755</w:t>
                  </w:r>
                </w:p>
              </w:tc>
              <w:tc>
                <w:tcPr>
                  <w:tcW w:w="1150" w:type="pct"/>
                  <w:noWrap w:val="0"/>
                  <w:vAlign w:val="center"/>
                </w:tcPr>
                <w:p w14:paraId="676B9418">
                  <w:pPr>
                    <w:adjustRightInd w:val="0"/>
                    <w:snapToGrid w:val="0"/>
                    <w:jc w:val="center"/>
                    <w:rPr>
                      <w:rFonts w:hint="default" w:eastAsia="宋体"/>
                      <w:snapToGrid w:val="0"/>
                      <w:color w:val="auto"/>
                      <w:szCs w:val="21"/>
                      <w:lang w:val="en-US" w:eastAsia="zh-CN"/>
                    </w:rPr>
                  </w:pPr>
                  <w:r>
                    <w:rPr>
                      <w:rFonts w:hint="eastAsia"/>
                      <w:snapToGrid w:val="0"/>
                      <w:color w:val="auto"/>
                      <w:szCs w:val="21"/>
                      <w:lang w:val="en-US" w:eastAsia="zh-CN"/>
                    </w:rPr>
                    <w:t>241.25</w:t>
                  </w:r>
                </w:p>
              </w:tc>
              <w:tc>
                <w:tcPr>
                  <w:tcW w:w="1155" w:type="pct"/>
                  <w:noWrap w:val="0"/>
                  <w:vAlign w:val="center"/>
                </w:tcPr>
                <w:p w14:paraId="5F88AB9B">
                  <w:pPr>
                    <w:adjustRightInd w:val="0"/>
                    <w:snapToGrid w:val="0"/>
                    <w:jc w:val="center"/>
                    <w:rPr>
                      <w:rFonts w:hint="default" w:eastAsia="宋体"/>
                      <w:snapToGrid w:val="0"/>
                      <w:color w:val="auto"/>
                      <w:szCs w:val="21"/>
                      <w:lang w:val="en-US" w:eastAsia="zh-CN"/>
                    </w:rPr>
                  </w:pPr>
                  <w:r>
                    <w:rPr>
                      <w:rFonts w:hint="eastAsia"/>
                      <w:snapToGrid w:val="0"/>
                      <w:color w:val="auto"/>
                      <w:szCs w:val="21"/>
                      <w:lang w:val="en-US" w:eastAsia="zh-CN"/>
                    </w:rPr>
                    <w:t>1513.75</w:t>
                  </w:r>
                </w:p>
              </w:tc>
            </w:tr>
          </w:tbl>
          <w:p w14:paraId="19964686">
            <w:pPr>
              <w:pStyle w:val="63"/>
              <w:spacing w:line="360" w:lineRule="auto"/>
              <w:ind w:firstLine="0" w:firstLineChars="0"/>
              <w:jc w:val="center"/>
              <w:rPr>
                <w:rFonts w:hint="eastAsia"/>
                <w:color w:val="auto"/>
              </w:rPr>
            </w:pPr>
          </w:p>
          <w:p w14:paraId="3F869B97">
            <w:pPr>
              <w:pStyle w:val="63"/>
              <w:spacing w:line="360" w:lineRule="auto"/>
              <w:ind w:firstLine="0" w:firstLineChars="0"/>
              <w:jc w:val="center"/>
              <w:rPr>
                <w:rFonts w:hint="eastAsia"/>
                <w:color w:val="auto"/>
              </w:rPr>
            </w:pPr>
            <w:r>
              <w:rPr>
                <w:rFonts w:hint="eastAsia"/>
                <w:color w:val="auto"/>
              </w:rPr>
              <w:object>
                <v:shape id="_x0000_i1025" o:spt="75" type="#_x0000_t75" style="height:141pt;width:323.1pt;" o:ole="t" filled="f" o:preferrelative="t" stroked="f" coordsize="21600,21600">
                  <v:path/>
                  <v:fill on="f" focussize="0,0"/>
                  <v:stroke on="f"/>
                  <v:imagedata r:id="rId14" cropright="1388f" cropbottom="24967f" o:title=""/>
                  <o:lock v:ext="edit" aspectratio="t"/>
                  <w10:wrap type="none"/>
                  <w10:anchorlock/>
                </v:shape>
                <o:OLEObject Type="Embed" ProgID="Visio.Drawing.11" ShapeID="_x0000_i1025" DrawAspect="Content" ObjectID="_1468075725" r:id="rId13">
                  <o:LockedField>false</o:LockedField>
                </o:OLEObject>
              </w:object>
            </w:r>
          </w:p>
          <w:p w14:paraId="711D4418">
            <w:pPr>
              <w:pStyle w:val="80"/>
              <w:ind w:firstLine="0" w:firstLineChars="0"/>
              <w:jc w:val="center"/>
              <w:rPr>
                <w:rFonts w:hint="eastAsia"/>
                <w:color w:val="auto"/>
              </w:rPr>
            </w:pPr>
            <w:r>
              <w:rPr>
                <w:rFonts w:hint="eastAsia"/>
                <w:b/>
                <w:bCs/>
                <w:color w:val="auto"/>
              </w:rPr>
              <w:t>图2-</w:t>
            </w:r>
            <w:r>
              <w:rPr>
                <w:rFonts w:hint="eastAsia"/>
                <w:b/>
                <w:bCs/>
                <w:color w:val="auto"/>
                <w:lang w:val="en-US" w:eastAsia="zh-CN"/>
              </w:rPr>
              <w:t>3</w:t>
            </w:r>
            <w:r>
              <w:rPr>
                <w:b/>
                <w:bCs/>
                <w:color w:val="auto"/>
              </w:rPr>
              <w:t xml:space="preserve"> </w:t>
            </w:r>
            <w:r>
              <w:rPr>
                <w:rFonts w:hint="eastAsia"/>
                <w:b/>
                <w:bCs/>
                <w:color w:val="auto"/>
              </w:rPr>
              <w:t xml:space="preserve"> 项目水平衡图  单位：m</w:t>
            </w:r>
            <w:r>
              <w:rPr>
                <w:rFonts w:hint="eastAsia"/>
                <w:b/>
                <w:bCs/>
                <w:color w:val="auto"/>
                <w:vertAlign w:val="superscript"/>
              </w:rPr>
              <w:t>3</w:t>
            </w:r>
            <w:r>
              <w:rPr>
                <w:rFonts w:hint="eastAsia"/>
                <w:b/>
                <w:bCs/>
                <w:color w:val="auto"/>
              </w:rPr>
              <w:t>/a</w:t>
            </w:r>
          </w:p>
          <w:p w14:paraId="6E357FEB">
            <w:pPr>
              <w:pStyle w:val="80"/>
              <w:ind w:firstLine="480"/>
              <w:rPr>
                <w:color w:val="auto"/>
              </w:rPr>
            </w:pPr>
            <w:r>
              <w:rPr>
                <w:color w:val="auto"/>
              </w:rPr>
              <w:t>（2）供电</w:t>
            </w:r>
          </w:p>
          <w:p w14:paraId="2D781F62">
            <w:pPr>
              <w:pStyle w:val="80"/>
              <w:ind w:firstLine="480"/>
              <w:rPr>
                <w:color w:val="auto"/>
                <w:szCs w:val="21"/>
              </w:rPr>
            </w:pPr>
            <w:r>
              <w:rPr>
                <w:color w:val="auto"/>
              </w:rPr>
              <w:t>项目供电由市政</w:t>
            </w:r>
            <w:r>
              <w:rPr>
                <w:rFonts w:hint="eastAsia"/>
                <w:color w:val="auto"/>
              </w:rPr>
              <w:t>电网</w:t>
            </w:r>
            <w:r>
              <w:rPr>
                <w:color w:val="auto"/>
              </w:rPr>
              <w:t>供给</w:t>
            </w:r>
            <w:r>
              <w:rPr>
                <w:color w:val="auto"/>
                <w:szCs w:val="21"/>
              </w:rPr>
              <w:t>。</w:t>
            </w:r>
          </w:p>
          <w:p w14:paraId="50E2C969">
            <w:pPr>
              <w:pStyle w:val="80"/>
              <w:ind w:firstLine="480"/>
              <w:rPr>
                <w:color w:val="auto"/>
                <w:szCs w:val="21"/>
              </w:rPr>
            </w:pPr>
            <w:r>
              <w:rPr>
                <w:color w:val="auto"/>
                <w:szCs w:val="21"/>
              </w:rPr>
              <w:t>（3）</w:t>
            </w:r>
            <w:r>
              <w:rPr>
                <w:color w:val="auto"/>
              </w:rPr>
              <w:t>供暖制冷</w:t>
            </w:r>
          </w:p>
          <w:p w14:paraId="4ACD0FB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rPr>
            </w:pPr>
            <w:r>
              <w:rPr>
                <w:rFonts w:hint="eastAsia"/>
                <w:color w:val="auto"/>
                <w:sz w:val="24"/>
                <w:szCs w:val="32"/>
                <w:lang w:val="en-US" w:eastAsia="zh-CN"/>
              </w:rPr>
              <w:t>服务中心及办公区供暖制冷采用空调</w:t>
            </w:r>
            <w:r>
              <w:rPr>
                <w:color w:val="auto"/>
                <w:sz w:val="24"/>
                <w:szCs w:val="32"/>
              </w:rPr>
              <w:t>。</w:t>
            </w:r>
          </w:p>
        </w:tc>
      </w:tr>
      <w:tr w14:paraId="5EB51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14" w:type="dxa"/>
            <w:noWrap w:val="0"/>
            <w:vAlign w:val="center"/>
          </w:tcPr>
          <w:p w14:paraId="55BC51D8">
            <w:pPr>
              <w:pStyle w:val="22"/>
              <w:adjustRightInd w:val="0"/>
              <w:snapToGrid w:val="0"/>
              <w:spacing w:before="0" w:beforeAutospacing="0" w:after="0" w:afterAutospacing="0"/>
              <w:jc w:val="center"/>
              <w:rPr>
                <w:rFonts w:ascii="Times New Roman" w:hAnsi="Times New Roman"/>
                <w:color w:val="auto"/>
                <w:szCs w:val="24"/>
              </w:rPr>
            </w:pPr>
            <w:r>
              <w:rPr>
                <w:rFonts w:ascii="Times New Roman" w:hAnsi="Times New Roman"/>
                <w:color w:val="auto"/>
                <w:szCs w:val="24"/>
              </w:rPr>
              <w:t>工艺流程和产排污环节</w:t>
            </w:r>
          </w:p>
        </w:tc>
        <w:tc>
          <w:tcPr>
            <w:tcW w:w="8346" w:type="dxa"/>
            <w:noWrap w:val="0"/>
            <w:vAlign w:val="top"/>
          </w:tcPr>
          <w:p w14:paraId="2D3FA91A">
            <w:pPr>
              <w:pStyle w:val="63"/>
              <w:spacing w:before="120" w:beforeLines="50" w:line="360" w:lineRule="auto"/>
              <w:ind w:firstLine="482"/>
              <w:rPr>
                <w:rFonts w:hAnsi="Times New Roman" w:cs="Times New Roman"/>
                <w:b/>
                <w:bCs/>
                <w:color w:val="auto"/>
                <w:szCs w:val="24"/>
              </w:rPr>
            </w:pPr>
            <w:r>
              <w:rPr>
                <w:rFonts w:hint="eastAsia" w:hAnsi="Times New Roman" w:cs="Times New Roman"/>
                <w:b/>
                <w:bCs/>
                <w:color w:val="auto"/>
                <w:szCs w:val="24"/>
              </w:rPr>
              <w:t>1</w:t>
            </w:r>
            <w:r>
              <w:rPr>
                <w:rFonts w:hAnsi="Times New Roman" w:cs="Times New Roman"/>
                <w:b/>
                <w:bCs/>
                <w:color w:val="auto"/>
                <w:szCs w:val="24"/>
              </w:rPr>
              <w:t>、</w:t>
            </w:r>
            <w:r>
              <w:rPr>
                <w:rFonts w:hint="eastAsia" w:hAnsi="Times New Roman" w:cs="Times New Roman"/>
                <w:b/>
                <w:bCs/>
                <w:color w:val="auto"/>
                <w:szCs w:val="24"/>
                <w:lang w:val="en-US" w:eastAsia="zh-CN"/>
              </w:rPr>
              <w:t>施工</w:t>
            </w:r>
            <w:r>
              <w:rPr>
                <w:rFonts w:hAnsi="Times New Roman" w:cs="Times New Roman"/>
                <w:b/>
                <w:bCs/>
                <w:color w:val="auto"/>
                <w:szCs w:val="24"/>
              </w:rPr>
              <w:t>期工艺流程</w:t>
            </w:r>
          </w:p>
          <w:p w14:paraId="76E7E0ED">
            <w:pPr>
              <w:pStyle w:val="6"/>
              <w:spacing w:line="360" w:lineRule="auto"/>
              <w:ind w:firstLine="480" w:firstLineChars="200"/>
              <w:jc w:val="left"/>
              <w:rPr>
                <w:rFonts w:hint="eastAsia"/>
                <w:color w:val="auto"/>
                <w:kern w:val="0"/>
                <w:lang w:val="en-US" w:eastAsia="zh-CN"/>
              </w:rPr>
            </w:pPr>
            <w:r>
              <w:rPr>
                <w:rFonts w:hint="eastAsia"/>
                <w:color w:val="auto"/>
                <w:kern w:val="0"/>
                <w:lang w:val="en-US" w:eastAsia="zh-CN"/>
              </w:rPr>
              <w:t>本项目为新建项目，在租赁的已建建筑内进行项目建设，施工期不进行土建施工。服务中心和钣喷中心已建成，洗车房未建设，本项目施工期包含洗车房运行设备及环保设备的安装与调试、喷烤漆房3#设备安装及废气处理设施的改造。</w:t>
            </w:r>
          </w:p>
          <w:p w14:paraId="1E70D5F1">
            <w:pPr>
              <w:pStyle w:val="6"/>
              <w:spacing w:line="360" w:lineRule="auto"/>
              <w:ind w:firstLine="480" w:firstLineChars="200"/>
              <w:jc w:val="left"/>
              <w:rPr>
                <w:color w:val="auto"/>
                <w:kern w:val="0"/>
              </w:rPr>
            </w:pPr>
            <w:r>
              <w:rPr>
                <w:rFonts w:hint="eastAsia"/>
                <w:color w:val="auto"/>
                <w:kern w:val="0"/>
                <w:lang w:val="en-US" w:eastAsia="zh-CN"/>
              </w:rPr>
              <w:t>施工期污染主要为设备安装人员产生的生活污水、生活垃圾，设备安装过程产生的噪声、废包装材料等，所有安装施工在室内进行。</w:t>
            </w:r>
          </w:p>
          <w:p w14:paraId="23753EA8">
            <w:pPr>
              <w:pStyle w:val="63"/>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Ansi="Times New Roman" w:cs="Times New Roman"/>
                <w:b/>
                <w:bCs/>
                <w:color w:val="auto"/>
                <w:szCs w:val="24"/>
              </w:rPr>
            </w:pPr>
            <w:r>
              <w:rPr>
                <w:rFonts w:hint="eastAsia" w:hAnsi="Times New Roman" w:cs="Times New Roman"/>
                <w:b/>
                <w:bCs/>
                <w:color w:val="auto"/>
                <w:szCs w:val="24"/>
                <w:lang w:val="en-US" w:eastAsia="zh-CN"/>
              </w:rPr>
              <w:t>2</w:t>
            </w:r>
            <w:r>
              <w:rPr>
                <w:rFonts w:hAnsi="Times New Roman" w:cs="Times New Roman"/>
                <w:b/>
                <w:bCs/>
                <w:color w:val="auto"/>
                <w:szCs w:val="24"/>
              </w:rPr>
              <w:t>、运营期工艺流程</w:t>
            </w:r>
          </w:p>
          <w:p w14:paraId="555970A7">
            <w:pPr>
              <w:pStyle w:val="6"/>
              <w:spacing w:line="360" w:lineRule="auto"/>
              <w:ind w:firstLine="480" w:firstLineChars="200"/>
              <w:jc w:val="left"/>
              <w:rPr>
                <w:color w:val="auto"/>
                <w:kern w:val="0"/>
              </w:rPr>
            </w:pPr>
            <w:r>
              <w:rPr>
                <w:rFonts w:hint="eastAsia"/>
                <w:color w:val="auto"/>
                <w:kern w:val="0"/>
                <w:lang w:val="en-US" w:eastAsia="zh-CN"/>
              </w:rPr>
              <w:t>项目</w:t>
            </w:r>
            <w:r>
              <w:rPr>
                <w:rFonts w:hint="eastAsia"/>
                <w:color w:val="auto"/>
                <w:kern w:val="0"/>
              </w:rPr>
              <w:t>主要产污环节为车辆保养维修环节，生产工艺如下</w:t>
            </w:r>
            <w:r>
              <w:rPr>
                <w:rFonts w:hint="eastAsia"/>
                <w:color w:val="auto"/>
                <w:kern w:val="0"/>
                <w:lang w:eastAsia="zh-CN"/>
              </w:rPr>
              <w:t>：</w:t>
            </w:r>
          </w:p>
          <w:p w14:paraId="27CA8CA2">
            <w:pPr>
              <w:pStyle w:val="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b/>
                <w:bCs/>
                <w:color w:val="auto"/>
                <w:szCs w:val="24"/>
              </w:rPr>
            </w:pPr>
            <w:r>
              <w:rPr>
                <w:color w:val="auto"/>
                <w:kern w:val="0"/>
              </w:rPr>
              <w:object>
                <v:shape id="_x0000_i1026" o:spt="75" type="#_x0000_t75" style="height:317.55pt;width:337.35pt;" o:ole="t" filled="f" o:preferrelative="t" stroked="f" coordsize="21600,21600">
                  <v:path/>
                  <v:fill on="f" focussize="0,0"/>
                  <v:stroke on="f"/>
                  <v:imagedata r:id="rId16" croptop="1717f" cropbottom="14078f" o:title=""/>
                  <o:lock v:ext="edit" aspectratio="t"/>
                  <w10:wrap type="none"/>
                  <w10:anchorlock/>
                </v:shape>
                <o:OLEObject Type="Embed" ProgID="Visio.Drawing.11" ShapeID="_x0000_i1026" DrawAspect="Content" ObjectID="_1468075726" r:id="rId15">
                  <o:LockedField>false</o:LockedField>
                </o:OLEObject>
              </w:object>
            </w:r>
          </w:p>
          <w:p w14:paraId="1DC3D5CD">
            <w:pPr>
              <w:pStyle w:val="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eastAsia"/>
                <w:b/>
                <w:bCs/>
                <w:color w:val="auto"/>
                <w:szCs w:val="24"/>
              </w:rPr>
            </w:pPr>
            <w:r>
              <w:rPr>
                <w:b/>
                <w:bCs/>
                <w:color w:val="auto"/>
                <w:szCs w:val="24"/>
              </w:rPr>
              <w:t>图</w:t>
            </w:r>
            <w:r>
              <w:rPr>
                <w:rFonts w:hint="eastAsia"/>
                <w:b/>
                <w:bCs/>
                <w:color w:val="auto"/>
                <w:szCs w:val="24"/>
              </w:rPr>
              <w:t>2-</w:t>
            </w:r>
            <w:r>
              <w:rPr>
                <w:rFonts w:hint="eastAsia"/>
                <w:b/>
                <w:bCs/>
                <w:color w:val="auto"/>
                <w:szCs w:val="24"/>
                <w:lang w:val="en-US" w:eastAsia="zh-CN"/>
              </w:rPr>
              <w:t>4</w:t>
            </w:r>
            <w:r>
              <w:rPr>
                <w:b/>
                <w:bCs/>
                <w:color w:val="auto"/>
                <w:szCs w:val="24"/>
              </w:rPr>
              <w:t xml:space="preserve"> </w:t>
            </w:r>
            <w:r>
              <w:rPr>
                <w:rFonts w:hint="eastAsia"/>
                <w:b/>
                <w:bCs/>
                <w:color w:val="auto"/>
                <w:szCs w:val="24"/>
              </w:rPr>
              <w:t xml:space="preserve"> 项目工艺流程及产污环节图</w:t>
            </w:r>
          </w:p>
          <w:p w14:paraId="58AB87B1">
            <w:pPr>
              <w:spacing w:line="360" w:lineRule="auto"/>
              <w:ind w:firstLine="468" w:firstLineChars="200"/>
              <w:rPr>
                <w:rFonts w:hint="eastAsia" w:ascii="Times New Roman" w:hAnsi="Times New Roman" w:eastAsia="宋体" w:cs="Times New Roman"/>
                <w:color w:val="auto"/>
                <w:spacing w:val="-3"/>
                <w:sz w:val="24"/>
              </w:rPr>
            </w:pPr>
            <w:r>
              <w:rPr>
                <w:rFonts w:hint="eastAsia" w:ascii="Times New Roman" w:hAnsi="Times New Roman" w:eastAsia="宋体" w:cs="Times New Roman"/>
                <w:color w:val="auto"/>
                <w:spacing w:val="-3"/>
                <w:sz w:val="24"/>
              </w:rPr>
              <w:t>工艺流程：</w:t>
            </w:r>
          </w:p>
          <w:p w14:paraId="32702715">
            <w:pPr>
              <w:spacing w:line="360" w:lineRule="auto"/>
              <w:ind w:firstLine="468" w:firstLineChars="200"/>
              <w:rPr>
                <w:rFonts w:hint="eastAsia" w:ascii="Times New Roman" w:hAnsi="Times New Roman" w:eastAsia="宋体" w:cs="Times New Roman"/>
                <w:color w:val="auto"/>
                <w:spacing w:val="-3"/>
                <w:sz w:val="24"/>
              </w:rPr>
            </w:pPr>
            <w:r>
              <w:rPr>
                <w:rFonts w:hint="eastAsia" w:ascii="Times New Roman" w:hAnsi="Times New Roman" w:eastAsia="宋体" w:cs="Times New Roman"/>
                <w:color w:val="auto"/>
                <w:spacing w:val="-3"/>
                <w:sz w:val="24"/>
              </w:rPr>
              <w:t>汽车驶入后先对汽车进行初步检查，确定汽车损坏原因及修理方式。确定后将车辆进行四轮定位，重新对车辆进行平衡。定位后根据车辆维修需求不同，维修方式如下：</w:t>
            </w:r>
          </w:p>
          <w:p w14:paraId="4712937B">
            <w:pPr>
              <w:spacing w:line="360" w:lineRule="auto"/>
              <w:ind w:firstLine="468" w:firstLineChars="200"/>
              <w:rPr>
                <w:rFonts w:hint="eastAsia" w:ascii="Times New Roman" w:hAnsi="Times New Roman" w:eastAsia="宋体" w:cs="Times New Roman"/>
                <w:color w:val="auto"/>
                <w:spacing w:val="-3"/>
                <w:sz w:val="24"/>
              </w:rPr>
            </w:pPr>
            <w:r>
              <w:rPr>
                <w:rFonts w:hint="eastAsia" w:ascii="Times New Roman" w:hAnsi="Times New Roman" w:eastAsia="宋体" w:cs="Times New Roman"/>
                <w:color w:val="auto"/>
                <w:spacing w:val="-3"/>
                <w:sz w:val="24"/>
              </w:rPr>
              <w:t>（1）更换零部件：主要包括对总成、零部件进行更换；如进行变速箱油、刹车油、动力转向油更换或刹车系统、传动系统、动力转向系统零件更换，及添加机油、机滤、空调滤芯、空气滤芯清洁、变速箱油、刹车油、玻璃液面检查、底盘螺栓、悬架的紧固等</w:t>
            </w:r>
            <w:r>
              <w:rPr>
                <w:rFonts w:hint="eastAsia" w:ascii="Times New Roman" w:hAnsi="Times New Roman" w:eastAsia="宋体" w:cs="Times New Roman"/>
                <w:color w:val="auto"/>
                <w:spacing w:val="-3"/>
                <w:sz w:val="24"/>
                <w:lang w:eastAsia="zh-CN"/>
              </w:rPr>
              <w:t>，</w:t>
            </w:r>
            <w:r>
              <w:rPr>
                <w:rFonts w:hint="eastAsia" w:ascii="Times New Roman" w:hAnsi="Times New Roman" w:eastAsia="宋体" w:cs="Times New Roman"/>
                <w:color w:val="auto"/>
                <w:spacing w:val="-3"/>
                <w:sz w:val="24"/>
                <w:lang w:val="en-US" w:eastAsia="zh-CN"/>
              </w:rPr>
              <w:t>此工序</w:t>
            </w:r>
            <w:r>
              <w:rPr>
                <w:rFonts w:hint="eastAsia" w:ascii="Times New Roman" w:hAnsi="Times New Roman" w:eastAsia="宋体" w:cs="Times New Roman"/>
                <w:color w:val="auto"/>
                <w:spacing w:val="-3"/>
                <w:sz w:val="24"/>
              </w:rPr>
              <w:t>会产生噪声</w:t>
            </w:r>
            <w:r>
              <w:rPr>
                <w:rFonts w:hint="eastAsia" w:ascii="Times New Roman" w:hAnsi="Times New Roman" w:eastAsia="宋体" w:cs="Times New Roman"/>
                <w:color w:val="auto"/>
                <w:spacing w:val="-3"/>
                <w:sz w:val="24"/>
                <w:lang w:eastAsia="zh-CN"/>
              </w:rPr>
              <w:t>、</w:t>
            </w:r>
            <w:r>
              <w:rPr>
                <w:rFonts w:hint="eastAsia" w:ascii="Times New Roman" w:hAnsi="Times New Roman" w:eastAsia="宋体" w:cs="Times New Roman"/>
                <w:color w:val="auto"/>
                <w:spacing w:val="-3"/>
                <w:sz w:val="24"/>
              </w:rPr>
              <w:t>废零部件</w:t>
            </w:r>
            <w:r>
              <w:rPr>
                <w:rFonts w:hint="eastAsia" w:ascii="Times New Roman" w:hAnsi="Times New Roman" w:eastAsia="宋体" w:cs="Times New Roman"/>
                <w:color w:val="auto"/>
                <w:spacing w:val="-3"/>
                <w:sz w:val="24"/>
                <w:lang w:eastAsia="zh-CN"/>
              </w:rPr>
              <w:t>、</w:t>
            </w:r>
            <w:r>
              <w:rPr>
                <w:rFonts w:hint="eastAsia" w:ascii="Times New Roman" w:hAnsi="Times New Roman" w:eastAsia="宋体" w:cs="Times New Roman"/>
                <w:color w:val="auto"/>
                <w:spacing w:val="-3"/>
                <w:sz w:val="24"/>
                <w:lang w:val="en-US" w:eastAsia="zh-CN"/>
              </w:rPr>
              <w:t>废机滤、废铅酸电池、废防冻液、废轮胎和废矿物油等</w:t>
            </w:r>
            <w:r>
              <w:rPr>
                <w:rFonts w:hint="eastAsia" w:ascii="Times New Roman" w:hAnsi="Times New Roman" w:eastAsia="宋体" w:cs="Times New Roman"/>
                <w:color w:val="auto"/>
                <w:spacing w:val="-3"/>
                <w:sz w:val="24"/>
              </w:rPr>
              <w:t>。</w:t>
            </w:r>
          </w:p>
          <w:p w14:paraId="7855948F">
            <w:pPr>
              <w:spacing w:line="360" w:lineRule="auto"/>
              <w:ind w:firstLine="468" w:firstLineChars="200"/>
              <w:rPr>
                <w:rFonts w:hint="eastAsia" w:ascii="Times New Roman" w:hAnsi="Times New Roman" w:eastAsia="宋体" w:cs="Times New Roman"/>
                <w:color w:val="auto"/>
                <w:spacing w:val="-3"/>
                <w:sz w:val="24"/>
              </w:rPr>
            </w:pPr>
            <w:r>
              <w:rPr>
                <w:rFonts w:hint="eastAsia" w:ascii="Times New Roman" w:hAnsi="Times New Roman" w:eastAsia="宋体" w:cs="Times New Roman"/>
                <w:color w:val="auto"/>
                <w:spacing w:val="-3"/>
                <w:sz w:val="24"/>
              </w:rPr>
              <w:t>（2）钣金整形、焊接：用于事故车辆外观零件的整形、恢复原有外观形状。钣金外形工艺流程为：拆卸、修复→旧漆剥落→焊接→打磨羽状边→防锈处理</w:t>
            </w:r>
            <w:r>
              <w:rPr>
                <w:rFonts w:hint="eastAsia" w:ascii="Times New Roman" w:hAnsi="Times New Roman" w:eastAsia="宋体" w:cs="Times New Roman"/>
                <w:color w:val="auto"/>
                <w:spacing w:val="-3"/>
                <w:sz w:val="24"/>
                <w:lang w:eastAsia="zh-CN"/>
              </w:rPr>
              <w:t>，</w:t>
            </w:r>
            <w:r>
              <w:rPr>
                <w:rFonts w:hint="eastAsia" w:ascii="Times New Roman" w:hAnsi="Times New Roman" w:eastAsia="宋体" w:cs="Times New Roman"/>
                <w:color w:val="auto"/>
                <w:spacing w:val="-3"/>
                <w:sz w:val="24"/>
                <w:lang w:val="en-US" w:eastAsia="zh-CN"/>
              </w:rPr>
              <w:t>焊接、打磨均在打磨房内进行</w:t>
            </w:r>
            <w:r>
              <w:rPr>
                <w:rFonts w:hint="eastAsia" w:ascii="Times New Roman" w:hAnsi="Times New Roman" w:eastAsia="宋体" w:cs="Times New Roman"/>
                <w:color w:val="auto"/>
                <w:spacing w:val="-3"/>
                <w:sz w:val="24"/>
                <w:lang w:eastAsia="zh-CN"/>
              </w:rPr>
              <w:t>。</w:t>
            </w:r>
            <w:r>
              <w:rPr>
                <w:rFonts w:hint="eastAsia" w:ascii="Times New Roman" w:hAnsi="Times New Roman" w:eastAsia="宋体" w:cs="Times New Roman"/>
                <w:color w:val="auto"/>
                <w:spacing w:val="-3"/>
                <w:sz w:val="24"/>
              </w:rPr>
              <w:t>在此过程中产生焊接废气、</w:t>
            </w:r>
            <w:r>
              <w:rPr>
                <w:rFonts w:hint="eastAsia" w:ascii="Times New Roman" w:hAnsi="Times New Roman" w:eastAsia="宋体" w:cs="Times New Roman"/>
                <w:color w:val="auto"/>
                <w:spacing w:val="-3"/>
                <w:sz w:val="24"/>
                <w:lang w:val="en-US" w:eastAsia="zh-CN"/>
              </w:rPr>
              <w:t>废刹车片、</w:t>
            </w:r>
            <w:r>
              <w:rPr>
                <w:rFonts w:hint="eastAsia" w:ascii="Times New Roman" w:hAnsi="Times New Roman" w:eastAsia="宋体" w:cs="Times New Roman"/>
                <w:color w:val="auto"/>
                <w:spacing w:val="-3"/>
                <w:sz w:val="24"/>
              </w:rPr>
              <w:t>废焊丝</w:t>
            </w:r>
            <w:r>
              <w:rPr>
                <w:rFonts w:hint="eastAsia" w:ascii="Times New Roman" w:hAnsi="Times New Roman" w:eastAsia="宋体" w:cs="Times New Roman"/>
                <w:color w:val="auto"/>
                <w:spacing w:val="-3"/>
                <w:sz w:val="24"/>
                <w:lang w:eastAsia="zh-CN"/>
              </w:rPr>
              <w:t>、</w:t>
            </w:r>
            <w:r>
              <w:rPr>
                <w:rFonts w:hint="eastAsia" w:ascii="Times New Roman" w:hAnsi="Times New Roman" w:eastAsia="宋体" w:cs="Times New Roman"/>
                <w:color w:val="auto"/>
                <w:spacing w:val="-3"/>
                <w:sz w:val="24"/>
              </w:rPr>
              <w:t>焊渣</w:t>
            </w:r>
            <w:r>
              <w:rPr>
                <w:rFonts w:hint="eastAsia" w:ascii="Times New Roman" w:hAnsi="Times New Roman" w:eastAsia="宋体" w:cs="Times New Roman"/>
                <w:color w:val="auto"/>
                <w:spacing w:val="-3"/>
                <w:sz w:val="24"/>
                <w:lang w:eastAsia="zh-CN"/>
              </w:rPr>
              <w:t>、</w:t>
            </w:r>
            <w:r>
              <w:rPr>
                <w:rFonts w:hint="eastAsia" w:ascii="Times New Roman" w:hAnsi="Times New Roman" w:eastAsia="宋体" w:cs="Times New Roman"/>
                <w:color w:val="auto"/>
                <w:spacing w:val="-3"/>
                <w:sz w:val="24"/>
                <w:lang w:val="en-US" w:eastAsia="zh-CN"/>
              </w:rPr>
              <w:t>打磨抛光废气、废打磨片</w:t>
            </w:r>
            <w:r>
              <w:rPr>
                <w:rFonts w:hint="eastAsia" w:cs="Times New Roman"/>
                <w:color w:val="auto"/>
                <w:spacing w:val="-3"/>
                <w:sz w:val="24"/>
                <w:lang w:val="en-US" w:eastAsia="zh-CN"/>
              </w:rPr>
              <w:t>和涂原子灰废气</w:t>
            </w:r>
            <w:r>
              <w:rPr>
                <w:rFonts w:hint="eastAsia" w:ascii="Times New Roman" w:hAnsi="Times New Roman" w:eastAsia="宋体" w:cs="Times New Roman"/>
                <w:color w:val="auto"/>
                <w:spacing w:val="-3"/>
                <w:sz w:val="24"/>
                <w:lang w:val="en-US" w:eastAsia="zh-CN"/>
              </w:rPr>
              <w:t>；废气处理过程中会产生废活性炭和废过滤棉</w:t>
            </w:r>
            <w:r>
              <w:rPr>
                <w:rFonts w:hint="eastAsia" w:ascii="Times New Roman" w:hAnsi="Times New Roman" w:eastAsia="宋体" w:cs="Times New Roman"/>
                <w:color w:val="auto"/>
                <w:spacing w:val="-3"/>
                <w:sz w:val="24"/>
              </w:rPr>
              <w:t>。</w:t>
            </w:r>
          </w:p>
          <w:p w14:paraId="28B45DE5">
            <w:pPr>
              <w:spacing w:line="360" w:lineRule="auto"/>
              <w:ind w:firstLine="468" w:firstLineChars="200"/>
              <w:rPr>
                <w:rFonts w:hint="default" w:ascii="Times New Roman" w:hAnsi="Times New Roman" w:eastAsia="宋体" w:cs="Times New Roman"/>
                <w:color w:val="auto"/>
                <w:spacing w:val="-3"/>
                <w:sz w:val="24"/>
                <w:lang w:val="en-US" w:eastAsia="zh-CN"/>
              </w:rPr>
            </w:pPr>
            <w:r>
              <w:rPr>
                <w:rFonts w:hint="eastAsia" w:ascii="Times New Roman" w:hAnsi="Times New Roman" w:eastAsia="宋体" w:cs="Times New Roman"/>
                <w:color w:val="auto"/>
                <w:spacing w:val="-3"/>
                <w:sz w:val="24"/>
              </w:rPr>
              <w:t>（3）</w:t>
            </w:r>
            <w:r>
              <w:rPr>
                <w:rFonts w:hint="eastAsia" w:ascii="Times New Roman" w:hAnsi="Times New Roman" w:eastAsia="宋体" w:cs="Times New Roman"/>
                <w:color w:val="auto"/>
                <w:spacing w:val="-3"/>
                <w:sz w:val="24"/>
                <w:lang w:eastAsia="zh-CN"/>
              </w:rPr>
              <w:t>喷</w:t>
            </w:r>
            <w:r>
              <w:rPr>
                <w:rFonts w:hint="eastAsia" w:ascii="Times New Roman" w:hAnsi="Times New Roman" w:eastAsia="宋体" w:cs="Times New Roman"/>
                <w:color w:val="auto"/>
                <w:spacing w:val="-3"/>
                <w:sz w:val="24"/>
              </w:rPr>
              <w:t>烤漆：用于将钣金外形工序修复后零件进行喷色，恢复车辆原有颜色。喷漆烤漆工艺流程为：施涂、打磨→喷涂、打磨中涂底漆→喷涂面漆、清漆→干燥→抛光</w:t>
            </w:r>
            <w:r>
              <w:rPr>
                <w:rFonts w:hint="eastAsia" w:ascii="Times New Roman" w:hAnsi="Times New Roman" w:eastAsia="宋体" w:cs="Times New Roman"/>
                <w:color w:val="auto"/>
                <w:spacing w:val="-3"/>
                <w:sz w:val="24"/>
                <w:lang w:eastAsia="zh-CN"/>
              </w:rPr>
              <w:t>，</w:t>
            </w:r>
            <w:r>
              <w:rPr>
                <w:rFonts w:hint="eastAsia" w:ascii="Times New Roman" w:hAnsi="Times New Roman" w:eastAsia="宋体" w:cs="Times New Roman"/>
                <w:color w:val="auto"/>
                <w:spacing w:val="-3"/>
                <w:sz w:val="24"/>
                <w:lang w:val="en-US" w:eastAsia="zh-CN"/>
              </w:rPr>
              <w:t>打磨、抛光均在打磨房内进行；烤漆在喷烤漆房内进行，</w:t>
            </w:r>
            <w:r>
              <w:rPr>
                <w:rFonts w:hint="eastAsia" w:cs="Times New Roman"/>
                <w:color w:val="auto"/>
                <w:spacing w:val="-3"/>
                <w:sz w:val="24"/>
                <w:lang w:val="en-US" w:eastAsia="zh-CN"/>
              </w:rPr>
              <w:t>喷烤漆</w:t>
            </w:r>
            <w:r>
              <w:rPr>
                <w:rFonts w:hint="eastAsia" w:ascii="Times New Roman" w:hAnsi="Times New Roman" w:eastAsia="宋体" w:cs="Times New Roman"/>
                <w:color w:val="auto"/>
                <w:spacing w:val="-3"/>
                <w:sz w:val="24"/>
                <w:lang w:val="en-US" w:eastAsia="zh-CN"/>
              </w:rPr>
              <w:t>均在喷烤漆房内进行，产生的VOCs可通过喷烤漆房的收集系统收集处理</w:t>
            </w:r>
            <w:r>
              <w:rPr>
                <w:rFonts w:hint="eastAsia" w:ascii="Times New Roman" w:hAnsi="Times New Roman" w:eastAsia="宋体" w:cs="Times New Roman"/>
                <w:color w:val="auto"/>
                <w:spacing w:val="-3"/>
                <w:sz w:val="24"/>
              </w:rPr>
              <w:t>。</w:t>
            </w:r>
            <w:r>
              <w:rPr>
                <w:rFonts w:hint="eastAsia" w:ascii="Times New Roman" w:hAnsi="Times New Roman" w:eastAsia="宋体" w:cs="Times New Roman"/>
                <w:color w:val="auto"/>
                <w:spacing w:val="-3"/>
                <w:sz w:val="24"/>
                <w:lang w:val="en-US" w:eastAsia="zh-CN"/>
              </w:rPr>
              <w:t>此工序会产生有机废气、废遮蔽纸、漆雾、打磨抛光废气和噪声；废气处理过程中会产生废活性炭、废过滤棉。</w:t>
            </w:r>
          </w:p>
          <w:p w14:paraId="7D1BB7B8">
            <w:pPr>
              <w:keepNext w:val="0"/>
              <w:keepLines w:val="0"/>
              <w:pageBreakBefore w:val="0"/>
              <w:widowControl w:val="0"/>
              <w:kinsoku/>
              <w:wordWrap/>
              <w:overflowPunct/>
              <w:topLinePunct w:val="0"/>
              <w:autoSpaceDE/>
              <w:autoSpaceDN/>
              <w:bidi w:val="0"/>
              <w:adjustRightInd/>
              <w:snapToGrid/>
              <w:spacing w:line="360" w:lineRule="auto"/>
              <w:ind w:firstLine="468" w:firstLineChars="200"/>
              <w:textAlignment w:val="auto"/>
              <w:rPr>
                <w:rFonts w:hint="eastAsia" w:ascii="Times New Roman" w:hAnsi="Times New Roman" w:cs="Times New Roman"/>
                <w:color w:val="auto"/>
                <w:sz w:val="24"/>
                <w:lang w:val="en-US" w:eastAsia="zh-CN"/>
              </w:rPr>
            </w:pPr>
            <w:r>
              <w:rPr>
                <w:rFonts w:hint="eastAsia" w:ascii="Times New Roman" w:hAnsi="Times New Roman" w:eastAsia="宋体" w:cs="Times New Roman"/>
                <w:color w:val="auto"/>
                <w:spacing w:val="-3"/>
                <w:sz w:val="24"/>
                <w:lang w:val="en-US" w:eastAsia="zh-CN"/>
              </w:rPr>
              <w:t>本项目设置</w:t>
            </w:r>
            <w:r>
              <w:rPr>
                <w:rFonts w:hint="eastAsia" w:cs="Times New Roman"/>
                <w:color w:val="auto"/>
                <w:spacing w:val="-3"/>
                <w:sz w:val="24"/>
                <w:lang w:val="en-US" w:eastAsia="zh-CN"/>
              </w:rPr>
              <w:t>3</w:t>
            </w:r>
            <w:r>
              <w:rPr>
                <w:rFonts w:hint="eastAsia" w:ascii="Times New Roman" w:hAnsi="Times New Roman" w:eastAsia="宋体" w:cs="Times New Roman"/>
                <w:color w:val="auto"/>
                <w:spacing w:val="-3"/>
                <w:sz w:val="24"/>
                <w:lang w:val="en-US" w:eastAsia="zh-CN"/>
              </w:rPr>
              <w:t>间喷烤漆房和1间中涂房，外形尺寸7600×6300×3550mm，房内尺寸7500×4500×2800mm，废气采用“上进风、下出风”，</w:t>
            </w:r>
            <w:r>
              <w:rPr>
                <w:rFonts w:hint="eastAsia" w:ascii="Times New Roman" w:hAnsi="Times New Roman" w:eastAsia="宋体" w:cs="Times New Roman"/>
                <w:color w:val="auto"/>
                <w:sz w:val="24"/>
                <w:lang w:eastAsia="zh-CN"/>
              </w:rPr>
              <w:t>喷烤漆房</w:t>
            </w:r>
            <w:r>
              <w:rPr>
                <w:rFonts w:ascii="Times New Roman" w:hAnsi="Times New Roman" w:cs="Times New Roman"/>
                <w:color w:val="auto"/>
                <w:sz w:val="24"/>
              </w:rPr>
              <w:t>运行时，门处于闭合状态，对</w:t>
            </w:r>
            <w:r>
              <w:rPr>
                <w:rFonts w:hint="eastAsia" w:ascii="Times New Roman" w:hAnsi="Times New Roman" w:cs="Times New Roman"/>
                <w:color w:val="auto"/>
                <w:sz w:val="24"/>
                <w:lang w:eastAsia="zh-CN"/>
              </w:rPr>
              <w:t>喷烤漆房</w:t>
            </w:r>
            <w:r>
              <w:rPr>
                <w:rFonts w:ascii="Times New Roman" w:hAnsi="Times New Roman" w:cs="Times New Roman"/>
                <w:color w:val="auto"/>
                <w:sz w:val="24"/>
              </w:rPr>
              <w:t>整体进行负压抽吸</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喷</w:t>
            </w:r>
            <w:r>
              <w:rPr>
                <w:rFonts w:hint="eastAsia" w:cs="Times New Roman"/>
                <w:color w:val="auto"/>
                <w:sz w:val="24"/>
                <w:lang w:val="en-US" w:eastAsia="zh-CN"/>
              </w:rPr>
              <w:t>烤</w:t>
            </w:r>
            <w:r>
              <w:rPr>
                <w:rFonts w:hint="eastAsia" w:ascii="Times New Roman" w:hAnsi="Times New Roman" w:cs="Times New Roman"/>
                <w:color w:val="auto"/>
                <w:sz w:val="24"/>
                <w:lang w:val="en-US" w:eastAsia="zh-CN"/>
              </w:rPr>
              <w:t>漆废气</w:t>
            </w:r>
            <w:r>
              <w:rPr>
                <w:rFonts w:hint="eastAsia" w:cs="Times New Roman"/>
                <w:color w:val="auto"/>
                <w:sz w:val="24"/>
                <w:lang w:val="en-US" w:eastAsia="zh-CN"/>
              </w:rPr>
              <w:t>及中涂废气</w:t>
            </w:r>
            <w:r>
              <w:rPr>
                <w:rFonts w:hint="eastAsia" w:ascii="Times New Roman" w:hAnsi="Times New Roman" w:cs="Times New Roman"/>
                <w:color w:val="auto"/>
                <w:sz w:val="24"/>
                <w:lang w:val="en-US" w:eastAsia="zh-CN"/>
              </w:rPr>
              <w:t>采用过滤棉+二级活性炭吸附设施处理后，尾气通过排气筒排放。</w:t>
            </w:r>
          </w:p>
          <w:p w14:paraId="3CFE364A">
            <w:pPr>
              <w:keepNext w:val="0"/>
              <w:keepLines w:val="0"/>
              <w:pageBreakBefore w:val="0"/>
              <w:widowControl w:val="0"/>
              <w:kinsoku/>
              <w:wordWrap/>
              <w:overflowPunct/>
              <w:topLinePunct w:val="0"/>
              <w:autoSpaceDE/>
              <w:autoSpaceDN/>
              <w:bidi w:val="0"/>
              <w:adjustRightInd/>
              <w:snapToGrid/>
              <w:spacing w:line="360" w:lineRule="auto"/>
              <w:ind w:firstLine="468" w:firstLineChars="200"/>
              <w:textAlignment w:val="auto"/>
              <w:rPr>
                <w:rFonts w:hint="default" w:ascii="Times New Roman" w:hAnsi="Times New Roman" w:eastAsia="宋体" w:cs="Times New Roman"/>
                <w:color w:val="auto"/>
                <w:spacing w:val="-3"/>
                <w:sz w:val="24"/>
                <w:lang w:val="en-US" w:eastAsia="zh-CN"/>
              </w:rPr>
            </w:pPr>
            <w:r>
              <w:rPr>
                <w:rFonts w:hint="eastAsia" w:ascii="Times New Roman" w:hAnsi="Times New Roman" w:eastAsia="宋体" w:cs="Times New Roman"/>
                <w:color w:val="auto"/>
                <w:spacing w:val="-3"/>
                <w:sz w:val="24"/>
                <w:lang w:val="en-US" w:eastAsia="zh-CN"/>
              </w:rPr>
              <w:t>调漆废气在密闭油漆储存室通过操作台收集后并入喷烤漆房3#废气处理设施“二级活性炭”处理后，尾气通过中涂房对应的DA003排气筒</w:t>
            </w:r>
            <w:r>
              <w:rPr>
                <w:rFonts w:hint="eastAsia" w:cs="Times New Roman"/>
                <w:color w:val="auto"/>
                <w:spacing w:val="-3"/>
                <w:sz w:val="24"/>
                <w:lang w:val="en-US" w:eastAsia="zh-CN"/>
              </w:rPr>
              <w:t>排放。</w:t>
            </w:r>
          </w:p>
          <w:tbl>
            <w:tblPr>
              <w:tblStyle w:val="26"/>
              <w:tblW w:w="82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00"/>
              <w:gridCol w:w="4101"/>
            </w:tblGrid>
            <w:tr w14:paraId="60C48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00" w:type="dxa"/>
                  <w:noWrap w:val="0"/>
                  <w:vAlign w:val="center"/>
                </w:tcPr>
                <w:p w14:paraId="47C7115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pacing w:val="-3"/>
                      <w:sz w:val="24"/>
                      <w:vertAlign w:val="baseline"/>
                      <w:lang w:eastAsia="zh-CN"/>
                    </w:rPr>
                  </w:pPr>
                  <w:r>
                    <w:rPr>
                      <w:rFonts w:hint="eastAsia" w:ascii="Times New Roman" w:hAnsi="Times New Roman" w:eastAsia="宋体" w:cs="Times New Roman"/>
                      <w:color w:val="auto"/>
                      <w:spacing w:val="-3"/>
                      <w:sz w:val="24"/>
                      <w:vertAlign w:val="baseline"/>
                      <w:lang w:eastAsia="zh-CN"/>
                    </w:rPr>
                    <w:drawing>
                      <wp:inline distT="0" distB="0" distL="114300" distR="114300">
                        <wp:extent cx="2447290" cy="1835785"/>
                        <wp:effectExtent l="0" t="0" r="10160" b="12065"/>
                        <wp:docPr id="3" name="图片 31" descr="喷烤漆房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1" descr="喷烤漆房外"/>
                                <pic:cNvPicPr>
                                  <a:picLocks noChangeAspect="1"/>
                                </pic:cNvPicPr>
                              </pic:nvPicPr>
                              <pic:blipFill>
                                <a:blip r:embed="rId17"/>
                                <a:stretch>
                                  <a:fillRect/>
                                </a:stretch>
                              </pic:blipFill>
                              <pic:spPr>
                                <a:xfrm>
                                  <a:off x="0" y="0"/>
                                  <a:ext cx="2447290" cy="1835785"/>
                                </a:xfrm>
                                <a:prstGeom prst="rect">
                                  <a:avLst/>
                                </a:prstGeom>
                                <a:noFill/>
                                <a:ln>
                                  <a:noFill/>
                                </a:ln>
                              </pic:spPr>
                            </pic:pic>
                          </a:graphicData>
                        </a:graphic>
                      </wp:inline>
                    </w:drawing>
                  </w:r>
                </w:p>
              </w:tc>
              <w:tc>
                <w:tcPr>
                  <w:tcW w:w="4101" w:type="dxa"/>
                  <w:noWrap w:val="0"/>
                  <w:vAlign w:val="center"/>
                </w:tcPr>
                <w:p w14:paraId="06A7E5E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pacing w:val="-3"/>
                      <w:sz w:val="24"/>
                      <w:vertAlign w:val="baseline"/>
                      <w:lang w:eastAsia="zh-CN"/>
                    </w:rPr>
                  </w:pPr>
                  <w:r>
                    <w:rPr>
                      <w:rFonts w:hint="eastAsia" w:ascii="Times New Roman" w:hAnsi="Times New Roman" w:eastAsia="宋体" w:cs="Times New Roman"/>
                      <w:color w:val="auto"/>
                      <w:spacing w:val="-3"/>
                      <w:sz w:val="24"/>
                      <w:vertAlign w:val="baseline"/>
                      <w:lang w:eastAsia="zh-CN"/>
                    </w:rPr>
                    <w:drawing>
                      <wp:inline distT="0" distB="0" distL="114300" distR="114300">
                        <wp:extent cx="2447290" cy="1835785"/>
                        <wp:effectExtent l="0" t="0" r="10160" b="12065"/>
                        <wp:docPr id="4" name="图片 52" descr="中涂房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2" descr="中涂房外"/>
                                <pic:cNvPicPr>
                                  <a:picLocks noChangeAspect="1"/>
                                </pic:cNvPicPr>
                              </pic:nvPicPr>
                              <pic:blipFill>
                                <a:blip r:embed="rId18"/>
                                <a:stretch>
                                  <a:fillRect/>
                                </a:stretch>
                              </pic:blipFill>
                              <pic:spPr>
                                <a:xfrm>
                                  <a:off x="0" y="0"/>
                                  <a:ext cx="2447290" cy="1835785"/>
                                </a:xfrm>
                                <a:prstGeom prst="rect">
                                  <a:avLst/>
                                </a:prstGeom>
                                <a:noFill/>
                                <a:ln>
                                  <a:noFill/>
                                </a:ln>
                              </pic:spPr>
                            </pic:pic>
                          </a:graphicData>
                        </a:graphic>
                      </wp:inline>
                    </w:drawing>
                  </w:r>
                </w:p>
              </w:tc>
            </w:tr>
            <w:tr w14:paraId="6E6E8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0" w:type="dxa"/>
                  <w:noWrap w:val="0"/>
                  <w:vAlign w:val="center"/>
                </w:tcPr>
                <w:p w14:paraId="10BA52A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pacing w:val="-3"/>
                      <w:sz w:val="24"/>
                      <w:vertAlign w:val="baseline"/>
                      <w:lang w:val="en-US" w:eastAsia="zh-CN"/>
                    </w:rPr>
                  </w:pPr>
                  <w:r>
                    <w:rPr>
                      <w:rFonts w:hint="eastAsia" w:ascii="Times New Roman" w:hAnsi="Times New Roman" w:eastAsia="宋体" w:cs="Times New Roman"/>
                      <w:color w:val="auto"/>
                      <w:spacing w:val="-3"/>
                      <w:sz w:val="24"/>
                      <w:vertAlign w:val="baseline"/>
                      <w:lang w:val="en-US" w:eastAsia="zh-CN"/>
                    </w:rPr>
                    <w:t>喷烤漆房</w:t>
                  </w:r>
                </w:p>
              </w:tc>
              <w:tc>
                <w:tcPr>
                  <w:tcW w:w="4101" w:type="dxa"/>
                  <w:noWrap w:val="0"/>
                  <w:vAlign w:val="center"/>
                </w:tcPr>
                <w:p w14:paraId="75FE313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pacing w:val="-3"/>
                      <w:sz w:val="24"/>
                      <w:vertAlign w:val="baseline"/>
                      <w:lang w:val="en-US" w:eastAsia="zh-CN"/>
                    </w:rPr>
                  </w:pPr>
                  <w:r>
                    <w:rPr>
                      <w:rFonts w:hint="eastAsia" w:ascii="Times New Roman" w:hAnsi="Times New Roman" w:eastAsia="宋体" w:cs="Times New Roman"/>
                      <w:color w:val="auto"/>
                      <w:spacing w:val="-3"/>
                      <w:sz w:val="24"/>
                      <w:vertAlign w:val="baseline"/>
                      <w:lang w:val="en-US" w:eastAsia="zh-CN"/>
                    </w:rPr>
                    <w:t>中涂房</w:t>
                  </w:r>
                </w:p>
              </w:tc>
            </w:tr>
            <w:tr w14:paraId="48558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0" w:type="dxa"/>
                  <w:noWrap w:val="0"/>
                  <w:vAlign w:val="center"/>
                </w:tcPr>
                <w:p w14:paraId="79D032C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pacing w:val="-3"/>
                      <w:sz w:val="24"/>
                      <w:vertAlign w:val="baseline"/>
                      <w:lang w:eastAsia="zh-CN"/>
                    </w:rPr>
                  </w:pPr>
                  <w:r>
                    <w:rPr>
                      <w:rFonts w:hint="eastAsia" w:ascii="Times New Roman" w:hAnsi="Times New Roman" w:eastAsia="宋体" w:cs="Times New Roman"/>
                      <w:color w:val="auto"/>
                      <w:spacing w:val="-3"/>
                      <w:sz w:val="24"/>
                      <w:vertAlign w:val="baseline"/>
                      <w:lang w:eastAsia="zh-CN"/>
                    </w:rPr>
                    <w:drawing>
                      <wp:inline distT="0" distB="0" distL="114300" distR="114300">
                        <wp:extent cx="2495550" cy="1871980"/>
                        <wp:effectExtent l="0" t="0" r="0" b="0"/>
                        <wp:docPr id="5" name="图片 50" descr="中涂房内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0" descr="中涂房内2"/>
                                <pic:cNvPicPr>
                                  <a:picLocks noChangeAspect="1"/>
                                </pic:cNvPicPr>
                              </pic:nvPicPr>
                              <pic:blipFill>
                                <a:blip r:embed="rId19"/>
                                <a:stretch>
                                  <a:fillRect/>
                                </a:stretch>
                              </pic:blipFill>
                              <pic:spPr>
                                <a:xfrm>
                                  <a:off x="0" y="0"/>
                                  <a:ext cx="2495550" cy="1871980"/>
                                </a:xfrm>
                                <a:prstGeom prst="rect">
                                  <a:avLst/>
                                </a:prstGeom>
                                <a:noFill/>
                                <a:ln>
                                  <a:noFill/>
                                </a:ln>
                              </pic:spPr>
                            </pic:pic>
                          </a:graphicData>
                        </a:graphic>
                      </wp:inline>
                    </w:drawing>
                  </w:r>
                </w:p>
              </w:tc>
              <w:tc>
                <w:tcPr>
                  <w:tcW w:w="4101" w:type="dxa"/>
                  <w:noWrap w:val="0"/>
                  <w:vAlign w:val="center"/>
                </w:tcPr>
                <w:p w14:paraId="2245DA2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pacing w:val="-3"/>
                      <w:sz w:val="24"/>
                      <w:vertAlign w:val="baseline"/>
                      <w:lang w:eastAsia="zh-CN"/>
                    </w:rPr>
                  </w:pPr>
                  <w:r>
                    <w:rPr>
                      <w:rFonts w:hint="eastAsia" w:ascii="Times New Roman" w:hAnsi="Times New Roman" w:eastAsia="宋体" w:cs="Times New Roman"/>
                      <w:color w:val="auto"/>
                      <w:spacing w:val="-3"/>
                      <w:sz w:val="24"/>
                      <w:vertAlign w:val="baseline"/>
                      <w:lang w:val="en-US" w:eastAsia="zh-CN"/>
                    </w:rPr>
                    <w:drawing>
                      <wp:inline distT="0" distB="0" distL="114300" distR="114300">
                        <wp:extent cx="2250440" cy="1871980"/>
                        <wp:effectExtent l="0" t="0" r="0" b="0"/>
                        <wp:docPr id="6" name="图片 48" descr="调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8" descr="调漆"/>
                                <pic:cNvPicPr>
                                  <a:picLocks noChangeAspect="1"/>
                                </pic:cNvPicPr>
                              </pic:nvPicPr>
                              <pic:blipFill>
                                <a:blip r:embed="rId20"/>
                                <a:srcRect l="9816"/>
                                <a:stretch>
                                  <a:fillRect/>
                                </a:stretch>
                              </pic:blipFill>
                              <pic:spPr>
                                <a:xfrm>
                                  <a:off x="0" y="0"/>
                                  <a:ext cx="2250440" cy="1871980"/>
                                </a:xfrm>
                                <a:prstGeom prst="rect">
                                  <a:avLst/>
                                </a:prstGeom>
                                <a:noFill/>
                                <a:ln>
                                  <a:noFill/>
                                </a:ln>
                              </pic:spPr>
                            </pic:pic>
                          </a:graphicData>
                        </a:graphic>
                      </wp:inline>
                    </w:drawing>
                  </w:r>
                </w:p>
              </w:tc>
            </w:tr>
            <w:tr w14:paraId="2789C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0" w:type="dxa"/>
                  <w:noWrap w:val="0"/>
                  <w:vAlign w:val="center"/>
                </w:tcPr>
                <w:p w14:paraId="77E1972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pacing w:val="-3"/>
                      <w:sz w:val="24"/>
                      <w:vertAlign w:val="baseline"/>
                      <w:lang w:val="en-US" w:eastAsia="zh-CN"/>
                    </w:rPr>
                  </w:pPr>
                  <w:r>
                    <w:rPr>
                      <w:rFonts w:hint="eastAsia" w:ascii="Times New Roman" w:hAnsi="Times New Roman" w:eastAsia="宋体" w:cs="Times New Roman"/>
                      <w:color w:val="auto"/>
                      <w:spacing w:val="-3"/>
                      <w:sz w:val="24"/>
                      <w:vertAlign w:val="baseline"/>
                      <w:lang w:val="en-US" w:eastAsia="zh-CN"/>
                    </w:rPr>
                    <w:t>中涂房内部</w:t>
                  </w:r>
                </w:p>
              </w:tc>
              <w:tc>
                <w:tcPr>
                  <w:tcW w:w="4101" w:type="dxa"/>
                  <w:noWrap w:val="0"/>
                  <w:vAlign w:val="center"/>
                </w:tcPr>
                <w:p w14:paraId="79E6868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pacing w:val="-3"/>
                      <w:sz w:val="24"/>
                      <w:vertAlign w:val="baseline"/>
                      <w:lang w:val="en-US" w:eastAsia="zh-CN"/>
                    </w:rPr>
                  </w:pPr>
                  <w:r>
                    <w:rPr>
                      <w:rFonts w:hint="eastAsia" w:ascii="Times New Roman" w:hAnsi="Times New Roman" w:eastAsia="宋体" w:cs="Times New Roman"/>
                      <w:color w:val="auto"/>
                      <w:spacing w:val="-3"/>
                      <w:sz w:val="24"/>
                      <w:vertAlign w:val="baseline"/>
                      <w:lang w:val="en-US" w:eastAsia="zh-CN"/>
                    </w:rPr>
                    <w:t>调漆台</w:t>
                  </w:r>
                </w:p>
              </w:tc>
            </w:tr>
            <w:tr w14:paraId="2DCFD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0" w:type="dxa"/>
                  <w:noWrap w:val="0"/>
                  <w:vAlign w:val="center"/>
                </w:tcPr>
                <w:p w14:paraId="420B37F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pacing w:val="-3"/>
                      <w:sz w:val="24"/>
                      <w:vertAlign w:val="baseline"/>
                      <w:lang w:val="en-US" w:eastAsia="zh-CN"/>
                    </w:rPr>
                  </w:pPr>
                  <w:r>
                    <w:rPr>
                      <w:rFonts w:hint="eastAsia" w:ascii="Times New Roman" w:hAnsi="Times New Roman" w:eastAsia="宋体" w:cs="Times New Roman"/>
                      <w:color w:val="auto"/>
                      <w:spacing w:val="-3"/>
                      <w:sz w:val="24"/>
                      <w:vertAlign w:val="baseline"/>
                      <w:lang w:eastAsia="zh-CN"/>
                    </w:rPr>
                    <w:drawing>
                      <wp:inline distT="0" distB="0" distL="114300" distR="114300">
                        <wp:extent cx="1371600" cy="1800225"/>
                        <wp:effectExtent l="0" t="0" r="0" b="0"/>
                        <wp:docPr id="7" name="图片 46" descr="中涂进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6" descr="中涂进风"/>
                                <pic:cNvPicPr>
                                  <a:picLocks noChangeAspect="1"/>
                                </pic:cNvPicPr>
                              </pic:nvPicPr>
                              <pic:blipFill>
                                <a:blip r:embed="rId21"/>
                                <a:srcRect r="5223" b="6575"/>
                                <a:stretch>
                                  <a:fillRect/>
                                </a:stretch>
                              </pic:blipFill>
                              <pic:spPr>
                                <a:xfrm>
                                  <a:off x="0" y="0"/>
                                  <a:ext cx="1371600" cy="1800225"/>
                                </a:xfrm>
                                <a:prstGeom prst="rect">
                                  <a:avLst/>
                                </a:prstGeom>
                                <a:noFill/>
                                <a:ln>
                                  <a:noFill/>
                                </a:ln>
                              </pic:spPr>
                            </pic:pic>
                          </a:graphicData>
                        </a:graphic>
                      </wp:inline>
                    </w:drawing>
                  </w:r>
                </w:p>
              </w:tc>
              <w:tc>
                <w:tcPr>
                  <w:tcW w:w="4101" w:type="dxa"/>
                  <w:noWrap w:val="0"/>
                  <w:vAlign w:val="center"/>
                </w:tcPr>
                <w:p w14:paraId="61C6DA2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pacing w:val="-3"/>
                      <w:sz w:val="24"/>
                      <w:vertAlign w:val="baseline"/>
                      <w:lang w:val="en-US" w:eastAsia="zh-CN"/>
                    </w:rPr>
                  </w:pPr>
                  <w:r>
                    <w:rPr>
                      <w:rFonts w:hint="eastAsia" w:ascii="Times New Roman" w:hAnsi="Times New Roman" w:eastAsia="宋体" w:cs="Times New Roman"/>
                      <w:color w:val="auto"/>
                      <w:spacing w:val="-3"/>
                      <w:sz w:val="24"/>
                      <w:vertAlign w:val="baseline"/>
                      <w:lang w:eastAsia="zh-CN"/>
                    </w:rPr>
                    <w:drawing>
                      <wp:inline distT="0" distB="0" distL="114300" distR="114300">
                        <wp:extent cx="2400300" cy="1800225"/>
                        <wp:effectExtent l="0" t="0" r="0" b="0"/>
                        <wp:docPr id="8" name="图片 49" descr="中涂风走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9" descr="中涂风走向"/>
                                <pic:cNvPicPr>
                                  <a:picLocks noChangeAspect="1"/>
                                </pic:cNvPicPr>
                              </pic:nvPicPr>
                              <pic:blipFill>
                                <a:blip r:embed="rId22"/>
                                <a:stretch>
                                  <a:fillRect/>
                                </a:stretch>
                              </pic:blipFill>
                              <pic:spPr>
                                <a:xfrm>
                                  <a:off x="0" y="0"/>
                                  <a:ext cx="2400300" cy="1800225"/>
                                </a:xfrm>
                                <a:prstGeom prst="rect">
                                  <a:avLst/>
                                </a:prstGeom>
                                <a:noFill/>
                                <a:ln>
                                  <a:noFill/>
                                </a:ln>
                              </pic:spPr>
                            </pic:pic>
                          </a:graphicData>
                        </a:graphic>
                      </wp:inline>
                    </w:drawing>
                  </w:r>
                </w:p>
              </w:tc>
            </w:tr>
            <w:tr w14:paraId="2F9AA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100" w:type="dxa"/>
                  <w:noWrap w:val="0"/>
                  <w:vAlign w:val="center"/>
                </w:tcPr>
                <w:p w14:paraId="0BF4252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pacing w:val="-3"/>
                      <w:sz w:val="24"/>
                      <w:vertAlign w:val="baseline"/>
                      <w:lang w:val="en-US" w:eastAsia="zh-CN"/>
                    </w:rPr>
                  </w:pPr>
                  <w:r>
                    <w:rPr>
                      <w:rFonts w:hint="eastAsia" w:ascii="Times New Roman" w:hAnsi="Times New Roman" w:eastAsia="宋体" w:cs="Times New Roman"/>
                      <w:color w:val="auto"/>
                      <w:spacing w:val="-3"/>
                      <w:sz w:val="24"/>
                      <w:vertAlign w:val="baseline"/>
                      <w:lang w:val="en-US" w:eastAsia="zh-CN"/>
                    </w:rPr>
                    <w:t>进风口</w:t>
                  </w:r>
                </w:p>
              </w:tc>
              <w:tc>
                <w:tcPr>
                  <w:tcW w:w="4101" w:type="dxa"/>
                  <w:noWrap w:val="0"/>
                  <w:vAlign w:val="center"/>
                </w:tcPr>
                <w:p w14:paraId="4E0BFDE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pacing w:val="-3"/>
                      <w:sz w:val="24"/>
                      <w:vertAlign w:val="baseline"/>
                      <w:lang w:val="en-US" w:eastAsia="zh-CN"/>
                    </w:rPr>
                  </w:pPr>
                  <w:r>
                    <w:rPr>
                      <w:rFonts w:hint="eastAsia" w:ascii="Times New Roman" w:hAnsi="Times New Roman" w:eastAsia="宋体" w:cs="Times New Roman"/>
                      <w:color w:val="auto"/>
                      <w:spacing w:val="-3"/>
                      <w:sz w:val="24"/>
                      <w:vertAlign w:val="baseline"/>
                      <w:lang w:val="en-US" w:eastAsia="zh-CN"/>
                    </w:rPr>
                    <w:t>进风、出风走向</w:t>
                  </w:r>
                </w:p>
              </w:tc>
            </w:tr>
          </w:tbl>
          <w:p w14:paraId="5F66A3D5">
            <w:pPr>
              <w:keepNext w:val="0"/>
              <w:keepLines w:val="0"/>
              <w:pageBreakBefore w:val="0"/>
              <w:widowControl w:val="0"/>
              <w:kinsoku/>
              <w:wordWrap/>
              <w:overflowPunct/>
              <w:topLinePunct w:val="0"/>
              <w:autoSpaceDE/>
              <w:autoSpaceDN/>
              <w:bidi w:val="0"/>
              <w:adjustRightInd/>
              <w:snapToGrid/>
              <w:spacing w:before="157" w:beforeLines="50" w:line="360" w:lineRule="auto"/>
              <w:ind w:firstLine="468" w:firstLineChars="200"/>
              <w:textAlignment w:val="auto"/>
              <w:rPr>
                <w:rFonts w:hint="eastAsia" w:ascii="Times New Roman" w:hAnsi="Times New Roman" w:eastAsia="宋体" w:cs="Times New Roman"/>
                <w:color w:val="auto"/>
                <w:spacing w:val="-3"/>
                <w:sz w:val="24"/>
              </w:rPr>
            </w:pPr>
            <w:r>
              <w:rPr>
                <w:rFonts w:hint="eastAsia" w:ascii="Times New Roman" w:hAnsi="Times New Roman" w:eastAsia="宋体" w:cs="Times New Roman"/>
                <w:color w:val="auto"/>
                <w:spacing w:val="-3"/>
                <w:sz w:val="24"/>
              </w:rPr>
              <w:t>（4）检验试车：经以上工序处理的车辆，经厂方做整体检查，检查不合格继续进行维修，检查合格进入洗车工序。</w:t>
            </w:r>
          </w:p>
          <w:p w14:paraId="6675929F">
            <w:pPr>
              <w:keepNext w:val="0"/>
              <w:keepLines w:val="0"/>
              <w:pageBreakBefore w:val="0"/>
              <w:widowControl w:val="0"/>
              <w:kinsoku/>
              <w:wordWrap/>
              <w:overflowPunct/>
              <w:topLinePunct w:val="0"/>
              <w:autoSpaceDE/>
              <w:autoSpaceDN/>
              <w:bidi w:val="0"/>
              <w:adjustRightInd/>
              <w:snapToGrid/>
              <w:spacing w:line="360" w:lineRule="auto"/>
              <w:ind w:firstLine="468" w:firstLineChars="200"/>
              <w:textAlignment w:val="auto"/>
              <w:rPr>
                <w:rFonts w:hint="default" w:ascii="Times New Roman" w:hAnsi="Times New Roman" w:eastAsia="宋体" w:cs="Times New Roman"/>
                <w:color w:val="auto"/>
                <w:spacing w:val="-3"/>
                <w:sz w:val="24"/>
                <w:lang w:val="en-US" w:eastAsia="zh-CN"/>
              </w:rPr>
            </w:pPr>
            <w:r>
              <w:rPr>
                <w:rFonts w:hint="eastAsia" w:ascii="Times New Roman" w:hAnsi="Times New Roman" w:eastAsia="宋体" w:cs="Times New Roman"/>
                <w:color w:val="auto"/>
                <w:spacing w:val="-3"/>
                <w:sz w:val="24"/>
              </w:rPr>
              <w:t>（5）洗车：部分维修保养车辆需要清洗，利用自来水和清洁剂清洗车身表面灰尘和油污，</w:t>
            </w:r>
            <w:r>
              <w:rPr>
                <w:rFonts w:hint="eastAsia" w:ascii="Times New Roman" w:hAnsi="Times New Roman" w:eastAsia="宋体" w:cs="Times New Roman"/>
                <w:color w:val="auto"/>
                <w:spacing w:val="-3"/>
                <w:sz w:val="24"/>
                <w:lang w:val="en-US" w:eastAsia="zh-CN"/>
              </w:rPr>
              <w:t>此</w:t>
            </w:r>
            <w:r>
              <w:rPr>
                <w:rFonts w:hint="eastAsia" w:ascii="Times New Roman" w:hAnsi="Times New Roman" w:eastAsia="宋体" w:cs="Times New Roman"/>
                <w:color w:val="auto"/>
                <w:spacing w:val="-3"/>
                <w:sz w:val="24"/>
              </w:rPr>
              <w:t>工序</w:t>
            </w:r>
            <w:r>
              <w:rPr>
                <w:rFonts w:hint="eastAsia" w:ascii="Times New Roman" w:hAnsi="Times New Roman" w:eastAsia="宋体" w:cs="Times New Roman"/>
                <w:color w:val="auto"/>
                <w:spacing w:val="-3"/>
                <w:sz w:val="24"/>
                <w:lang w:val="en-US" w:eastAsia="zh-CN"/>
              </w:rPr>
              <w:t>会产生</w:t>
            </w:r>
            <w:r>
              <w:rPr>
                <w:rFonts w:hint="eastAsia" w:ascii="Times New Roman" w:hAnsi="Times New Roman" w:eastAsia="宋体" w:cs="Times New Roman"/>
                <w:color w:val="auto"/>
                <w:spacing w:val="-3"/>
                <w:sz w:val="24"/>
              </w:rPr>
              <w:t>洗车废水</w:t>
            </w:r>
            <w:r>
              <w:rPr>
                <w:rFonts w:hint="eastAsia" w:ascii="Times New Roman" w:hAnsi="Times New Roman" w:eastAsia="宋体" w:cs="Times New Roman"/>
                <w:color w:val="auto"/>
                <w:spacing w:val="-3"/>
                <w:sz w:val="24"/>
                <w:lang w:val="en-US" w:eastAsia="zh-CN"/>
              </w:rPr>
              <w:t>和</w:t>
            </w:r>
            <w:r>
              <w:rPr>
                <w:rFonts w:hint="eastAsia" w:cs="Times New Roman"/>
                <w:color w:val="auto"/>
                <w:spacing w:val="-3"/>
                <w:sz w:val="24"/>
                <w:lang w:val="en-US" w:eastAsia="zh-CN"/>
              </w:rPr>
              <w:t>油泥</w:t>
            </w:r>
            <w:r>
              <w:rPr>
                <w:rFonts w:hint="eastAsia" w:ascii="Times New Roman" w:hAnsi="Times New Roman" w:eastAsia="宋体" w:cs="Times New Roman"/>
                <w:color w:val="auto"/>
                <w:spacing w:val="-3"/>
                <w:sz w:val="24"/>
              </w:rPr>
              <w:t>。</w:t>
            </w:r>
          </w:p>
          <w:p w14:paraId="417237C4">
            <w:pPr>
              <w:keepNext w:val="0"/>
              <w:keepLines w:val="0"/>
              <w:pageBreakBefore w:val="0"/>
              <w:widowControl w:val="0"/>
              <w:kinsoku/>
              <w:wordWrap/>
              <w:overflowPunct/>
              <w:topLinePunct w:val="0"/>
              <w:autoSpaceDE/>
              <w:autoSpaceDN/>
              <w:bidi w:val="0"/>
              <w:adjustRightInd/>
              <w:snapToGrid/>
              <w:spacing w:line="360" w:lineRule="auto"/>
              <w:ind w:firstLine="470" w:firstLineChars="200"/>
              <w:textAlignment w:val="auto"/>
              <w:rPr>
                <w:b/>
                <w:bCs/>
                <w:color w:val="auto"/>
                <w:spacing w:val="-3"/>
                <w:sz w:val="24"/>
              </w:rPr>
            </w:pPr>
            <w:r>
              <w:rPr>
                <w:rFonts w:hint="eastAsia"/>
                <w:b/>
                <w:bCs/>
                <w:color w:val="auto"/>
                <w:spacing w:val="-3"/>
                <w:sz w:val="24"/>
              </w:rPr>
              <w:t>2、项目产污情况分析</w:t>
            </w:r>
          </w:p>
          <w:p w14:paraId="5246BA43">
            <w:pPr>
              <w:spacing w:line="360" w:lineRule="auto"/>
              <w:ind w:firstLine="468" w:firstLineChars="200"/>
              <w:rPr>
                <w:color w:val="auto"/>
                <w:spacing w:val="-3"/>
                <w:sz w:val="24"/>
              </w:rPr>
            </w:pPr>
            <w:r>
              <w:rPr>
                <w:rFonts w:hint="eastAsia"/>
                <w:color w:val="auto"/>
                <w:spacing w:val="-3"/>
                <w:sz w:val="24"/>
              </w:rPr>
              <w:t>除了上述分析产污环节及污染物外，项目运营过程中还会产生生活垃圾和生活污水。</w:t>
            </w:r>
            <w:r>
              <w:rPr>
                <w:color w:val="auto"/>
                <w:spacing w:val="-3"/>
                <w:sz w:val="24"/>
              </w:rPr>
              <w:t>本项目运营期主要产污环节见下表：</w:t>
            </w:r>
          </w:p>
          <w:p w14:paraId="5DC01532">
            <w:pPr>
              <w:pStyle w:val="63"/>
              <w:spacing w:line="240" w:lineRule="auto"/>
              <w:ind w:firstLine="0" w:firstLineChars="0"/>
              <w:jc w:val="center"/>
              <w:rPr>
                <w:rFonts w:hAnsi="Times New Roman" w:cs="Times New Roman"/>
                <w:b/>
                <w:bCs/>
                <w:color w:val="auto"/>
                <w:kern w:val="21"/>
                <w:szCs w:val="24"/>
              </w:rPr>
            </w:pPr>
            <w:r>
              <w:rPr>
                <w:rFonts w:hAnsi="Times New Roman" w:cs="Times New Roman"/>
                <w:b/>
                <w:bCs/>
                <w:color w:val="auto"/>
                <w:kern w:val="21"/>
                <w:szCs w:val="24"/>
              </w:rPr>
              <w:t>表</w:t>
            </w:r>
            <w:r>
              <w:rPr>
                <w:rFonts w:hint="eastAsia" w:hAnsi="Times New Roman" w:cs="Times New Roman"/>
                <w:b/>
                <w:bCs/>
                <w:color w:val="auto"/>
                <w:kern w:val="21"/>
                <w:szCs w:val="24"/>
              </w:rPr>
              <w:t>2-</w:t>
            </w:r>
            <w:r>
              <w:rPr>
                <w:rFonts w:hint="eastAsia" w:hAnsi="Times New Roman" w:cs="Times New Roman"/>
                <w:b/>
                <w:bCs/>
                <w:color w:val="auto"/>
                <w:kern w:val="21"/>
                <w:szCs w:val="24"/>
                <w:lang w:val="en-US" w:eastAsia="zh-CN"/>
              </w:rPr>
              <w:t xml:space="preserve">11 </w:t>
            </w:r>
            <w:r>
              <w:rPr>
                <w:rFonts w:hint="eastAsia" w:hAnsi="Times New Roman" w:cs="Times New Roman"/>
                <w:b/>
                <w:bCs/>
                <w:color w:val="auto"/>
                <w:kern w:val="21"/>
                <w:szCs w:val="24"/>
              </w:rPr>
              <w:t xml:space="preserve"> </w:t>
            </w:r>
            <w:r>
              <w:rPr>
                <w:rFonts w:hAnsi="Times New Roman" w:cs="Times New Roman"/>
                <w:b/>
                <w:bCs/>
                <w:color w:val="auto"/>
                <w:kern w:val="21"/>
                <w:szCs w:val="24"/>
              </w:rPr>
              <w:t>运营期主要污染工序一览表</w:t>
            </w:r>
          </w:p>
          <w:tbl>
            <w:tblPr>
              <w:tblStyle w:val="25"/>
              <w:tblW w:w="821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53"/>
              <w:gridCol w:w="2227"/>
              <w:gridCol w:w="2181"/>
              <w:gridCol w:w="2649"/>
            </w:tblGrid>
            <w:tr w14:paraId="352BCC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pct"/>
                  <w:noWrap w:val="0"/>
                  <w:vAlign w:val="center"/>
                </w:tcPr>
                <w:p w14:paraId="5A33220A">
                  <w:pPr>
                    <w:jc w:val="center"/>
                    <w:rPr>
                      <w:b/>
                      <w:bCs/>
                      <w:color w:val="auto"/>
                      <w:szCs w:val="21"/>
                    </w:rPr>
                  </w:pPr>
                  <w:r>
                    <w:rPr>
                      <w:b/>
                      <w:bCs/>
                      <w:color w:val="auto"/>
                      <w:szCs w:val="21"/>
                    </w:rPr>
                    <w:t>污染类别</w:t>
                  </w:r>
                </w:p>
              </w:tc>
              <w:tc>
                <w:tcPr>
                  <w:tcW w:w="1356" w:type="pct"/>
                  <w:noWrap w:val="0"/>
                  <w:vAlign w:val="center"/>
                </w:tcPr>
                <w:p w14:paraId="258B0C10">
                  <w:pPr>
                    <w:jc w:val="center"/>
                    <w:rPr>
                      <w:b/>
                      <w:bCs/>
                      <w:color w:val="auto"/>
                      <w:szCs w:val="21"/>
                    </w:rPr>
                  </w:pPr>
                  <w:r>
                    <w:rPr>
                      <w:b/>
                      <w:bCs/>
                      <w:color w:val="auto"/>
                      <w:szCs w:val="21"/>
                    </w:rPr>
                    <w:t>污染源名称</w:t>
                  </w:r>
                </w:p>
              </w:tc>
              <w:tc>
                <w:tcPr>
                  <w:tcW w:w="1328" w:type="pct"/>
                  <w:noWrap w:val="0"/>
                  <w:vAlign w:val="center"/>
                </w:tcPr>
                <w:p w14:paraId="172F4539">
                  <w:pPr>
                    <w:jc w:val="center"/>
                    <w:rPr>
                      <w:b/>
                      <w:bCs/>
                      <w:color w:val="auto"/>
                      <w:szCs w:val="21"/>
                    </w:rPr>
                  </w:pPr>
                  <w:r>
                    <w:rPr>
                      <w:b/>
                      <w:bCs/>
                      <w:color w:val="auto"/>
                      <w:szCs w:val="21"/>
                    </w:rPr>
                    <w:t>产污环节</w:t>
                  </w:r>
                </w:p>
              </w:tc>
              <w:tc>
                <w:tcPr>
                  <w:tcW w:w="1613" w:type="pct"/>
                  <w:noWrap w:val="0"/>
                  <w:vAlign w:val="center"/>
                </w:tcPr>
                <w:p w14:paraId="37601C08">
                  <w:pPr>
                    <w:jc w:val="center"/>
                    <w:rPr>
                      <w:b/>
                      <w:bCs/>
                      <w:color w:val="auto"/>
                      <w:szCs w:val="21"/>
                    </w:rPr>
                  </w:pPr>
                  <w:r>
                    <w:rPr>
                      <w:b/>
                      <w:bCs/>
                      <w:color w:val="auto"/>
                      <w:szCs w:val="21"/>
                    </w:rPr>
                    <w:t>主要污染因子</w:t>
                  </w:r>
                </w:p>
              </w:tc>
            </w:tr>
            <w:tr w14:paraId="48A9E7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pct"/>
                  <w:vMerge w:val="restart"/>
                  <w:noWrap w:val="0"/>
                  <w:vAlign w:val="center"/>
                </w:tcPr>
                <w:p w14:paraId="1ACD5522">
                  <w:pPr>
                    <w:jc w:val="center"/>
                    <w:rPr>
                      <w:rFonts w:hint="eastAsia"/>
                      <w:color w:val="auto"/>
                      <w:szCs w:val="21"/>
                    </w:rPr>
                  </w:pPr>
                  <w:r>
                    <w:rPr>
                      <w:rFonts w:hint="eastAsia"/>
                      <w:color w:val="auto"/>
                      <w:szCs w:val="21"/>
                    </w:rPr>
                    <w:t>废气</w:t>
                  </w:r>
                </w:p>
              </w:tc>
              <w:tc>
                <w:tcPr>
                  <w:tcW w:w="1356" w:type="pct"/>
                  <w:noWrap w:val="0"/>
                  <w:vAlign w:val="center"/>
                </w:tcPr>
                <w:p w14:paraId="64DF5702">
                  <w:pPr>
                    <w:jc w:val="center"/>
                    <w:rPr>
                      <w:rFonts w:hint="eastAsia" w:eastAsia="宋体"/>
                      <w:color w:val="auto"/>
                      <w:szCs w:val="21"/>
                      <w:lang w:eastAsia="zh-CN"/>
                    </w:rPr>
                  </w:pPr>
                  <w:r>
                    <w:rPr>
                      <w:rFonts w:hint="eastAsia"/>
                      <w:color w:val="auto"/>
                      <w:szCs w:val="21"/>
                    </w:rPr>
                    <w:t>焊接、</w:t>
                  </w:r>
                  <w:r>
                    <w:rPr>
                      <w:rFonts w:hint="eastAsia"/>
                      <w:color w:val="auto"/>
                      <w:szCs w:val="21"/>
                      <w:lang w:eastAsia="zh-CN"/>
                    </w:rPr>
                    <w:t>打磨抛光</w:t>
                  </w:r>
                </w:p>
              </w:tc>
              <w:tc>
                <w:tcPr>
                  <w:tcW w:w="1328" w:type="pct"/>
                  <w:noWrap w:val="0"/>
                  <w:vAlign w:val="center"/>
                </w:tcPr>
                <w:p w14:paraId="051FBCD4">
                  <w:pPr>
                    <w:jc w:val="center"/>
                    <w:rPr>
                      <w:rFonts w:hint="eastAsia" w:eastAsia="宋体"/>
                      <w:color w:val="auto"/>
                      <w:szCs w:val="21"/>
                      <w:lang w:eastAsia="zh-CN"/>
                    </w:rPr>
                  </w:pPr>
                  <w:r>
                    <w:rPr>
                      <w:rFonts w:hint="eastAsia"/>
                      <w:color w:val="auto"/>
                      <w:szCs w:val="21"/>
                    </w:rPr>
                    <w:t>焊接烟尘、</w:t>
                  </w:r>
                  <w:r>
                    <w:rPr>
                      <w:rFonts w:hint="eastAsia"/>
                      <w:color w:val="auto"/>
                      <w:szCs w:val="21"/>
                      <w:lang w:eastAsia="zh-CN"/>
                    </w:rPr>
                    <w:t>打磨抛光粉尘</w:t>
                  </w:r>
                </w:p>
              </w:tc>
              <w:tc>
                <w:tcPr>
                  <w:tcW w:w="1613" w:type="pct"/>
                  <w:noWrap w:val="0"/>
                  <w:vAlign w:val="center"/>
                </w:tcPr>
                <w:p w14:paraId="76AD7AD7">
                  <w:pPr>
                    <w:jc w:val="center"/>
                    <w:rPr>
                      <w:rFonts w:hint="default" w:eastAsia="宋体"/>
                      <w:color w:val="auto"/>
                      <w:szCs w:val="21"/>
                      <w:lang w:val="en-US" w:eastAsia="zh-CN"/>
                    </w:rPr>
                  </w:pPr>
                  <w:r>
                    <w:rPr>
                      <w:rFonts w:hint="eastAsia"/>
                      <w:color w:val="auto"/>
                      <w:szCs w:val="21"/>
                    </w:rPr>
                    <w:t>颗粒物</w:t>
                  </w:r>
                </w:p>
              </w:tc>
            </w:tr>
            <w:tr w14:paraId="7E133E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pct"/>
                  <w:vMerge w:val="continue"/>
                  <w:noWrap w:val="0"/>
                  <w:vAlign w:val="center"/>
                </w:tcPr>
                <w:p w14:paraId="7F8B999E">
                  <w:pPr>
                    <w:jc w:val="center"/>
                    <w:rPr>
                      <w:rFonts w:hint="eastAsia"/>
                      <w:color w:val="auto"/>
                      <w:szCs w:val="21"/>
                    </w:rPr>
                  </w:pPr>
                </w:p>
              </w:tc>
              <w:tc>
                <w:tcPr>
                  <w:tcW w:w="1356" w:type="pct"/>
                  <w:noWrap w:val="0"/>
                  <w:vAlign w:val="center"/>
                </w:tcPr>
                <w:p w14:paraId="5A8F2FDC">
                  <w:pPr>
                    <w:jc w:val="center"/>
                    <w:rPr>
                      <w:rFonts w:hint="eastAsia" w:eastAsia="宋体"/>
                      <w:color w:val="auto"/>
                      <w:szCs w:val="21"/>
                      <w:lang w:val="en-US" w:eastAsia="zh-CN"/>
                    </w:rPr>
                  </w:pPr>
                  <w:r>
                    <w:rPr>
                      <w:rFonts w:hint="eastAsia"/>
                      <w:color w:val="auto"/>
                      <w:szCs w:val="21"/>
                      <w:lang w:val="en-US" w:eastAsia="zh-CN"/>
                    </w:rPr>
                    <w:t>涂原子灰</w:t>
                  </w:r>
                </w:p>
              </w:tc>
              <w:tc>
                <w:tcPr>
                  <w:tcW w:w="1328" w:type="pct"/>
                  <w:noWrap w:val="0"/>
                  <w:vAlign w:val="center"/>
                </w:tcPr>
                <w:p w14:paraId="388D1DDC">
                  <w:pPr>
                    <w:jc w:val="center"/>
                    <w:rPr>
                      <w:rFonts w:hint="default"/>
                      <w:color w:val="auto"/>
                      <w:szCs w:val="21"/>
                      <w:lang w:val="en-US" w:eastAsia="zh-CN"/>
                    </w:rPr>
                  </w:pPr>
                  <w:r>
                    <w:rPr>
                      <w:rFonts w:hint="eastAsia"/>
                      <w:color w:val="auto"/>
                      <w:szCs w:val="21"/>
                      <w:lang w:val="en-US" w:eastAsia="zh-CN"/>
                    </w:rPr>
                    <w:t>涂原子灰废气</w:t>
                  </w:r>
                </w:p>
              </w:tc>
              <w:tc>
                <w:tcPr>
                  <w:tcW w:w="1613" w:type="pct"/>
                  <w:noWrap w:val="0"/>
                  <w:vAlign w:val="center"/>
                </w:tcPr>
                <w:p w14:paraId="524F7142">
                  <w:pPr>
                    <w:jc w:val="center"/>
                    <w:rPr>
                      <w:rFonts w:hint="default"/>
                      <w:color w:val="auto"/>
                      <w:szCs w:val="21"/>
                      <w:lang w:val="en-US" w:eastAsia="zh-CN"/>
                    </w:rPr>
                  </w:pPr>
                  <w:r>
                    <w:rPr>
                      <w:rFonts w:hint="eastAsia"/>
                      <w:color w:val="auto"/>
                      <w:szCs w:val="21"/>
                      <w:lang w:val="en-US" w:eastAsia="zh-CN"/>
                    </w:rPr>
                    <w:t>非甲烷总烃</w:t>
                  </w:r>
                </w:p>
              </w:tc>
            </w:tr>
            <w:tr w14:paraId="305F0A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pct"/>
                  <w:vMerge w:val="continue"/>
                  <w:noWrap w:val="0"/>
                  <w:vAlign w:val="center"/>
                </w:tcPr>
                <w:p w14:paraId="708FA812">
                  <w:pPr>
                    <w:jc w:val="center"/>
                    <w:rPr>
                      <w:rFonts w:hint="eastAsia"/>
                      <w:color w:val="auto"/>
                      <w:szCs w:val="21"/>
                    </w:rPr>
                  </w:pPr>
                </w:p>
              </w:tc>
              <w:tc>
                <w:tcPr>
                  <w:tcW w:w="1356" w:type="pct"/>
                  <w:noWrap w:val="0"/>
                  <w:vAlign w:val="center"/>
                </w:tcPr>
                <w:p w14:paraId="4A952C1A">
                  <w:pPr>
                    <w:jc w:val="center"/>
                    <w:rPr>
                      <w:rFonts w:hint="eastAsia"/>
                      <w:color w:val="auto"/>
                      <w:szCs w:val="21"/>
                    </w:rPr>
                  </w:pPr>
                  <w:r>
                    <w:rPr>
                      <w:rFonts w:hint="eastAsia"/>
                      <w:color w:val="auto"/>
                      <w:szCs w:val="21"/>
                    </w:rPr>
                    <w:t>调漆、</w:t>
                  </w:r>
                  <w:r>
                    <w:rPr>
                      <w:rFonts w:hint="eastAsia"/>
                      <w:color w:val="auto"/>
                      <w:szCs w:val="21"/>
                      <w:lang w:eastAsia="zh-CN"/>
                    </w:rPr>
                    <w:t>喷烤漆</w:t>
                  </w:r>
                  <w:r>
                    <w:rPr>
                      <w:rFonts w:hint="eastAsia"/>
                      <w:color w:val="auto"/>
                      <w:szCs w:val="21"/>
                    </w:rPr>
                    <w:t>废气</w:t>
                  </w:r>
                </w:p>
              </w:tc>
              <w:tc>
                <w:tcPr>
                  <w:tcW w:w="1328" w:type="pct"/>
                  <w:noWrap w:val="0"/>
                  <w:vAlign w:val="center"/>
                </w:tcPr>
                <w:p w14:paraId="7821261B">
                  <w:pPr>
                    <w:jc w:val="center"/>
                    <w:rPr>
                      <w:rFonts w:hint="eastAsia"/>
                      <w:color w:val="auto"/>
                      <w:szCs w:val="21"/>
                    </w:rPr>
                  </w:pPr>
                  <w:r>
                    <w:rPr>
                      <w:rFonts w:hint="eastAsia"/>
                      <w:color w:val="auto"/>
                      <w:szCs w:val="21"/>
                      <w:lang w:val="en-US" w:eastAsia="zh-CN"/>
                    </w:rPr>
                    <w:t>调漆、</w:t>
                  </w:r>
                  <w:r>
                    <w:rPr>
                      <w:rFonts w:hint="eastAsia"/>
                      <w:color w:val="auto"/>
                      <w:szCs w:val="21"/>
                    </w:rPr>
                    <w:t>喷漆</w:t>
                  </w:r>
                  <w:r>
                    <w:rPr>
                      <w:rFonts w:hint="eastAsia"/>
                      <w:color w:val="auto"/>
                      <w:szCs w:val="21"/>
                      <w:lang w:eastAsia="zh-CN"/>
                    </w:rPr>
                    <w:t>、</w:t>
                  </w:r>
                  <w:r>
                    <w:rPr>
                      <w:rFonts w:hint="eastAsia"/>
                      <w:color w:val="auto"/>
                      <w:szCs w:val="21"/>
                      <w:lang w:val="en-US" w:eastAsia="zh-CN"/>
                    </w:rPr>
                    <w:t>烤漆</w:t>
                  </w:r>
                </w:p>
              </w:tc>
              <w:tc>
                <w:tcPr>
                  <w:tcW w:w="1613" w:type="pct"/>
                  <w:vMerge w:val="restart"/>
                  <w:noWrap w:val="0"/>
                  <w:vAlign w:val="center"/>
                </w:tcPr>
                <w:p w14:paraId="200FA9BC">
                  <w:pPr>
                    <w:jc w:val="center"/>
                    <w:rPr>
                      <w:rFonts w:hint="default" w:eastAsia="宋体"/>
                      <w:color w:val="auto"/>
                      <w:szCs w:val="21"/>
                      <w:lang w:val="en-US" w:eastAsia="zh-CN"/>
                    </w:rPr>
                  </w:pPr>
                  <w:r>
                    <w:rPr>
                      <w:rFonts w:hint="eastAsia"/>
                      <w:color w:val="auto"/>
                      <w:szCs w:val="21"/>
                      <w:lang w:val="en-US" w:eastAsia="zh-CN"/>
                    </w:rPr>
                    <w:t>颗粒物、甲苯、二甲苯、非甲烷总烃</w:t>
                  </w:r>
                </w:p>
              </w:tc>
            </w:tr>
            <w:tr w14:paraId="773C18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pct"/>
                  <w:vMerge w:val="continue"/>
                  <w:noWrap w:val="0"/>
                  <w:vAlign w:val="center"/>
                </w:tcPr>
                <w:p w14:paraId="1A9CF807">
                  <w:pPr>
                    <w:jc w:val="center"/>
                    <w:rPr>
                      <w:rFonts w:hint="eastAsia"/>
                      <w:color w:val="auto"/>
                      <w:szCs w:val="21"/>
                    </w:rPr>
                  </w:pPr>
                </w:p>
              </w:tc>
              <w:tc>
                <w:tcPr>
                  <w:tcW w:w="1356" w:type="pct"/>
                  <w:noWrap w:val="0"/>
                  <w:vAlign w:val="center"/>
                </w:tcPr>
                <w:p w14:paraId="6739887B">
                  <w:pPr>
                    <w:jc w:val="center"/>
                    <w:rPr>
                      <w:rFonts w:hint="eastAsia"/>
                      <w:color w:val="auto"/>
                      <w:szCs w:val="21"/>
                    </w:rPr>
                  </w:pPr>
                  <w:r>
                    <w:rPr>
                      <w:rFonts w:hint="eastAsia"/>
                      <w:color w:val="auto"/>
                      <w:szCs w:val="21"/>
                    </w:rPr>
                    <w:t>中涂工序</w:t>
                  </w:r>
                </w:p>
              </w:tc>
              <w:tc>
                <w:tcPr>
                  <w:tcW w:w="1328" w:type="pct"/>
                  <w:noWrap w:val="0"/>
                  <w:vAlign w:val="center"/>
                </w:tcPr>
                <w:p w14:paraId="0E08695F">
                  <w:pPr>
                    <w:jc w:val="center"/>
                    <w:rPr>
                      <w:rFonts w:hint="eastAsia"/>
                      <w:color w:val="auto"/>
                      <w:szCs w:val="21"/>
                    </w:rPr>
                  </w:pPr>
                  <w:r>
                    <w:rPr>
                      <w:rFonts w:hint="eastAsia"/>
                      <w:color w:val="auto"/>
                      <w:szCs w:val="21"/>
                    </w:rPr>
                    <w:t>中涂作业废气</w:t>
                  </w:r>
                </w:p>
              </w:tc>
              <w:tc>
                <w:tcPr>
                  <w:tcW w:w="1613" w:type="pct"/>
                  <w:vMerge w:val="continue"/>
                  <w:noWrap w:val="0"/>
                  <w:vAlign w:val="center"/>
                </w:tcPr>
                <w:p w14:paraId="4F6D5F1E">
                  <w:pPr>
                    <w:jc w:val="center"/>
                    <w:rPr>
                      <w:rFonts w:hint="eastAsia"/>
                      <w:color w:val="auto"/>
                      <w:szCs w:val="21"/>
                    </w:rPr>
                  </w:pPr>
                </w:p>
              </w:tc>
            </w:tr>
            <w:tr w14:paraId="306CE5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2" w:type="pct"/>
                  <w:vMerge w:val="restart"/>
                  <w:noWrap w:val="0"/>
                  <w:vAlign w:val="center"/>
                </w:tcPr>
                <w:p w14:paraId="5557F528">
                  <w:pPr>
                    <w:jc w:val="center"/>
                    <w:rPr>
                      <w:rFonts w:hint="eastAsia"/>
                      <w:color w:val="auto"/>
                      <w:szCs w:val="21"/>
                    </w:rPr>
                  </w:pPr>
                  <w:r>
                    <w:rPr>
                      <w:rFonts w:hint="eastAsia"/>
                      <w:color w:val="auto"/>
                      <w:szCs w:val="21"/>
                    </w:rPr>
                    <w:t>废水</w:t>
                  </w:r>
                </w:p>
              </w:tc>
              <w:tc>
                <w:tcPr>
                  <w:tcW w:w="1356" w:type="pct"/>
                  <w:noWrap w:val="0"/>
                  <w:vAlign w:val="center"/>
                </w:tcPr>
                <w:p w14:paraId="1DB87F8F">
                  <w:pPr>
                    <w:jc w:val="center"/>
                    <w:rPr>
                      <w:color w:val="auto"/>
                      <w:szCs w:val="21"/>
                    </w:rPr>
                  </w:pPr>
                  <w:r>
                    <w:rPr>
                      <w:rFonts w:hint="eastAsia"/>
                      <w:color w:val="auto"/>
                      <w:szCs w:val="21"/>
                    </w:rPr>
                    <w:t>生活污水</w:t>
                  </w:r>
                </w:p>
              </w:tc>
              <w:tc>
                <w:tcPr>
                  <w:tcW w:w="1328" w:type="pct"/>
                  <w:noWrap w:val="0"/>
                  <w:vAlign w:val="center"/>
                </w:tcPr>
                <w:p w14:paraId="670C5523">
                  <w:pPr>
                    <w:jc w:val="center"/>
                    <w:rPr>
                      <w:rFonts w:hint="default" w:eastAsia="宋体"/>
                      <w:color w:val="auto"/>
                      <w:szCs w:val="21"/>
                      <w:lang w:val="en-US" w:eastAsia="zh-CN"/>
                    </w:rPr>
                  </w:pPr>
                  <w:r>
                    <w:rPr>
                      <w:rFonts w:hint="eastAsia"/>
                      <w:color w:val="auto"/>
                      <w:szCs w:val="21"/>
                    </w:rPr>
                    <w:t>员工生活</w:t>
                  </w:r>
                  <w:r>
                    <w:rPr>
                      <w:rFonts w:hint="eastAsia"/>
                      <w:color w:val="auto"/>
                      <w:szCs w:val="21"/>
                      <w:lang w:val="en-US" w:eastAsia="zh-CN"/>
                    </w:rPr>
                    <w:t>用水</w:t>
                  </w:r>
                  <w:r>
                    <w:rPr>
                      <w:rFonts w:hint="eastAsia"/>
                      <w:color w:val="auto"/>
                      <w:szCs w:val="21"/>
                      <w:lang w:eastAsia="zh-CN"/>
                    </w:rPr>
                    <w:t>、</w:t>
                  </w:r>
                  <w:r>
                    <w:rPr>
                      <w:rFonts w:hint="eastAsia"/>
                      <w:color w:val="auto"/>
                      <w:szCs w:val="21"/>
                      <w:lang w:val="en-US" w:eastAsia="zh-CN"/>
                    </w:rPr>
                    <w:t>顾客用水</w:t>
                  </w:r>
                </w:p>
              </w:tc>
              <w:tc>
                <w:tcPr>
                  <w:tcW w:w="1613" w:type="pct"/>
                  <w:noWrap w:val="0"/>
                  <w:vAlign w:val="center"/>
                </w:tcPr>
                <w:p w14:paraId="021CB5AF">
                  <w:pPr>
                    <w:jc w:val="center"/>
                    <w:rPr>
                      <w:color w:val="auto"/>
                      <w:szCs w:val="21"/>
                    </w:rPr>
                  </w:pPr>
                  <w:r>
                    <w:rPr>
                      <w:rFonts w:hint="eastAsia"/>
                      <w:color w:val="auto"/>
                      <w:szCs w:val="21"/>
                    </w:rPr>
                    <w:t>COD、氨氮、SS、BOD</w:t>
                  </w:r>
                  <w:r>
                    <w:rPr>
                      <w:rFonts w:hint="eastAsia"/>
                      <w:color w:val="auto"/>
                      <w:szCs w:val="21"/>
                      <w:vertAlign w:val="subscript"/>
                    </w:rPr>
                    <w:t>5</w:t>
                  </w:r>
                  <w:r>
                    <w:rPr>
                      <w:rFonts w:hint="eastAsia"/>
                      <w:color w:val="auto"/>
                      <w:szCs w:val="21"/>
                    </w:rPr>
                    <w:t>、TN、TP</w:t>
                  </w:r>
                </w:p>
              </w:tc>
            </w:tr>
            <w:tr w14:paraId="72E3CB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2" w:type="pct"/>
                  <w:vMerge w:val="continue"/>
                  <w:noWrap w:val="0"/>
                  <w:vAlign w:val="center"/>
                </w:tcPr>
                <w:p w14:paraId="63E03B76">
                  <w:pPr>
                    <w:jc w:val="center"/>
                    <w:rPr>
                      <w:rFonts w:hint="eastAsia"/>
                      <w:color w:val="auto"/>
                      <w:szCs w:val="21"/>
                    </w:rPr>
                  </w:pPr>
                </w:p>
              </w:tc>
              <w:tc>
                <w:tcPr>
                  <w:tcW w:w="1356" w:type="pct"/>
                  <w:noWrap w:val="0"/>
                  <w:vAlign w:val="center"/>
                </w:tcPr>
                <w:p w14:paraId="09143F39">
                  <w:pPr>
                    <w:jc w:val="center"/>
                    <w:rPr>
                      <w:rFonts w:hint="eastAsia"/>
                      <w:color w:val="auto"/>
                      <w:szCs w:val="21"/>
                    </w:rPr>
                  </w:pPr>
                  <w:r>
                    <w:rPr>
                      <w:rFonts w:hint="eastAsia"/>
                      <w:color w:val="auto"/>
                      <w:szCs w:val="21"/>
                    </w:rPr>
                    <w:t>生产废水</w:t>
                  </w:r>
                </w:p>
              </w:tc>
              <w:tc>
                <w:tcPr>
                  <w:tcW w:w="1328" w:type="pct"/>
                  <w:noWrap w:val="0"/>
                  <w:vAlign w:val="center"/>
                </w:tcPr>
                <w:p w14:paraId="1B339F0D">
                  <w:pPr>
                    <w:jc w:val="center"/>
                    <w:rPr>
                      <w:rFonts w:hint="default" w:eastAsia="宋体"/>
                      <w:color w:val="auto"/>
                      <w:szCs w:val="21"/>
                      <w:lang w:val="en-US" w:eastAsia="zh-CN"/>
                    </w:rPr>
                  </w:pPr>
                  <w:r>
                    <w:rPr>
                      <w:rFonts w:hint="eastAsia"/>
                      <w:color w:val="auto"/>
                      <w:szCs w:val="21"/>
                      <w:lang w:val="en-US" w:eastAsia="zh-CN"/>
                    </w:rPr>
                    <w:t>钣喷中心地面拖地废水、洗车废水</w:t>
                  </w:r>
                </w:p>
              </w:tc>
              <w:tc>
                <w:tcPr>
                  <w:tcW w:w="1613" w:type="pct"/>
                  <w:noWrap w:val="0"/>
                  <w:vAlign w:val="center"/>
                </w:tcPr>
                <w:p w14:paraId="20533B6E">
                  <w:pPr>
                    <w:jc w:val="center"/>
                    <w:rPr>
                      <w:rFonts w:hint="default" w:eastAsia="宋体"/>
                      <w:color w:val="auto"/>
                      <w:szCs w:val="21"/>
                      <w:lang w:val="en-US" w:eastAsia="zh-CN"/>
                    </w:rPr>
                  </w:pPr>
                  <w:r>
                    <w:rPr>
                      <w:rFonts w:hint="eastAsia"/>
                      <w:color w:val="auto"/>
                      <w:szCs w:val="21"/>
                      <w:lang w:eastAsia="zh-CN"/>
                    </w:rPr>
                    <w:t>COD、BOD</w:t>
                  </w:r>
                  <w:r>
                    <w:rPr>
                      <w:rFonts w:hint="eastAsia"/>
                      <w:color w:val="auto"/>
                      <w:szCs w:val="21"/>
                      <w:vertAlign w:val="subscript"/>
                      <w:lang w:val="en-US" w:eastAsia="zh-CN"/>
                    </w:rPr>
                    <w:t>5</w:t>
                  </w:r>
                  <w:r>
                    <w:rPr>
                      <w:rFonts w:hint="eastAsia"/>
                      <w:color w:val="auto"/>
                      <w:szCs w:val="21"/>
                      <w:lang w:eastAsia="zh-CN"/>
                    </w:rPr>
                    <w:t>、SS、</w:t>
                  </w:r>
                  <w:r>
                    <w:rPr>
                      <w:rFonts w:hint="eastAsia"/>
                      <w:color w:val="auto"/>
                      <w:szCs w:val="21"/>
                      <w:lang w:val="en-US" w:eastAsia="zh-CN"/>
                    </w:rPr>
                    <w:t>LAS、石油类</w:t>
                  </w:r>
                </w:p>
              </w:tc>
            </w:tr>
            <w:tr w14:paraId="581162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pct"/>
                  <w:noWrap w:val="0"/>
                  <w:vAlign w:val="center"/>
                </w:tcPr>
                <w:p w14:paraId="463D5A09">
                  <w:pPr>
                    <w:jc w:val="center"/>
                    <w:rPr>
                      <w:color w:val="auto"/>
                      <w:szCs w:val="21"/>
                    </w:rPr>
                  </w:pPr>
                  <w:r>
                    <w:rPr>
                      <w:color w:val="auto"/>
                      <w:szCs w:val="21"/>
                    </w:rPr>
                    <w:t>噪声</w:t>
                  </w:r>
                </w:p>
              </w:tc>
              <w:tc>
                <w:tcPr>
                  <w:tcW w:w="1356" w:type="pct"/>
                  <w:noWrap w:val="0"/>
                  <w:vAlign w:val="center"/>
                </w:tcPr>
                <w:p w14:paraId="7211A4E4">
                  <w:pPr>
                    <w:jc w:val="center"/>
                    <w:rPr>
                      <w:color w:val="auto"/>
                      <w:szCs w:val="21"/>
                    </w:rPr>
                  </w:pPr>
                  <w:r>
                    <w:rPr>
                      <w:rFonts w:hint="eastAsia"/>
                      <w:color w:val="auto"/>
                      <w:szCs w:val="21"/>
                      <w:lang w:val="en-US" w:eastAsia="zh-CN"/>
                    </w:rPr>
                    <w:t>风机、打磨等设备</w:t>
                  </w:r>
                  <w:r>
                    <w:rPr>
                      <w:rFonts w:hint="eastAsia"/>
                      <w:color w:val="auto"/>
                      <w:szCs w:val="21"/>
                    </w:rPr>
                    <w:t>噪声</w:t>
                  </w:r>
                </w:p>
              </w:tc>
              <w:tc>
                <w:tcPr>
                  <w:tcW w:w="1328" w:type="pct"/>
                  <w:noWrap w:val="0"/>
                  <w:vAlign w:val="center"/>
                </w:tcPr>
                <w:p w14:paraId="1DA8E0B1">
                  <w:pPr>
                    <w:jc w:val="center"/>
                    <w:rPr>
                      <w:rFonts w:hint="default" w:eastAsia="宋体"/>
                      <w:color w:val="auto"/>
                      <w:szCs w:val="21"/>
                      <w:lang w:val="en-US" w:eastAsia="zh-CN"/>
                    </w:rPr>
                  </w:pPr>
                  <w:r>
                    <w:rPr>
                      <w:rFonts w:hint="eastAsia"/>
                      <w:color w:val="auto"/>
                      <w:szCs w:val="21"/>
                      <w:lang w:val="en-US" w:eastAsia="zh-CN"/>
                    </w:rPr>
                    <w:t>生产活动</w:t>
                  </w:r>
                </w:p>
              </w:tc>
              <w:tc>
                <w:tcPr>
                  <w:tcW w:w="1613" w:type="pct"/>
                  <w:noWrap w:val="0"/>
                  <w:vAlign w:val="center"/>
                </w:tcPr>
                <w:p w14:paraId="6ED5C5B4">
                  <w:pPr>
                    <w:jc w:val="center"/>
                    <w:rPr>
                      <w:color w:val="auto"/>
                      <w:szCs w:val="21"/>
                    </w:rPr>
                  </w:pPr>
                  <w:r>
                    <w:rPr>
                      <w:color w:val="auto"/>
                      <w:szCs w:val="21"/>
                    </w:rPr>
                    <w:t>机械噪声</w:t>
                  </w:r>
                </w:p>
              </w:tc>
            </w:tr>
            <w:tr w14:paraId="6658D7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pct"/>
                  <w:vMerge w:val="restart"/>
                  <w:noWrap w:val="0"/>
                  <w:vAlign w:val="center"/>
                </w:tcPr>
                <w:p w14:paraId="44CCBD51">
                  <w:pPr>
                    <w:jc w:val="center"/>
                    <w:rPr>
                      <w:color w:val="auto"/>
                      <w:szCs w:val="21"/>
                    </w:rPr>
                  </w:pPr>
                  <w:r>
                    <w:rPr>
                      <w:color w:val="auto"/>
                      <w:szCs w:val="21"/>
                    </w:rPr>
                    <w:t>固废</w:t>
                  </w:r>
                </w:p>
              </w:tc>
              <w:tc>
                <w:tcPr>
                  <w:tcW w:w="1356" w:type="pct"/>
                  <w:noWrap w:val="0"/>
                  <w:vAlign w:val="center"/>
                </w:tcPr>
                <w:p w14:paraId="695915DC">
                  <w:pPr>
                    <w:jc w:val="center"/>
                    <w:rPr>
                      <w:color w:val="auto"/>
                      <w:szCs w:val="21"/>
                    </w:rPr>
                  </w:pPr>
                  <w:r>
                    <w:rPr>
                      <w:rFonts w:hint="eastAsia"/>
                      <w:color w:val="auto"/>
                      <w:szCs w:val="21"/>
                    </w:rPr>
                    <w:t>生活垃圾</w:t>
                  </w:r>
                </w:p>
              </w:tc>
              <w:tc>
                <w:tcPr>
                  <w:tcW w:w="1328" w:type="pct"/>
                  <w:noWrap w:val="0"/>
                  <w:vAlign w:val="center"/>
                </w:tcPr>
                <w:p w14:paraId="2C8B002D">
                  <w:pPr>
                    <w:jc w:val="center"/>
                    <w:rPr>
                      <w:color w:val="auto"/>
                      <w:szCs w:val="21"/>
                    </w:rPr>
                  </w:pPr>
                  <w:r>
                    <w:rPr>
                      <w:rFonts w:hint="eastAsia"/>
                      <w:color w:val="auto"/>
                      <w:szCs w:val="21"/>
                    </w:rPr>
                    <w:t>员工生活、办公</w:t>
                  </w:r>
                </w:p>
              </w:tc>
              <w:tc>
                <w:tcPr>
                  <w:tcW w:w="1613" w:type="pct"/>
                  <w:noWrap w:val="0"/>
                  <w:vAlign w:val="center"/>
                </w:tcPr>
                <w:p w14:paraId="41434AF6">
                  <w:pPr>
                    <w:jc w:val="center"/>
                    <w:rPr>
                      <w:color w:val="auto"/>
                      <w:szCs w:val="21"/>
                    </w:rPr>
                  </w:pPr>
                  <w:r>
                    <w:rPr>
                      <w:rFonts w:hint="eastAsia"/>
                      <w:color w:val="auto"/>
                      <w:szCs w:val="21"/>
                    </w:rPr>
                    <w:t>生活垃圾</w:t>
                  </w:r>
                </w:p>
              </w:tc>
            </w:tr>
            <w:tr w14:paraId="587F54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pct"/>
                  <w:vMerge w:val="continue"/>
                  <w:noWrap w:val="0"/>
                  <w:vAlign w:val="center"/>
                </w:tcPr>
                <w:p w14:paraId="008300D6">
                  <w:pPr>
                    <w:jc w:val="center"/>
                    <w:rPr>
                      <w:color w:val="auto"/>
                      <w:szCs w:val="21"/>
                    </w:rPr>
                  </w:pPr>
                </w:p>
              </w:tc>
              <w:tc>
                <w:tcPr>
                  <w:tcW w:w="1356" w:type="pct"/>
                  <w:vMerge w:val="restart"/>
                  <w:noWrap w:val="0"/>
                  <w:vAlign w:val="center"/>
                </w:tcPr>
                <w:p w14:paraId="48B58BB7">
                  <w:pPr>
                    <w:jc w:val="center"/>
                    <w:rPr>
                      <w:rFonts w:hint="default" w:eastAsia="宋体"/>
                      <w:color w:val="auto"/>
                      <w:szCs w:val="21"/>
                      <w:lang w:val="en-US" w:eastAsia="zh-CN"/>
                    </w:rPr>
                  </w:pPr>
                  <w:r>
                    <w:rPr>
                      <w:rFonts w:hint="eastAsia"/>
                      <w:color w:val="auto"/>
                      <w:szCs w:val="21"/>
                      <w:lang w:val="en-US" w:eastAsia="zh-CN"/>
                    </w:rPr>
                    <w:t>生产</w:t>
                  </w:r>
                </w:p>
              </w:tc>
              <w:tc>
                <w:tcPr>
                  <w:tcW w:w="1328" w:type="pct"/>
                  <w:vMerge w:val="restart"/>
                  <w:noWrap w:val="0"/>
                  <w:vAlign w:val="center"/>
                </w:tcPr>
                <w:p w14:paraId="4262E946">
                  <w:pPr>
                    <w:jc w:val="center"/>
                    <w:rPr>
                      <w:rFonts w:hint="default" w:eastAsia="宋体"/>
                      <w:color w:val="auto"/>
                      <w:szCs w:val="21"/>
                      <w:lang w:val="en-US" w:eastAsia="zh-CN"/>
                    </w:rPr>
                  </w:pPr>
                  <w:r>
                    <w:rPr>
                      <w:rFonts w:hint="eastAsia"/>
                      <w:color w:val="auto"/>
                      <w:szCs w:val="21"/>
                      <w:lang w:val="en-US" w:eastAsia="zh-CN"/>
                    </w:rPr>
                    <w:t>车辆维修、保养</w:t>
                  </w:r>
                </w:p>
              </w:tc>
              <w:tc>
                <w:tcPr>
                  <w:tcW w:w="1613" w:type="pct"/>
                  <w:noWrap w:val="0"/>
                  <w:vAlign w:val="center"/>
                </w:tcPr>
                <w:p w14:paraId="5D1CD450">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szCs w:val="21"/>
                    </w:rPr>
                    <w:t>废焊丝</w:t>
                  </w:r>
                </w:p>
              </w:tc>
            </w:tr>
            <w:tr w14:paraId="1836AF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pct"/>
                  <w:vMerge w:val="continue"/>
                  <w:noWrap w:val="0"/>
                  <w:vAlign w:val="center"/>
                </w:tcPr>
                <w:p w14:paraId="4CDB010E">
                  <w:pPr>
                    <w:jc w:val="center"/>
                    <w:rPr>
                      <w:color w:val="auto"/>
                      <w:szCs w:val="21"/>
                    </w:rPr>
                  </w:pPr>
                </w:p>
              </w:tc>
              <w:tc>
                <w:tcPr>
                  <w:tcW w:w="1356" w:type="pct"/>
                  <w:vMerge w:val="continue"/>
                  <w:noWrap w:val="0"/>
                  <w:vAlign w:val="center"/>
                </w:tcPr>
                <w:p w14:paraId="086C56C4">
                  <w:pPr>
                    <w:jc w:val="center"/>
                    <w:rPr>
                      <w:rFonts w:hint="eastAsia"/>
                      <w:color w:val="auto"/>
                      <w:szCs w:val="21"/>
                      <w:lang w:val="en-US" w:eastAsia="zh-CN"/>
                    </w:rPr>
                  </w:pPr>
                </w:p>
              </w:tc>
              <w:tc>
                <w:tcPr>
                  <w:tcW w:w="1328" w:type="pct"/>
                  <w:vMerge w:val="continue"/>
                  <w:noWrap w:val="0"/>
                  <w:vAlign w:val="center"/>
                </w:tcPr>
                <w:p w14:paraId="2DE6E8BC">
                  <w:pPr>
                    <w:jc w:val="center"/>
                    <w:rPr>
                      <w:rFonts w:hint="eastAsia"/>
                      <w:color w:val="auto"/>
                      <w:szCs w:val="21"/>
                      <w:lang w:val="en-US" w:eastAsia="zh-CN"/>
                    </w:rPr>
                  </w:pPr>
                </w:p>
              </w:tc>
              <w:tc>
                <w:tcPr>
                  <w:tcW w:w="1613" w:type="pct"/>
                  <w:noWrap w:val="0"/>
                  <w:vAlign w:val="center"/>
                </w:tcPr>
                <w:p w14:paraId="18B8F04C">
                  <w:pPr>
                    <w:adjustRightInd w:val="0"/>
                    <w:snapToGrid w:val="0"/>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废</w:t>
                  </w:r>
                  <w:r>
                    <w:rPr>
                      <w:rFonts w:hint="eastAsia" w:ascii="Times New Roman" w:hAnsi="Times New Roman" w:eastAsia="宋体" w:cs="Times New Roman"/>
                      <w:color w:val="auto"/>
                      <w:szCs w:val="21"/>
                    </w:rPr>
                    <w:t>刹车片</w:t>
                  </w:r>
                </w:p>
              </w:tc>
            </w:tr>
            <w:tr w14:paraId="76DCAA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pct"/>
                  <w:vMerge w:val="continue"/>
                  <w:noWrap w:val="0"/>
                  <w:vAlign w:val="center"/>
                </w:tcPr>
                <w:p w14:paraId="4ACE746F">
                  <w:pPr>
                    <w:jc w:val="center"/>
                    <w:rPr>
                      <w:color w:val="auto"/>
                      <w:szCs w:val="21"/>
                    </w:rPr>
                  </w:pPr>
                </w:p>
              </w:tc>
              <w:tc>
                <w:tcPr>
                  <w:tcW w:w="1356" w:type="pct"/>
                  <w:vMerge w:val="continue"/>
                  <w:noWrap w:val="0"/>
                  <w:vAlign w:val="center"/>
                </w:tcPr>
                <w:p w14:paraId="7C8F9DB2">
                  <w:pPr>
                    <w:jc w:val="center"/>
                    <w:rPr>
                      <w:rFonts w:hint="eastAsia"/>
                      <w:color w:val="auto"/>
                      <w:szCs w:val="21"/>
                      <w:lang w:val="en-US" w:eastAsia="zh-CN"/>
                    </w:rPr>
                  </w:pPr>
                </w:p>
              </w:tc>
              <w:tc>
                <w:tcPr>
                  <w:tcW w:w="1328" w:type="pct"/>
                  <w:vMerge w:val="continue"/>
                  <w:noWrap w:val="0"/>
                  <w:vAlign w:val="center"/>
                </w:tcPr>
                <w:p w14:paraId="15F09987">
                  <w:pPr>
                    <w:jc w:val="center"/>
                    <w:rPr>
                      <w:rFonts w:hint="eastAsia"/>
                      <w:color w:val="auto"/>
                      <w:szCs w:val="21"/>
                      <w:lang w:val="en-US" w:eastAsia="zh-CN"/>
                    </w:rPr>
                  </w:pPr>
                </w:p>
              </w:tc>
              <w:tc>
                <w:tcPr>
                  <w:tcW w:w="1613" w:type="pct"/>
                  <w:noWrap w:val="0"/>
                  <w:vAlign w:val="center"/>
                </w:tcPr>
                <w:p w14:paraId="5A0F0494">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焊渣</w:t>
                  </w:r>
                </w:p>
              </w:tc>
            </w:tr>
            <w:tr w14:paraId="72D6CF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pct"/>
                  <w:vMerge w:val="continue"/>
                  <w:noWrap w:val="0"/>
                  <w:vAlign w:val="center"/>
                </w:tcPr>
                <w:p w14:paraId="5AEF356B">
                  <w:pPr>
                    <w:jc w:val="center"/>
                    <w:rPr>
                      <w:color w:val="auto"/>
                      <w:szCs w:val="21"/>
                    </w:rPr>
                  </w:pPr>
                </w:p>
              </w:tc>
              <w:tc>
                <w:tcPr>
                  <w:tcW w:w="1356" w:type="pct"/>
                  <w:vMerge w:val="continue"/>
                  <w:noWrap w:val="0"/>
                  <w:vAlign w:val="center"/>
                </w:tcPr>
                <w:p w14:paraId="0C2EC6DB">
                  <w:pPr>
                    <w:jc w:val="center"/>
                    <w:rPr>
                      <w:rFonts w:hint="eastAsia" w:eastAsia="宋体"/>
                      <w:color w:val="auto"/>
                      <w:szCs w:val="21"/>
                      <w:lang w:val="en-US" w:eastAsia="zh-CN"/>
                    </w:rPr>
                  </w:pPr>
                </w:p>
              </w:tc>
              <w:tc>
                <w:tcPr>
                  <w:tcW w:w="1328" w:type="pct"/>
                  <w:vMerge w:val="continue"/>
                  <w:noWrap w:val="0"/>
                  <w:vAlign w:val="center"/>
                </w:tcPr>
                <w:p w14:paraId="79DECEFF">
                  <w:pPr>
                    <w:jc w:val="center"/>
                    <w:rPr>
                      <w:rFonts w:hint="default" w:eastAsia="宋体"/>
                      <w:color w:val="auto"/>
                      <w:szCs w:val="21"/>
                      <w:lang w:val="en-US" w:eastAsia="zh-CN"/>
                    </w:rPr>
                  </w:pPr>
                </w:p>
              </w:tc>
              <w:tc>
                <w:tcPr>
                  <w:tcW w:w="1613" w:type="pct"/>
                  <w:noWrap w:val="0"/>
                  <w:vAlign w:val="center"/>
                </w:tcPr>
                <w:p w14:paraId="27DFABCB">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szCs w:val="21"/>
                    </w:rPr>
                    <w:t>废零部件</w:t>
                  </w:r>
                </w:p>
              </w:tc>
            </w:tr>
            <w:tr w14:paraId="5AAA4D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pct"/>
                  <w:vMerge w:val="continue"/>
                  <w:noWrap w:val="0"/>
                  <w:vAlign w:val="center"/>
                </w:tcPr>
                <w:p w14:paraId="2B56EFC1">
                  <w:pPr>
                    <w:jc w:val="center"/>
                    <w:rPr>
                      <w:color w:val="auto"/>
                      <w:szCs w:val="21"/>
                    </w:rPr>
                  </w:pPr>
                </w:p>
              </w:tc>
              <w:tc>
                <w:tcPr>
                  <w:tcW w:w="1356" w:type="pct"/>
                  <w:vMerge w:val="continue"/>
                  <w:noWrap w:val="0"/>
                  <w:vAlign w:val="center"/>
                </w:tcPr>
                <w:p w14:paraId="64DFA974">
                  <w:pPr>
                    <w:jc w:val="center"/>
                    <w:rPr>
                      <w:rFonts w:hint="eastAsia" w:eastAsia="宋体"/>
                      <w:color w:val="auto"/>
                      <w:szCs w:val="21"/>
                      <w:lang w:val="en-US" w:eastAsia="zh-CN"/>
                    </w:rPr>
                  </w:pPr>
                </w:p>
              </w:tc>
              <w:tc>
                <w:tcPr>
                  <w:tcW w:w="1328" w:type="pct"/>
                  <w:vMerge w:val="continue"/>
                  <w:noWrap w:val="0"/>
                  <w:vAlign w:val="center"/>
                </w:tcPr>
                <w:p w14:paraId="0F7F3A56">
                  <w:pPr>
                    <w:jc w:val="center"/>
                    <w:rPr>
                      <w:rFonts w:hint="default" w:eastAsia="宋体"/>
                      <w:color w:val="auto"/>
                      <w:szCs w:val="21"/>
                      <w:lang w:val="en-US" w:eastAsia="zh-CN"/>
                    </w:rPr>
                  </w:pPr>
                </w:p>
              </w:tc>
              <w:tc>
                <w:tcPr>
                  <w:tcW w:w="1613" w:type="pct"/>
                  <w:noWrap w:val="0"/>
                  <w:vAlign w:val="center"/>
                </w:tcPr>
                <w:p w14:paraId="05059A21">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szCs w:val="21"/>
                    </w:rPr>
                    <w:t>废轮胎</w:t>
                  </w:r>
                </w:p>
              </w:tc>
            </w:tr>
            <w:tr w14:paraId="4F0E05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pct"/>
                  <w:vMerge w:val="continue"/>
                  <w:noWrap w:val="0"/>
                  <w:vAlign w:val="center"/>
                </w:tcPr>
                <w:p w14:paraId="5604EBF7">
                  <w:pPr>
                    <w:jc w:val="center"/>
                    <w:rPr>
                      <w:color w:val="auto"/>
                      <w:szCs w:val="21"/>
                    </w:rPr>
                  </w:pPr>
                </w:p>
              </w:tc>
              <w:tc>
                <w:tcPr>
                  <w:tcW w:w="1356" w:type="pct"/>
                  <w:vMerge w:val="continue"/>
                  <w:noWrap w:val="0"/>
                  <w:vAlign w:val="center"/>
                </w:tcPr>
                <w:p w14:paraId="7B3245B6">
                  <w:pPr>
                    <w:jc w:val="center"/>
                    <w:rPr>
                      <w:rFonts w:hint="eastAsia" w:eastAsia="宋体"/>
                      <w:color w:val="auto"/>
                      <w:szCs w:val="21"/>
                      <w:lang w:val="en-US" w:eastAsia="zh-CN"/>
                    </w:rPr>
                  </w:pPr>
                </w:p>
              </w:tc>
              <w:tc>
                <w:tcPr>
                  <w:tcW w:w="1328" w:type="pct"/>
                  <w:vMerge w:val="continue"/>
                  <w:noWrap w:val="0"/>
                  <w:vAlign w:val="center"/>
                </w:tcPr>
                <w:p w14:paraId="249200C2">
                  <w:pPr>
                    <w:jc w:val="center"/>
                    <w:rPr>
                      <w:rFonts w:hint="default" w:eastAsia="宋体"/>
                      <w:color w:val="auto"/>
                      <w:szCs w:val="21"/>
                      <w:lang w:val="en-US" w:eastAsia="zh-CN"/>
                    </w:rPr>
                  </w:pPr>
                </w:p>
              </w:tc>
              <w:tc>
                <w:tcPr>
                  <w:tcW w:w="1613" w:type="pct"/>
                  <w:noWrap w:val="0"/>
                  <w:vAlign w:val="center"/>
                </w:tcPr>
                <w:p w14:paraId="0DB65AF5">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szCs w:val="21"/>
                    </w:rPr>
                    <w:t>废打磨片</w:t>
                  </w:r>
                </w:p>
              </w:tc>
            </w:tr>
            <w:tr w14:paraId="13EAD8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pct"/>
                  <w:vMerge w:val="continue"/>
                  <w:noWrap w:val="0"/>
                  <w:vAlign w:val="center"/>
                </w:tcPr>
                <w:p w14:paraId="6E7278B0">
                  <w:pPr>
                    <w:jc w:val="center"/>
                    <w:rPr>
                      <w:color w:val="auto"/>
                      <w:szCs w:val="21"/>
                    </w:rPr>
                  </w:pPr>
                </w:p>
              </w:tc>
              <w:tc>
                <w:tcPr>
                  <w:tcW w:w="1356" w:type="pct"/>
                  <w:vMerge w:val="continue"/>
                  <w:noWrap w:val="0"/>
                  <w:vAlign w:val="center"/>
                </w:tcPr>
                <w:p w14:paraId="0FFAEF23">
                  <w:pPr>
                    <w:jc w:val="center"/>
                    <w:rPr>
                      <w:rFonts w:hint="eastAsia" w:eastAsia="宋体"/>
                      <w:color w:val="auto"/>
                      <w:szCs w:val="21"/>
                      <w:lang w:val="en-US" w:eastAsia="zh-CN"/>
                    </w:rPr>
                  </w:pPr>
                </w:p>
              </w:tc>
              <w:tc>
                <w:tcPr>
                  <w:tcW w:w="1328" w:type="pct"/>
                  <w:vMerge w:val="continue"/>
                  <w:noWrap w:val="0"/>
                  <w:vAlign w:val="center"/>
                </w:tcPr>
                <w:p w14:paraId="0B1A7F0B">
                  <w:pPr>
                    <w:jc w:val="center"/>
                    <w:rPr>
                      <w:rFonts w:hint="default" w:eastAsia="宋体"/>
                      <w:color w:val="auto"/>
                      <w:szCs w:val="21"/>
                      <w:lang w:val="en-US" w:eastAsia="zh-CN"/>
                    </w:rPr>
                  </w:pPr>
                </w:p>
              </w:tc>
              <w:tc>
                <w:tcPr>
                  <w:tcW w:w="1613" w:type="pct"/>
                  <w:noWrap w:val="0"/>
                  <w:vAlign w:val="center"/>
                </w:tcPr>
                <w:p w14:paraId="2C4719A3">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废锂电池</w:t>
                  </w:r>
                </w:p>
              </w:tc>
            </w:tr>
            <w:tr w14:paraId="1826C9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pct"/>
                  <w:vMerge w:val="continue"/>
                  <w:noWrap w:val="0"/>
                  <w:vAlign w:val="center"/>
                </w:tcPr>
                <w:p w14:paraId="32A1EDE2">
                  <w:pPr>
                    <w:jc w:val="center"/>
                    <w:rPr>
                      <w:color w:val="auto"/>
                      <w:szCs w:val="21"/>
                    </w:rPr>
                  </w:pPr>
                </w:p>
              </w:tc>
              <w:tc>
                <w:tcPr>
                  <w:tcW w:w="1356" w:type="pct"/>
                  <w:vMerge w:val="continue"/>
                  <w:noWrap w:val="0"/>
                  <w:vAlign w:val="center"/>
                </w:tcPr>
                <w:p w14:paraId="42BAA9EF">
                  <w:pPr>
                    <w:jc w:val="center"/>
                    <w:rPr>
                      <w:rFonts w:hint="eastAsia" w:eastAsia="宋体"/>
                      <w:color w:val="auto"/>
                      <w:szCs w:val="21"/>
                      <w:lang w:val="en-US" w:eastAsia="zh-CN"/>
                    </w:rPr>
                  </w:pPr>
                </w:p>
              </w:tc>
              <w:tc>
                <w:tcPr>
                  <w:tcW w:w="1328" w:type="pct"/>
                  <w:vMerge w:val="continue"/>
                  <w:noWrap w:val="0"/>
                  <w:vAlign w:val="center"/>
                </w:tcPr>
                <w:p w14:paraId="13388873">
                  <w:pPr>
                    <w:jc w:val="center"/>
                    <w:rPr>
                      <w:rFonts w:hint="default" w:eastAsia="宋体"/>
                      <w:color w:val="auto"/>
                      <w:szCs w:val="21"/>
                      <w:lang w:val="en-US" w:eastAsia="zh-CN"/>
                    </w:rPr>
                  </w:pPr>
                </w:p>
              </w:tc>
              <w:tc>
                <w:tcPr>
                  <w:tcW w:w="1613" w:type="pct"/>
                  <w:noWrap w:val="0"/>
                  <w:vAlign w:val="center"/>
                </w:tcPr>
                <w:p w14:paraId="7EE1B7E8">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废机滤</w:t>
                  </w:r>
                </w:p>
              </w:tc>
            </w:tr>
            <w:tr w14:paraId="4BB9C5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2" w:type="pct"/>
                  <w:vMerge w:val="continue"/>
                  <w:noWrap w:val="0"/>
                  <w:vAlign w:val="center"/>
                </w:tcPr>
                <w:p w14:paraId="0A3FE922">
                  <w:pPr>
                    <w:jc w:val="center"/>
                    <w:rPr>
                      <w:color w:val="auto"/>
                      <w:szCs w:val="21"/>
                    </w:rPr>
                  </w:pPr>
                </w:p>
              </w:tc>
              <w:tc>
                <w:tcPr>
                  <w:tcW w:w="1356" w:type="pct"/>
                  <w:vMerge w:val="continue"/>
                  <w:noWrap w:val="0"/>
                  <w:vAlign w:val="center"/>
                </w:tcPr>
                <w:p w14:paraId="2C0BFD96">
                  <w:pPr>
                    <w:jc w:val="center"/>
                    <w:rPr>
                      <w:rFonts w:hint="eastAsia" w:eastAsia="宋体"/>
                      <w:color w:val="auto"/>
                      <w:szCs w:val="21"/>
                      <w:lang w:val="en-US" w:eastAsia="zh-CN"/>
                    </w:rPr>
                  </w:pPr>
                </w:p>
              </w:tc>
              <w:tc>
                <w:tcPr>
                  <w:tcW w:w="1328" w:type="pct"/>
                  <w:vMerge w:val="continue"/>
                  <w:noWrap w:val="0"/>
                  <w:vAlign w:val="center"/>
                </w:tcPr>
                <w:p w14:paraId="5A23B786">
                  <w:pPr>
                    <w:jc w:val="center"/>
                    <w:rPr>
                      <w:rFonts w:hint="default" w:eastAsia="宋体"/>
                      <w:color w:val="auto"/>
                      <w:szCs w:val="21"/>
                      <w:lang w:val="en-US" w:eastAsia="zh-CN"/>
                    </w:rPr>
                  </w:pPr>
                </w:p>
              </w:tc>
              <w:tc>
                <w:tcPr>
                  <w:tcW w:w="1613" w:type="pct"/>
                  <w:noWrap w:val="0"/>
                  <w:vAlign w:val="center"/>
                </w:tcPr>
                <w:p w14:paraId="6BC3522D">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rPr>
                    <w:t>废</w:t>
                  </w:r>
                  <w:r>
                    <w:rPr>
                      <w:rFonts w:hint="eastAsia" w:ascii="Times New Roman" w:hAnsi="Times New Roman" w:eastAsia="宋体" w:cs="Times New Roman"/>
                      <w:color w:val="auto"/>
                      <w:szCs w:val="21"/>
                      <w:lang w:val="en-US" w:eastAsia="zh-CN"/>
                    </w:rPr>
                    <w:t>矿物油（废</w:t>
                  </w:r>
                  <w:r>
                    <w:rPr>
                      <w:rFonts w:hint="eastAsia" w:ascii="Times New Roman" w:hAnsi="Times New Roman" w:eastAsia="宋体" w:cs="Times New Roman"/>
                      <w:color w:val="auto"/>
                      <w:szCs w:val="21"/>
                    </w:rPr>
                    <w:t>机油</w:t>
                  </w:r>
                  <w:r>
                    <w:rPr>
                      <w:rFonts w:hint="eastAsia" w:ascii="Times New Roman" w:hAnsi="Times New Roman" w:eastAsia="宋体" w:cs="Times New Roman"/>
                      <w:color w:val="auto"/>
                      <w:szCs w:val="21"/>
                      <w:lang w:eastAsia="zh-CN"/>
                    </w:rPr>
                    <w:t>、</w:t>
                  </w:r>
                  <w:r>
                    <w:rPr>
                      <w:rFonts w:hint="eastAsia" w:ascii="Times New Roman" w:hAnsi="Times New Roman" w:eastAsia="宋体" w:cs="Times New Roman"/>
                      <w:color w:val="auto"/>
                      <w:szCs w:val="21"/>
                    </w:rPr>
                    <w:t>废刹车油</w:t>
                  </w:r>
                  <w:r>
                    <w:rPr>
                      <w:rFonts w:hint="eastAsia" w:ascii="Times New Roman" w:hAnsi="Times New Roman" w:eastAsia="宋体" w:cs="Times New Roman"/>
                      <w:color w:val="auto"/>
                      <w:szCs w:val="21"/>
                      <w:lang w:eastAsia="zh-CN"/>
                    </w:rPr>
                    <w:t>、</w:t>
                  </w:r>
                  <w:r>
                    <w:rPr>
                      <w:rFonts w:hint="eastAsia" w:ascii="Times New Roman" w:hAnsi="Times New Roman" w:eastAsia="宋体" w:cs="Times New Roman"/>
                      <w:color w:val="auto"/>
                      <w:szCs w:val="21"/>
                    </w:rPr>
                    <w:t>废变速箱油</w:t>
                  </w:r>
                  <w:r>
                    <w:rPr>
                      <w:rFonts w:hint="eastAsia" w:ascii="Times New Roman" w:hAnsi="Times New Roman" w:eastAsia="宋体" w:cs="Times New Roman"/>
                      <w:color w:val="auto"/>
                      <w:szCs w:val="21"/>
                      <w:lang w:val="en-US" w:eastAsia="zh-CN"/>
                    </w:rPr>
                    <w:t>等）</w:t>
                  </w:r>
                </w:p>
              </w:tc>
            </w:tr>
            <w:tr w14:paraId="4BE3D7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pct"/>
                  <w:vMerge w:val="continue"/>
                  <w:noWrap w:val="0"/>
                  <w:vAlign w:val="center"/>
                </w:tcPr>
                <w:p w14:paraId="1D5A1A51">
                  <w:pPr>
                    <w:jc w:val="center"/>
                    <w:rPr>
                      <w:color w:val="auto"/>
                      <w:szCs w:val="21"/>
                    </w:rPr>
                  </w:pPr>
                </w:p>
              </w:tc>
              <w:tc>
                <w:tcPr>
                  <w:tcW w:w="1356" w:type="pct"/>
                  <w:vMerge w:val="continue"/>
                  <w:noWrap w:val="0"/>
                  <w:vAlign w:val="center"/>
                </w:tcPr>
                <w:p w14:paraId="7C32D516">
                  <w:pPr>
                    <w:jc w:val="center"/>
                    <w:rPr>
                      <w:rFonts w:hint="eastAsia" w:eastAsia="宋体"/>
                      <w:color w:val="auto"/>
                      <w:szCs w:val="21"/>
                      <w:lang w:val="en-US" w:eastAsia="zh-CN"/>
                    </w:rPr>
                  </w:pPr>
                </w:p>
              </w:tc>
              <w:tc>
                <w:tcPr>
                  <w:tcW w:w="1328" w:type="pct"/>
                  <w:vMerge w:val="continue"/>
                  <w:noWrap w:val="0"/>
                  <w:vAlign w:val="center"/>
                </w:tcPr>
                <w:p w14:paraId="0AE6F73A">
                  <w:pPr>
                    <w:jc w:val="center"/>
                    <w:rPr>
                      <w:rFonts w:hint="default" w:eastAsia="宋体"/>
                      <w:color w:val="auto"/>
                      <w:szCs w:val="21"/>
                      <w:lang w:val="en-US" w:eastAsia="zh-CN"/>
                    </w:rPr>
                  </w:pPr>
                </w:p>
              </w:tc>
              <w:tc>
                <w:tcPr>
                  <w:tcW w:w="1613" w:type="pct"/>
                  <w:noWrap w:val="0"/>
                  <w:vAlign w:val="center"/>
                </w:tcPr>
                <w:p w14:paraId="2BF88630">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废铅酸电池</w:t>
                  </w:r>
                </w:p>
              </w:tc>
            </w:tr>
            <w:tr w14:paraId="79B227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pct"/>
                  <w:vMerge w:val="continue"/>
                  <w:noWrap w:val="0"/>
                  <w:vAlign w:val="center"/>
                </w:tcPr>
                <w:p w14:paraId="111FC385">
                  <w:pPr>
                    <w:jc w:val="center"/>
                    <w:rPr>
                      <w:color w:val="auto"/>
                      <w:szCs w:val="21"/>
                    </w:rPr>
                  </w:pPr>
                </w:p>
              </w:tc>
              <w:tc>
                <w:tcPr>
                  <w:tcW w:w="1356" w:type="pct"/>
                  <w:vMerge w:val="continue"/>
                  <w:noWrap w:val="0"/>
                  <w:vAlign w:val="center"/>
                </w:tcPr>
                <w:p w14:paraId="247A1249">
                  <w:pPr>
                    <w:jc w:val="center"/>
                    <w:rPr>
                      <w:rFonts w:hint="eastAsia" w:eastAsia="宋体"/>
                      <w:color w:val="auto"/>
                      <w:szCs w:val="21"/>
                      <w:lang w:val="en-US" w:eastAsia="zh-CN"/>
                    </w:rPr>
                  </w:pPr>
                </w:p>
              </w:tc>
              <w:tc>
                <w:tcPr>
                  <w:tcW w:w="1328" w:type="pct"/>
                  <w:vMerge w:val="continue"/>
                  <w:noWrap w:val="0"/>
                  <w:vAlign w:val="center"/>
                </w:tcPr>
                <w:p w14:paraId="0E6BB4A4">
                  <w:pPr>
                    <w:jc w:val="center"/>
                    <w:rPr>
                      <w:rFonts w:hint="default" w:eastAsia="宋体"/>
                      <w:color w:val="auto"/>
                      <w:szCs w:val="21"/>
                      <w:lang w:val="en-US" w:eastAsia="zh-CN"/>
                    </w:rPr>
                  </w:pPr>
                </w:p>
              </w:tc>
              <w:tc>
                <w:tcPr>
                  <w:tcW w:w="1613" w:type="pct"/>
                  <w:noWrap w:val="0"/>
                  <w:vAlign w:val="center"/>
                </w:tcPr>
                <w:p w14:paraId="1AA87384">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szCs w:val="21"/>
                    </w:rPr>
                    <w:t>废防冻液</w:t>
                  </w:r>
                </w:p>
              </w:tc>
            </w:tr>
            <w:tr w14:paraId="4B124F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pct"/>
                  <w:vMerge w:val="continue"/>
                  <w:noWrap w:val="0"/>
                  <w:vAlign w:val="center"/>
                </w:tcPr>
                <w:p w14:paraId="1B22BA86">
                  <w:pPr>
                    <w:jc w:val="center"/>
                    <w:rPr>
                      <w:color w:val="auto"/>
                      <w:szCs w:val="21"/>
                    </w:rPr>
                  </w:pPr>
                </w:p>
              </w:tc>
              <w:tc>
                <w:tcPr>
                  <w:tcW w:w="1356" w:type="pct"/>
                  <w:vMerge w:val="continue"/>
                  <w:noWrap w:val="0"/>
                  <w:vAlign w:val="center"/>
                </w:tcPr>
                <w:p w14:paraId="34AE3F81">
                  <w:pPr>
                    <w:jc w:val="center"/>
                    <w:rPr>
                      <w:rFonts w:hint="eastAsia"/>
                      <w:color w:val="auto"/>
                      <w:szCs w:val="21"/>
                    </w:rPr>
                  </w:pPr>
                </w:p>
              </w:tc>
              <w:tc>
                <w:tcPr>
                  <w:tcW w:w="1328" w:type="pct"/>
                  <w:vMerge w:val="continue"/>
                  <w:noWrap w:val="0"/>
                  <w:vAlign w:val="center"/>
                </w:tcPr>
                <w:p w14:paraId="2865973E">
                  <w:pPr>
                    <w:jc w:val="center"/>
                    <w:rPr>
                      <w:rFonts w:hint="default" w:eastAsia="宋体"/>
                      <w:color w:val="auto"/>
                      <w:szCs w:val="21"/>
                      <w:lang w:val="en-US" w:eastAsia="zh-CN"/>
                    </w:rPr>
                  </w:pPr>
                </w:p>
              </w:tc>
              <w:tc>
                <w:tcPr>
                  <w:tcW w:w="1613" w:type="pct"/>
                  <w:noWrap w:val="0"/>
                  <w:vAlign w:val="center"/>
                </w:tcPr>
                <w:p w14:paraId="1419D399">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废抹布</w:t>
                  </w:r>
                </w:p>
              </w:tc>
            </w:tr>
            <w:tr w14:paraId="3E3581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pct"/>
                  <w:vMerge w:val="continue"/>
                  <w:noWrap w:val="0"/>
                  <w:vAlign w:val="center"/>
                </w:tcPr>
                <w:p w14:paraId="5CF21A34">
                  <w:pPr>
                    <w:jc w:val="center"/>
                    <w:rPr>
                      <w:color w:val="auto"/>
                      <w:szCs w:val="21"/>
                    </w:rPr>
                  </w:pPr>
                </w:p>
              </w:tc>
              <w:tc>
                <w:tcPr>
                  <w:tcW w:w="1356" w:type="pct"/>
                  <w:vMerge w:val="continue"/>
                  <w:noWrap w:val="0"/>
                  <w:vAlign w:val="center"/>
                </w:tcPr>
                <w:p w14:paraId="4BD65637">
                  <w:pPr>
                    <w:jc w:val="center"/>
                    <w:rPr>
                      <w:rFonts w:hint="default" w:eastAsia="宋体"/>
                      <w:color w:val="auto"/>
                      <w:szCs w:val="21"/>
                      <w:lang w:val="en-US" w:eastAsia="zh-CN"/>
                    </w:rPr>
                  </w:pPr>
                </w:p>
              </w:tc>
              <w:tc>
                <w:tcPr>
                  <w:tcW w:w="1328" w:type="pct"/>
                  <w:noWrap w:val="0"/>
                  <w:vAlign w:val="center"/>
                </w:tcPr>
                <w:p w14:paraId="71A5B0A8">
                  <w:pPr>
                    <w:jc w:val="center"/>
                    <w:rPr>
                      <w:rFonts w:hint="default" w:eastAsia="宋体"/>
                      <w:color w:val="auto"/>
                      <w:szCs w:val="21"/>
                      <w:lang w:val="en-US" w:eastAsia="zh-CN"/>
                    </w:rPr>
                  </w:pPr>
                  <w:r>
                    <w:rPr>
                      <w:rFonts w:ascii="Times New Roman" w:hAnsi="Times New Roman" w:eastAsia="宋体" w:cs="Times New Roman"/>
                      <w:color w:val="auto"/>
                      <w:szCs w:val="21"/>
                    </w:rPr>
                    <w:t>原料包装</w:t>
                  </w:r>
                </w:p>
              </w:tc>
              <w:tc>
                <w:tcPr>
                  <w:tcW w:w="1613" w:type="pct"/>
                  <w:noWrap w:val="0"/>
                  <w:vAlign w:val="center"/>
                </w:tcPr>
                <w:p w14:paraId="50FD69B8">
                  <w:pPr>
                    <w:jc w:val="center"/>
                    <w:rPr>
                      <w:rFonts w:hint="eastAsia" w:eastAsia="宋体"/>
                      <w:color w:val="auto"/>
                      <w:kern w:val="2"/>
                      <w:sz w:val="21"/>
                      <w:szCs w:val="21"/>
                      <w:lang w:val="en-US" w:eastAsia="zh-CN" w:bidi="ar-SA"/>
                    </w:rPr>
                  </w:pPr>
                  <w:r>
                    <w:rPr>
                      <w:rFonts w:ascii="Times New Roman" w:hAnsi="Times New Roman" w:eastAsia="宋体" w:cs="Times New Roman"/>
                      <w:color w:val="auto"/>
                      <w:szCs w:val="21"/>
                    </w:rPr>
                    <w:t>废油漆桶、废油桶</w:t>
                  </w:r>
                </w:p>
              </w:tc>
            </w:tr>
            <w:tr w14:paraId="528EB2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pct"/>
                  <w:vMerge w:val="continue"/>
                  <w:noWrap w:val="0"/>
                  <w:vAlign w:val="center"/>
                </w:tcPr>
                <w:p w14:paraId="2450F9F6">
                  <w:pPr>
                    <w:jc w:val="center"/>
                    <w:rPr>
                      <w:color w:val="auto"/>
                      <w:szCs w:val="21"/>
                    </w:rPr>
                  </w:pPr>
                </w:p>
              </w:tc>
              <w:tc>
                <w:tcPr>
                  <w:tcW w:w="1356" w:type="pct"/>
                  <w:vMerge w:val="continue"/>
                  <w:noWrap w:val="0"/>
                  <w:vAlign w:val="center"/>
                </w:tcPr>
                <w:p w14:paraId="3F9EA91E">
                  <w:pPr>
                    <w:jc w:val="center"/>
                    <w:rPr>
                      <w:rFonts w:hint="eastAsia" w:eastAsia="宋体"/>
                      <w:color w:val="auto"/>
                      <w:szCs w:val="21"/>
                      <w:lang w:val="en-US" w:eastAsia="zh-CN"/>
                    </w:rPr>
                  </w:pPr>
                </w:p>
              </w:tc>
              <w:tc>
                <w:tcPr>
                  <w:tcW w:w="1328" w:type="pct"/>
                  <w:vMerge w:val="restart"/>
                  <w:noWrap w:val="0"/>
                  <w:vAlign w:val="center"/>
                </w:tcPr>
                <w:p w14:paraId="479D0957">
                  <w:pPr>
                    <w:jc w:val="center"/>
                    <w:rPr>
                      <w:rFonts w:hint="eastAsia" w:eastAsia="宋体"/>
                      <w:color w:val="auto"/>
                      <w:kern w:val="2"/>
                      <w:sz w:val="21"/>
                      <w:szCs w:val="21"/>
                      <w:lang w:val="en-US" w:eastAsia="zh-CN" w:bidi="ar-SA"/>
                    </w:rPr>
                  </w:pPr>
                  <w:r>
                    <w:rPr>
                      <w:rFonts w:hint="eastAsia"/>
                      <w:color w:val="auto"/>
                      <w:szCs w:val="21"/>
                      <w:lang w:val="en-US" w:eastAsia="zh-CN"/>
                    </w:rPr>
                    <w:t>废气处理设施</w:t>
                  </w:r>
                </w:p>
              </w:tc>
              <w:tc>
                <w:tcPr>
                  <w:tcW w:w="1613" w:type="pct"/>
                  <w:noWrap w:val="0"/>
                  <w:vAlign w:val="center"/>
                </w:tcPr>
                <w:p w14:paraId="6F15943D">
                  <w:pPr>
                    <w:jc w:val="center"/>
                    <w:rPr>
                      <w:rFonts w:hint="eastAsia" w:eastAsia="宋体"/>
                      <w:color w:val="auto"/>
                      <w:kern w:val="2"/>
                      <w:sz w:val="21"/>
                      <w:szCs w:val="21"/>
                      <w:lang w:val="en-US" w:eastAsia="zh-CN" w:bidi="ar-SA"/>
                    </w:rPr>
                  </w:pPr>
                  <w:r>
                    <w:rPr>
                      <w:rFonts w:hint="eastAsia"/>
                      <w:color w:val="auto"/>
                      <w:szCs w:val="21"/>
                      <w:lang w:val="en-US" w:eastAsia="zh-CN"/>
                    </w:rPr>
                    <w:t>废过滤棉</w:t>
                  </w:r>
                </w:p>
              </w:tc>
            </w:tr>
            <w:tr w14:paraId="1AD88B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pct"/>
                  <w:vMerge w:val="continue"/>
                  <w:noWrap w:val="0"/>
                  <w:vAlign w:val="center"/>
                </w:tcPr>
                <w:p w14:paraId="52E0785F">
                  <w:pPr>
                    <w:jc w:val="center"/>
                    <w:rPr>
                      <w:color w:val="auto"/>
                      <w:szCs w:val="21"/>
                    </w:rPr>
                  </w:pPr>
                </w:p>
              </w:tc>
              <w:tc>
                <w:tcPr>
                  <w:tcW w:w="1356" w:type="pct"/>
                  <w:vMerge w:val="continue"/>
                  <w:noWrap w:val="0"/>
                  <w:vAlign w:val="center"/>
                </w:tcPr>
                <w:p w14:paraId="74E355C7">
                  <w:pPr>
                    <w:jc w:val="center"/>
                    <w:rPr>
                      <w:rFonts w:hint="default"/>
                      <w:color w:val="auto"/>
                      <w:szCs w:val="21"/>
                      <w:lang w:val="en-US" w:eastAsia="zh-CN"/>
                    </w:rPr>
                  </w:pPr>
                </w:p>
              </w:tc>
              <w:tc>
                <w:tcPr>
                  <w:tcW w:w="1328" w:type="pct"/>
                  <w:vMerge w:val="continue"/>
                  <w:noWrap w:val="0"/>
                  <w:vAlign w:val="center"/>
                </w:tcPr>
                <w:p w14:paraId="36D72707">
                  <w:pPr>
                    <w:jc w:val="center"/>
                    <w:rPr>
                      <w:rFonts w:hint="default"/>
                      <w:color w:val="auto"/>
                      <w:kern w:val="2"/>
                      <w:sz w:val="21"/>
                      <w:szCs w:val="21"/>
                      <w:lang w:val="en-US" w:eastAsia="zh-CN" w:bidi="ar-SA"/>
                    </w:rPr>
                  </w:pPr>
                </w:p>
              </w:tc>
              <w:tc>
                <w:tcPr>
                  <w:tcW w:w="1613" w:type="pct"/>
                  <w:noWrap w:val="0"/>
                  <w:vAlign w:val="center"/>
                </w:tcPr>
                <w:p w14:paraId="09B2CCAC">
                  <w:pPr>
                    <w:jc w:val="center"/>
                    <w:rPr>
                      <w:rFonts w:hint="default"/>
                      <w:color w:val="auto"/>
                      <w:kern w:val="2"/>
                      <w:sz w:val="21"/>
                      <w:szCs w:val="21"/>
                      <w:lang w:val="en-US" w:eastAsia="zh-CN" w:bidi="ar-SA"/>
                    </w:rPr>
                  </w:pPr>
                  <w:r>
                    <w:rPr>
                      <w:rFonts w:hint="eastAsia"/>
                      <w:color w:val="auto"/>
                      <w:szCs w:val="21"/>
                      <w:lang w:val="en-US" w:eastAsia="zh-CN"/>
                    </w:rPr>
                    <w:t>废活性炭</w:t>
                  </w:r>
                </w:p>
              </w:tc>
            </w:tr>
            <w:tr w14:paraId="6FB97C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pct"/>
                  <w:vMerge w:val="continue"/>
                  <w:noWrap w:val="0"/>
                  <w:vAlign w:val="center"/>
                </w:tcPr>
                <w:p w14:paraId="1EDD6328">
                  <w:pPr>
                    <w:jc w:val="center"/>
                    <w:rPr>
                      <w:color w:val="auto"/>
                      <w:szCs w:val="21"/>
                    </w:rPr>
                  </w:pPr>
                </w:p>
              </w:tc>
              <w:tc>
                <w:tcPr>
                  <w:tcW w:w="1356" w:type="pct"/>
                  <w:vMerge w:val="continue"/>
                  <w:noWrap w:val="0"/>
                  <w:vAlign w:val="center"/>
                </w:tcPr>
                <w:p w14:paraId="208C1A46">
                  <w:pPr>
                    <w:jc w:val="center"/>
                    <w:rPr>
                      <w:rFonts w:hint="default"/>
                      <w:color w:val="auto"/>
                      <w:szCs w:val="21"/>
                      <w:lang w:val="en-US" w:eastAsia="zh-CN"/>
                    </w:rPr>
                  </w:pPr>
                </w:p>
              </w:tc>
              <w:tc>
                <w:tcPr>
                  <w:tcW w:w="1328" w:type="pct"/>
                  <w:noWrap w:val="0"/>
                  <w:vAlign w:val="center"/>
                </w:tcPr>
                <w:p w14:paraId="303F46AD">
                  <w:pPr>
                    <w:jc w:val="center"/>
                    <w:rPr>
                      <w:rFonts w:hint="default"/>
                      <w:color w:val="auto"/>
                      <w:szCs w:val="21"/>
                      <w:lang w:val="en-US" w:eastAsia="zh-CN"/>
                    </w:rPr>
                  </w:pPr>
                  <w:r>
                    <w:rPr>
                      <w:rFonts w:hint="eastAsia"/>
                      <w:color w:val="auto"/>
                      <w:szCs w:val="21"/>
                      <w:lang w:val="en-US" w:eastAsia="zh-CN"/>
                    </w:rPr>
                    <w:t>喷漆</w:t>
                  </w:r>
                </w:p>
              </w:tc>
              <w:tc>
                <w:tcPr>
                  <w:tcW w:w="1613" w:type="pct"/>
                  <w:noWrap w:val="0"/>
                  <w:vAlign w:val="center"/>
                </w:tcPr>
                <w:p w14:paraId="5B6EF037">
                  <w:pPr>
                    <w:jc w:val="center"/>
                    <w:rPr>
                      <w:rFonts w:hint="default"/>
                      <w:color w:val="auto"/>
                      <w:kern w:val="2"/>
                      <w:sz w:val="21"/>
                      <w:szCs w:val="21"/>
                      <w:lang w:val="en-US" w:eastAsia="zh-CN" w:bidi="ar-SA"/>
                    </w:rPr>
                  </w:pPr>
                  <w:r>
                    <w:rPr>
                      <w:rFonts w:hint="default"/>
                      <w:color w:val="auto"/>
                      <w:kern w:val="2"/>
                      <w:sz w:val="21"/>
                      <w:szCs w:val="21"/>
                      <w:lang w:val="en-US" w:eastAsia="zh-CN" w:bidi="ar-SA"/>
                    </w:rPr>
                    <w:t>废遮蔽纸</w:t>
                  </w:r>
                </w:p>
              </w:tc>
            </w:tr>
            <w:tr w14:paraId="09F306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pct"/>
                  <w:vMerge w:val="continue"/>
                  <w:noWrap w:val="0"/>
                  <w:vAlign w:val="center"/>
                </w:tcPr>
                <w:p w14:paraId="15B1AA8C">
                  <w:pPr>
                    <w:jc w:val="center"/>
                    <w:rPr>
                      <w:color w:val="auto"/>
                      <w:szCs w:val="21"/>
                    </w:rPr>
                  </w:pPr>
                </w:p>
              </w:tc>
              <w:tc>
                <w:tcPr>
                  <w:tcW w:w="1356" w:type="pct"/>
                  <w:vMerge w:val="continue"/>
                  <w:noWrap w:val="0"/>
                  <w:vAlign w:val="center"/>
                </w:tcPr>
                <w:p w14:paraId="196DF6FE">
                  <w:pPr>
                    <w:jc w:val="center"/>
                    <w:rPr>
                      <w:rFonts w:hint="eastAsia"/>
                      <w:color w:val="auto"/>
                      <w:szCs w:val="21"/>
                      <w:lang w:val="en-US" w:eastAsia="zh-CN"/>
                    </w:rPr>
                  </w:pPr>
                </w:p>
              </w:tc>
              <w:tc>
                <w:tcPr>
                  <w:tcW w:w="1328" w:type="pct"/>
                  <w:noWrap w:val="0"/>
                  <w:vAlign w:val="center"/>
                </w:tcPr>
                <w:p w14:paraId="583986ED">
                  <w:pPr>
                    <w:jc w:val="center"/>
                    <w:rPr>
                      <w:rFonts w:hint="default"/>
                      <w:color w:val="auto"/>
                      <w:szCs w:val="21"/>
                      <w:lang w:val="en-US" w:eastAsia="zh-CN"/>
                    </w:rPr>
                  </w:pPr>
                  <w:r>
                    <w:rPr>
                      <w:rFonts w:hint="eastAsia"/>
                      <w:color w:val="auto"/>
                      <w:szCs w:val="21"/>
                      <w:lang w:val="en-US" w:eastAsia="zh-CN"/>
                    </w:rPr>
                    <w:t>涂原子灰</w:t>
                  </w:r>
                </w:p>
              </w:tc>
              <w:tc>
                <w:tcPr>
                  <w:tcW w:w="1613" w:type="pct"/>
                  <w:noWrap w:val="0"/>
                  <w:vAlign w:val="center"/>
                </w:tcPr>
                <w:p w14:paraId="404D6A8D">
                  <w:pPr>
                    <w:jc w:val="center"/>
                    <w:rPr>
                      <w:rFonts w:hint="eastAsia"/>
                      <w:color w:val="auto"/>
                      <w:szCs w:val="21"/>
                      <w:lang w:val="en-US" w:eastAsia="zh-CN"/>
                    </w:rPr>
                  </w:pPr>
                  <w:r>
                    <w:rPr>
                      <w:rFonts w:hint="eastAsia"/>
                      <w:color w:val="auto"/>
                      <w:szCs w:val="21"/>
                      <w:lang w:val="en-US" w:eastAsia="zh-CN"/>
                    </w:rPr>
                    <w:t>废原子灰渣</w:t>
                  </w:r>
                </w:p>
              </w:tc>
            </w:tr>
            <w:tr w14:paraId="1870AF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pct"/>
                  <w:vMerge w:val="continue"/>
                  <w:noWrap w:val="0"/>
                  <w:vAlign w:val="center"/>
                </w:tcPr>
                <w:p w14:paraId="074AF032">
                  <w:pPr>
                    <w:jc w:val="center"/>
                    <w:rPr>
                      <w:color w:val="auto"/>
                      <w:szCs w:val="21"/>
                    </w:rPr>
                  </w:pPr>
                </w:p>
              </w:tc>
              <w:tc>
                <w:tcPr>
                  <w:tcW w:w="1356" w:type="pct"/>
                  <w:vMerge w:val="continue"/>
                  <w:noWrap w:val="0"/>
                  <w:vAlign w:val="center"/>
                </w:tcPr>
                <w:p w14:paraId="04AFC169">
                  <w:pPr>
                    <w:jc w:val="center"/>
                    <w:rPr>
                      <w:rFonts w:hint="eastAsia"/>
                      <w:color w:val="auto"/>
                      <w:szCs w:val="21"/>
                      <w:lang w:val="en-US" w:eastAsia="zh-CN"/>
                    </w:rPr>
                  </w:pPr>
                </w:p>
              </w:tc>
              <w:tc>
                <w:tcPr>
                  <w:tcW w:w="1328" w:type="pct"/>
                  <w:noWrap w:val="0"/>
                  <w:vAlign w:val="center"/>
                </w:tcPr>
                <w:p w14:paraId="2B63224F">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szCs w:val="21"/>
                    </w:rPr>
                    <w:t>废水处理</w:t>
                  </w:r>
                </w:p>
              </w:tc>
              <w:tc>
                <w:tcPr>
                  <w:tcW w:w="1613" w:type="pct"/>
                  <w:noWrap w:val="0"/>
                  <w:vAlign w:val="center"/>
                </w:tcPr>
                <w:p w14:paraId="5F8F28B1">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eastAsia="zh-CN"/>
                    </w:rPr>
                    <w:t>油泥</w:t>
                  </w:r>
                </w:p>
              </w:tc>
            </w:tr>
            <w:tr w14:paraId="7D32C3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2" w:type="pct"/>
                  <w:vMerge w:val="continue"/>
                  <w:noWrap w:val="0"/>
                  <w:vAlign w:val="center"/>
                </w:tcPr>
                <w:p w14:paraId="61CEF2FC">
                  <w:pPr>
                    <w:jc w:val="center"/>
                    <w:rPr>
                      <w:color w:val="auto"/>
                      <w:szCs w:val="21"/>
                    </w:rPr>
                  </w:pPr>
                </w:p>
              </w:tc>
              <w:tc>
                <w:tcPr>
                  <w:tcW w:w="1356" w:type="pct"/>
                  <w:vMerge w:val="continue"/>
                  <w:noWrap w:val="0"/>
                  <w:vAlign w:val="center"/>
                </w:tcPr>
                <w:p w14:paraId="2EC8F5D2">
                  <w:pPr>
                    <w:jc w:val="center"/>
                    <w:rPr>
                      <w:rFonts w:hint="eastAsia"/>
                      <w:color w:val="auto"/>
                      <w:szCs w:val="21"/>
                      <w:lang w:val="en-US" w:eastAsia="zh-CN"/>
                    </w:rPr>
                  </w:pPr>
                </w:p>
              </w:tc>
              <w:tc>
                <w:tcPr>
                  <w:tcW w:w="1328" w:type="pct"/>
                  <w:noWrap w:val="0"/>
                  <w:vAlign w:val="center"/>
                </w:tcPr>
                <w:p w14:paraId="6A517970">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日常照明</w:t>
                  </w:r>
                </w:p>
              </w:tc>
              <w:tc>
                <w:tcPr>
                  <w:tcW w:w="1613" w:type="pct"/>
                  <w:noWrap w:val="0"/>
                  <w:vAlign w:val="center"/>
                </w:tcPr>
                <w:p w14:paraId="5814675C">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废荧光灯管</w:t>
                  </w:r>
                </w:p>
              </w:tc>
            </w:tr>
          </w:tbl>
          <w:p w14:paraId="7990ED30">
            <w:pPr>
              <w:pStyle w:val="63"/>
              <w:spacing w:before="120" w:beforeLines="50" w:line="240" w:lineRule="auto"/>
              <w:ind w:firstLine="0" w:firstLineChars="0"/>
              <w:rPr>
                <w:rFonts w:hint="eastAsia" w:hAnsi="Times New Roman" w:cs="Times New Roman"/>
                <w:b/>
                <w:bCs/>
                <w:color w:val="auto"/>
                <w:szCs w:val="24"/>
              </w:rPr>
            </w:pPr>
          </w:p>
        </w:tc>
      </w:tr>
      <w:tr w14:paraId="03028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14" w:type="dxa"/>
            <w:noWrap w:val="0"/>
            <w:vAlign w:val="center"/>
          </w:tcPr>
          <w:p w14:paraId="130AB5C6">
            <w:pPr>
              <w:pStyle w:val="22"/>
              <w:adjustRightInd w:val="0"/>
              <w:snapToGrid w:val="0"/>
              <w:spacing w:before="0" w:beforeAutospacing="0" w:after="0" w:afterAutospacing="0"/>
              <w:jc w:val="center"/>
              <w:rPr>
                <w:rFonts w:ascii="Times New Roman" w:hAnsi="Times New Roman"/>
                <w:color w:val="auto"/>
                <w:szCs w:val="24"/>
              </w:rPr>
            </w:pPr>
            <w:r>
              <w:rPr>
                <w:rFonts w:ascii="Times New Roman" w:hAnsi="Times New Roman"/>
                <w:bCs/>
                <w:color w:val="auto"/>
                <w:kern w:val="2"/>
                <w:szCs w:val="24"/>
              </w:rPr>
              <w:t>与项目有关的原有环境污染问题</w:t>
            </w:r>
          </w:p>
        </w:tc>
        <w:tc>
          <w:tcPr>
            <w:tcW w:w="8346" w:type="dxa"/>
            <w:noWrap w:val="0"/>
            <w:vAlign w:val="center"/>
          </w:tcPr>
          <w:p w14:paraId="6578C05F">
            <w:pPr>
              <w:pStyle w:val="67"/>
              <w:keepNext w:val="0"/>
              <w:keepLines w:val="0"/>
              <w:pageBreakBefore w:val="0"/>
              <w:widowControl/>
              <w:kinsoku/>
              <w:wordWrap/>
              <w:overflowPunct/>
              <w:topLinePunct w:val="0"/>
              <w:autoSpaceDE/>
              <w:autoSpaceDN/>
              <w:bidi w:val="0"/>
              <w:adjustRightInd/>
              <w:snapToGrid/>
              <w:spacing w:before="157" w:beforeLines="50"/>
              <w:ind w:firstLine="480"/>
              <w:textAlignment w:val="auto"/>
              <w:rPr>
                <w:rFonts w:hint="eastAsia"/>
                <w:bCs/>
                <w:color w:val="auto"/>
                <w:sz w:val="24"/>
                <w:lang w:val="en-US" w:eastAsia="zh-CN"/>
              </w:rPr>
            </w:pPr>
            <w:r>
              <w:rPr>
                <w:rFonts w:hint="eastAsia" w:cs="Times New Roman"/>
                <w:color w:val="auto"/>
                <w:lang w:eastAsia="zh-CN"/>
              </w:rPr>
              <w:t>理行汽车销售服务（西安）有限公司第十八分公司于2023年10月租赁西咸新区沣东新城天章大道与丰安路十字西北角丰树沣东（西安）产业园1号库1-1号（</w:t>
            </w:r>
            <w:r>
              <w:rPr>
                <w:rFonts w:hint="eastAsia" w:cs="Times New Roman"/>
                <w:color w:val="auto"/>
                <w:lang w:val="en-US" w:eastAsia="zh-CN"/>
              </w:rPr>
              <w:t>面积4956平方米</w:t>
            </w:r>
            <w:r>
              <w:rPr>
                <w:rFonts w:hint="eastAsia" w:cs="Times New Roman"/>
                <w:color w:val="auto"/>
                <w:lang w:eastAsia="zh-CN"/>
              </w:rPr>
              <w:t>）进行项目建设，</w:t>
            </w:r>
            <w:r>
              <w:rPr>
                <w:rFonts w:hint="eastAsia"/>
                <w:bCs/>
                <w:color w:val="auto"/>
                <w:sz w:val="24"/>
                <w:lang w:val="en-US" w:eastAsia="zh-CN"/>
              </w:rPr>
              <w:t>项目建设服务中心和钣喷中心，于</w:t>
            </w:r>
            <w:r>
              <w:rPr>
                <w:rFonts w:hint="eastAsia" w:cs="Times New Roman"/>
                <w:color w:val="auto"/>
                <w:lang w:eastAsia="zh-CN"/>
              </w:rPr>
              <w:t>2024年1月投产运行。</w:t>
            </w:r>
            <w:r>
              <w:rPr>
                <w:rFonts w:hint="eastAsia"/>
                <w:bCs/>
                <w:color w:val="auto"/>
                <w:sz w:val="24"/>
                <w:lang w:val="en-US" w:eastAsia="zh-CN"/>
              </w:rPr>
              <w:t>服务中心为接待客户区，钣喷中心为车辆维修保养区，年维修车辆18000台/年，喷漆车辆4000台/年。</w:t>
            </w:r>
            <w:r>
              <w:rPr>
                <w:rFonts w:hint="eastAsia" w:cs="Times New Roman"/>
                <w:color w:val="auto"/>
                <w:lang w:eastAsia="zh-CN"/>
              </w:rPr>
              <w:t>根据现场踏勘，</w:t>
            </w:r>
            <w:r>
              <w:rPr>
                <w:rFonts w:hint="eastAsia" w:ascii="Times New Roman" w:hAnsi="Times New Roman" w:cs="Times New Roman"/>
                <w:color w:val="auto"/>
                <w:sz w:val="24"/>
                <w:lang w:val="en-US" w:eastAsia="zh-CN"/>
              </w:rPr>
              <w:t>厂房为钢结构和砖混结构厂房，地面已硬化。</w:t>
            </w:r>
            <w:r>
              <w:rPr>
                <w:rFonts w:hint="eastAsia"/>
                <w:bCs/>
                <w:color w:val="auto"/>
                <w:sz w:val="24"/>
                <w:lang w:val="en-US" w:eastAsia="zh-CN"/>
              </w:rPr>
              <w:t>根据</w:t>
            </w:r>
            <w:r>
              <w:rPr>
                <w:rFonts w:hint="eastAsia" w:ascii="Times New Roman" w:hAnsi="Times New Roman" w:eastAsia="宋体" w:cs="Times New Roman"/>
                <w:bCs/>
                <w:color w:val="auto"/>
                <w:sz w:val="24"/>
                <w:lang w:val="en-US" w:eastAsia="zh-CN"/>
              </w:rPr>
              <w:t>《建设项目环境影响评价分类管理名录》（部令第16号）</w:t>
            </w:r>
            <w:r>
              <w:rPr>
                <w:rFonts w:hint="eastAsia" w:cs="Times New Roman"/>
                <w:bCs/>
                <w:color w:val="auto"/>
                <w:sz w:val="24"/>
                <w:lang w:val="en-US" w:eastAsia="zh-CN"/>
              </w:rPr>
              <w:t>，</w:t>
            </w:r>
            <w:r>
              <w:rPr>
                <w:rFonts w:hint="eastAsia"/>
                <w:bCs/>
                <w:color w:val="auto"/>
                <w:sz w:val="24"/>
                <w:lang w:val="en-US" w:eastAsia="zh-CN"/>
              </w:rPr>
              <w:t>项目属于“五十、社会事业与服务业-121、汽车、摩托车维修场所-营业面积5000平方米及以上且使用溶剂型涂料的</w:t>
            </w:r>
            <w:r>
              <w:rPr>
                <w:rFonts w:hint="eastAsia"/>
                <w:bCs/>
                <w:color w:val="auto"/>
                <w:sz w:val="24"/>
                <w:lang w:eastAsia="zh-CN"/>
              </w:rPr>
              <w:t>”</w:t>
            </w:r>
            <w:r>
              <w:rPr>
                <w:rFonts w:hint="eastAsia"/>
                <w:bCs/>
                <w:color w:val="auto"/>
                <w:sz w:val="24"/>
                <w:lang w:val="en-US" w:eastAsia="zh-CN"/>
              </w:rPr>
              <w:t>需编制环境影响报告表</w:t>
            </w:r>
            <w:r>
              <w:rPr>
                <w:rFonts w:hint="eastAsia"/>
                <w:bCs/>
                <w:color w:val="auto"/>
                <w:sz w:val="24"/>
                <w:lang w:eastAsia="zh-CN"/>
              </w:rPr>
              <w:t>，</w:t>
            </w:r>
            <w:r>
              <w:rPr>
                <w:rFonts w:hint="eastAsia"/>
                <w:bCs/>
                <w:color w:val="auto"/>
                <w:sz w:val="24"/>
                <w:lang w:val="en-US" w:eastAsia="zh-CN"/>
              </w:rPr>
              <w:t>本项目租用4956平方米进行项目建设，小于5000平方米，因此不需要编制环境影响评价报告表。</w:t>
            </w:r>
          </w:p>
          <w:p w14:paraId="201BED0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color w:val="auto"/>
                <w:sz w:val="24"/>
                <w:lang w:val="en-US" w:eastAsia="zh-CN"/>
              </w:rPr>
            </w:pPr>
            <w:r>
              <w:rPr>
                <w:rFonts w:hint="eastAsia"/>
                <w:bCs/>
                <w:color w:val="auto"/>
                <w:sz w:val="24"/>
                <w:lang w:val="en-US" w:eastAsia="zh-CN"/>
              </w:rPr>
              <w:t>企业现增加洗车房248.831平方米，洗车房建成后总营业面积为5204.831平方米，大于5000平方米，根据《建设项目环境影响评价分类管理目录》，应当</w:t>
            </w:r>
            <w:r>
              <w:rPr>
                <w:rFonts w:hint="eastAsia" w:ascii="Times New Roman" w:hAnsi="Times New Roman" w:eastAsia="宋体" w:cs="Times New Roman"/>
                <w:bCs/>
                <w:color w:val="auto"/>
                <w:sz w:val="24"/>
                <w:lang w:val="en-US" w:eastAsia="zh-CN"/>
              </w:rPr>
              <w:t>编制环境影响报告表。</w:t>
            </w:r>
            <w:r>
              <w:rPr>
                <w:rFonts w:hint="eastAsia" w:cs="Times New Roman"/>
                <w:bCs/>
                <w:color w:val="auto"/>
                <w:sz w:val="24"/>
                <w:lang w:val="en-US" w:eastAsia="zh-CN"/>
              </w:rPr>
              <w:t>本次对理想汽车西咸服务中心项目进行整体性评价，评价内容包括服务中心、钣喷中心和洗车房等所有营业内容。</w:t>
            </w:r>
            <w:r>
              <w:rPr>
                <w:rFonts w:hint="eastAsia"/>
                <w:bCs/>
                <w:color w:val="auto"/>
                <w:sz w:val="24"/>
                <w:lang w:val="en-US" w:eastAsia="zh-CN"/>
              </w:rPr>
              <w:t>现有工程污染治理措施及污染物排放情况纳入本次项目一并进行分析。</w:t>
            </w:r>
          </w:p>
          <w:p w14:paraId="78BC545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s="Times New Roman"/>
                <w:color w:val="auto"/>
                <w:sz w:val="24"/>
                <w:lang w:val="en-US" w:eastAsia="zh-CN"/>
              </w:rPr>
            </w:pPr>
            <w:r>
              <w:rPr>
                <w:rFonts w:hint="eastAsia" w:cs="Times New Roman"/>
                <w:bCs/>
                <w:color w:val="auto"/>
                <w:sz w:val="24"/>
                <w:lang w:val="en-US" w:eastAsia="zh-CN"/>
              </w:rPr>
              <w:t>企业已编制《</w:t>
            </w:r>
            <w:r>
              <w:rPr>
                <w:rFonts w:hint="eastAsia"/>
                <w:bCs/>
                <w:color w:val="auto"/>
                <w:sz w:val="24"/>
              </w:rPr>
              <w:t>理行汽车销售服务（西安）有限公司第十八分公司</w:t>
            </w:r>
            <w:r>
              <w:rPr>
                <w:rFonts w:hint="eastAsia" w:cs="Times New Roman"/>
                <w:bCs/>
                <w:color w:val="auto"/>
                <w:sz w:val="24"/>
                <w:lang w:val="en-US" w:eastAsia="zh-CN"/>
              </w:rPr>
              <w:t>突发环境事件应急预案》，并于2024年8月9日取得陕西省西咸新区生态环境局（沣东）工作部下发的备案表，备案编号610163-2024-40-L。</w:t>
            </w:r>
          </w:p>
          <w:p w14:paraId="093DB9A0">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cs="Times New Roman"/>
                <w:color w:val="auto"/>
                <w:sz w:val="24"/>
                <w:lang w:val="en-US" w:eastAsia="zh-CN"/>
              </w:rPr>
            </w:pPr>
            <w:r>
              <w:rPr>
                <w:rFonts w:hint="eastAsia" w:cs="Times New Roman"/>
                <w:b/>
                <w:bCs/>
                <w:color w:val="auto"/>
                <w:sz w:val="24"/>
                <w:lang w:val="en-US" w:eastAsia="zh-CN"/>
              </w:rPr>
              <w:t>2、现有工程存在的环境问题及整改措施</w:t>
            </w:r>
          </w:p>
          <w:p w14:paraId="57C91CB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color w:val="auto"/>
                <w:sz w:val="24"/>
              </w:rPr>
            </w:pPr>
            <w:r>
              <w:rPr>
                <w:rFonts w:hint="eastAsia" w:ascii="Times New Roman" w:hAnsi="Times New Roman" w:cs="Times New Roman"/>
                <w:color w:val="auto"/>
                <w:sz w:val="24"/>
                <w:lang w:val="en-US" w:eastAsia="zh-CN"/>
              </w:rPr>
              <w:t>根据现场踏勘，本项目</w:t>
            </w:r>
            <w:r>
              <w:rPr>
                <w:rFonts w:ascii="Times New Roman" w:hAnsi="Times New Roman" w:cs="Times New Roman"/>
                <w:color w:val="auto"/>
                <w:sz w:val="24"/>
              </w:rPr>
              <w:t>存在的环境问题及整改措施见下表：</w:t>
            </w:r>
          </w:p>
          <w:p w14:paraId="22449BD0">
            <w:pPr>
              <w:jc w:val="center"/>
              <w:rPr>
                <w:rFonts w:ascii="Times New Roman" w:hAnsi="Times New Roman" w:cs="Times New Roman"/>
                <w:color w:val="auto"/>
                <w:sz w:val="24"/>
              </w:rPr>
            </w:pPr>
            <w:r>
              <w:rPr>
                <w:rFonts w:ascii="Times New Roman" w:hAnsi="Times New Roman" w:cs="Times New Roman"/>
                <w:b/>
                <w:bCs/>
                <w:color w:val="auto"/>
                <w:sz w:val="24"/>
              </w:rPr>
              <w:t>表2-</w:t>
            </w:r>
            <w:r>
              <w:rPr>
                <w:rFonts w:hint="eastAsia" w:cs="Times New Roman"/>
                <w:b/>
                <w:bCs/>
                <w:color w:val="auto"/>
                <w:sz w:val="24"/>
                <w:lang w:val="en-US" w:eastAsia="zh-CN"/>
              </w:rPr>
              <w:t>12</w:t>
            </w:r>
            <w:r>
              <w:rPr>
                <w:rFonts w:ascii="Times New Roman" w:hAnsi="Times New Roman" w:cs="Times New Roman"/>
                <w:b/>
                <w:bCs/>
                <w:color w:val="auto"/>
                <w:sz w:val="24"/>
              </w:rPr>
              <w:t xml:space="preserve">  存在的环境问题及整改措施汇总一览表</w:t>
            </w:r>
          </w:p>
          <w:tbl>
            <w:tblPr>
              <w:tblStyle w:val="25"/>
              <w:tblW w:w="825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31"/>
              <w:gridCol w:w="3505"/>
              <w:gridCol w:w="3621"/>
            </w:tblGrid>
            <w:tr w14:paraId="5FB91A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1" w:type="dxa"/>
                  <w:noWrap w:val="0"/>
                  <w:vAlign w:val="center"/>
                </w:tcPr>
                <w:p w14:paraId="2FDDB4FD">
                  <w:pPr>
                    <w:jc w:val="center"/>
                    <w:rPr>
                      <w:rFonts w:ascii="Times New Roman" w:hAnsi="Times New Roman" w:cs="Times New Roman"/>
                      <w:b/>
                      <w:bCs/>
                      <w:color w:val="auto"/>
                      <w:szCs w:val="21"/>
                    </w:rPr>
                  </w:pPr>
                  <w:r>
                    <w:rPr>
                      <w:rFonts w:ascii="Times New Roman" w:hAnsi="Times New Roman" w:cs="Times New Roman"/>
                      <w:b/>
                      <w:bCs/>
                      <w:color w:val="auto"/>
                      <w:szCs w:val="21"/>
                    </w:rPr>
                    <w:t>项目</w:t>
                  </w:r>
                </w:p>
              </w:tc>
              <w:tc>
                <w:tcPr>
                  <w:tcW w:w="3505" w:type="dxa"/>
                  <w:noWrap w:val="0"/>
                  <w:vAlign w:val="center"/>
                </w:tcPr>
                <w:p w14:paraId="0BBA2198">
                  <w:pPr>
                    <w:jc w:val="center"/>
                    <w:rPr>
                      <w:rFonts w:ascii="Times New Roman" w:hAnsi="Times New Roman" w:cs="Times New Roman"/>
                      <w:b/>
                      <w:bCs/>
                      <w:color w:val="auto"/>
                      <w:szCs w:val="21"/>
                    </w:rPr>
                  </w:pPr>
                  <w:r>
                    <w:rPr>
                      <w:rFonts w:hint="eastAsia" w:ascii="Times New Roman" w:hAnsi="Times New Roman" w:cs="Times New Roman"/>
                      <w:b/>
                      <w:bCs/>
                      <w:color w:val="auto"/>
                      <w:szCs w:val="21"/>
                      <w:lang w:val="en-US" w:eastAsia="zh-CN"/>
                    </w:rPr>
                    <w:t>现存的</w:t>
                  </w:r>
                  <w:r>
                    <w:rPr>
                      <w:rFonts w:ascii="Times New Roman" w:hAnsi="Times New Roman" w:cs="Times New Roman"/>
                      <w:b/>
                      <w:bCs/>
                      <w:color w:val="auto"/>
                      <w:szCs w:val="21"/>
                    </w:rPr>
                    <w:t>环保问题</w:t>
                  </w:r>
                </w:p>
              </w:tc>
              <w:tc>
                <w:tcPr>
                  <w:tcW w:w="3621" w:type="dxa"/>
                  <w:noWrap w:val="0"/>
                  <w:vAlign w:val="center"/>
                </w:tcPr>
                <w:p w14:paraId="035C5D2D">
                  <w:pPr>
                    <w:jc w:val="center"/>
                    <w:rPr>
                      <w:rFonts w:ascii="Times New Roman" w:hAnsi="Times New Roman" w:cs="Times New Roman"/>
                      <w:b/>
                      <w:bCs/>
                      <w:color w:val="auto"/>
                      <w:szCs w:val="21"/>
                    </w:rPr>
                  </w:pPr>
                  <w:r>
                    <w:rPr>
                      <w:rFonts w:ascii="Times New Roman" w:hAnsi="Times New Roman" w:cs="Times New Roman"/>
                      <w:b/>
                      <w:bCs/>
                      <w:color w:val="auto"/>
                      <w:szCs w:val="21"/>
                    </w:rPr>
                    <w:t>整改措施</w:t>
                  </w:r>
                  <w:r>
                    <w:rPr>
                      <w:rFonts w:hint="eastAsia" w:ascii="Times New Roman" w:hAnsi="Times New Roman" w:cs="Times New Roman"/>
                      <w:b/>
                      <w:bCs/>
                      <w:color w:val="auto"/>
                      <w:szCs w:val="21"/>
                      <w:lang w:val="en-US" w:eastAsia="zh-CN"/>
                    </w:rPr>
                    <w:t>及</w:t>
                  </w:r>
                  <w:r>
                    <w:rPr>
                      <w:rFonts w:ascii="Times New Roman" w:hAnsi="Times New Roman" w:cs="Times New Roman"/>
                      <w:b/>
                      <w:bCs/>
                      <w:color w:val="auto"/>
                      <w:szCs w:val="21"/>
                    </w:rPr>
                    <w:t>要求</w:t>
                  </w:r>
                </w:p>
              </w:tc>
            </w:tr>
            <w:tr w14:paraId="10E5A6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31" w:type="dxa"/>
                  <w:vMerge w:val="restart"/>
                  <w:noWrap w:val="0"/>
                  <w:vAlign w:val="center"/>
                </w:tcPr>
                <w:p w14:paraId="76CBAB00">
                  <w:pPr>
                    <w:jc w:val="center"/>
                    <w:rPr>
                      <w:rFonts w:hint="default" w:ascii="Times New Roman" w:hAnsi="Times New Roman" w:eastAsia="宋体" w:cs="Times New Roman"/>
                      <w:color w:val="auto"/>
                      <w:szCs w:val="21"/>
                      <w:lang w:val="en-US" w:eastAsia="zh-CN"/>
                    </w:rPr>
                  </w:pPr>
                  <w:r>
                    <w:rPr>
                      <w:rFonts w:ascii="Times New Roman" w:hAnsi="Times New Roman" w:cs="Times New Roman"/>
                      <w:color w:val="auto"/>
                      <w:szCs w:val="21"/>
                    </w:rPr>
                    <w:t>废气</w:t>
                  </w:r>
                </w:p>
              </w:tc>
              <w:tc>
                <w:tcPr>
                  <w:tcW w:w="3505" w:type="dxa"/>
                  <w:noWrap w:val="0"/>
                  <w:vAlign w:val="center"/>
                </w:tcPr>
                <w:p w14:paraId="5EDC4E19">
                  <w:pPr>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喷烤漆房和中涂房现采用活性炭为一级活性炭，不</w:t>
                  </w:r>
                  <w:r>
                    <w:rPr>
                      <w:rFonts w:hint="eastAsia" w:cs="Times New Roman"/>
                      <w:color w:val="auto"/>
                      <w:szCs w:val="21"/>
                      <w:lang w:val="en-US" w:eastAsia="zh-CN"/>
                    </w:rPr>
                    <w:t>符合西安市有机废气现有环保措施管理政策要求</w:t>
                  </w:r>
                </w:p>
              </w:tc>
              <w:tc>
                <w:tcPr>
                  <w:tcW w:w="3621" w:type="dxa"/>
                  <w:noWrap w:val="0"/>
                  <w:vAlign w:val="center"/>
                </w:tcPr>
                <w:p w14:paraId="2031573D">
                  <w:pPr>
                    <w:jc w:val="center"/>
                    <w:rPr>
                      <w:rFonts w:hint="default" w:ascii="Times New Roman" w:hAnsi="Times New Roman" w:cs="Times New Roman"/>
                      <w:color w:val="auto"/>
                      <w:szCs w:val="21"/>
                      <w:lang w:val="en-US"/>
                    </w:rPr>
                  </w:pPr>
                  <w:r>
                    <w:rPr>
                      <w:rFonts w:hint="eastAsia" w:ascii="Times New Roman" w:hAnsi="Times New Roman" w:cs="Times New Roman"/>
                      <w:color w:val="auto"/>
                      <w:szCs w:val="21"/>
                      <w:lang w:val="en-US" w:eastAsia="zh-CN"/>
                    </w:rPr>
                    <w:t>喷烤漆房和中涂房采用二级活性炭处理有机废气</w:t>
                  </w:r>
                </w:p>
              </w:tc>
            </w:tr>
            <w:tr w14:paraId="43DEEB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31" w:type="dxa"/>
                  <w:vMerge w:val="continue"/>
                  <w:noWrap w:val="0"/>
                  <w:vAlign w:val="center"/>
                </w:tcPr>
                <w:p w14:paraId="0A85F796">
                  <w:pPr>
                    <w:jc w:val="center"/>
                    <w:rPr>
                      <w:rFonts w:ascii="Times New Roman" w:hAnsi="Times New Roman" w:cs="Times New Roman"/>
                      <w:color w:val="auto"/>
                      <w:szCs w:val="21"/>
                    </w:rPr>
                  </w:pPr>
                </w:p>
              </w:tc>
              <w:tc>
                <w:tcPr>
                  <w:tcW w:w="3505" w:type="dxa"/>
                  <w:noWrap w:val="0"/>
                  <w:vAlign w:val="center"/>
                </w:tcPr>
                <w:p w14:paraId="2DC55816">
                  <w:pPr>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调漆废气汇入打磨DA005排气筒排放</w:t>
                  </w:r>
                  <w:r>
                    <w:rPr>
                      <w:rFonts w:hint="eastAsia" w:cs="Times New Roman"/>
                      <w:color w:val="auto"/>
                      <w:szCs w:val="21"/>
                      <w:lang w:val="en-US" w:eastAsia="zh-CN"/>
                    </w:rPr>
                    <w:t>，有机废气和颗粒物混合排放不利于环境管理，需按不同种类各自处理</w:t>
                  </w:r>
                </w:p>
              </w:tc>
              <w:tc>
                <w:tcPr>
                  <w:tcW w:w="3621" w:type="dxa"/>
                  <w:vMerge w:val="restart"/>
                  <w:noWrap w:val="0"/>
                  <w:vAlign w:val="center"/>
                </w:tcPr>
                <w:p w14:paraId="63EE622B">
                  <w:pPr>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调漆废气</w:t>
                  </w:r>
                  <w:r>
                    <w:rPr>
                      <w:rFonts w:hint="eastAsia" w:cs="Times New Roman"/>
                      <w:color w:val="auto"/>
                      <w:szCs w:val="21"/>
                      <w:lang w:val="en-US" w:eastAsia="zh-CN"/>
                    </w:rPr>
                    <w:t>、危废贮存库2#通过喷烤漆房3#废气处理设施“二级活性炭”处理</w:t>
                  </w:r>
                </w:p>
              </w:tc>
            </w:tr>
            <w:tr w14:paraId="518876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31" w:type="dxa"/>
                  <w:vMerge w:val="continue"/>
                  <w:noWrap w:val="0"/>
                  <w:vAlign w:val="center"/>
                </w:tcPr>
                <w:p w14:paraId="04ED40F5">
                  <w:pPr>
                    <w:jc w:val="center"/>
                    <w:rPr>
                      <w:rFonts w:ascii="Times New Roman" w:hAnsi="Times New Roman" w:cs="Times New Roman"/>
                      <w:color w:val="auto"/>
                      <w:szCs w:val="21"/>
                    </w:rPr>
                  </w:pPr>
                </w:p>
              </w:tc>
              <w:tc>
                <w:tcPr>
                  <w:tcW w:w="3505" w:type="dxa"/>
                  <w:noWrap w:val="0"/>
                  <w:vAlign w:val="center"/>
                </w:tcPr>
                <w:p w14:paraId="2D18C686">
                  <w:pPr>
                    <w:jc w:val="center"/>
                    <w:rPr>
                      <w:rFonts w:hint="default" w:cs="Times New Roman"/>
                      <w:color w:val="auto"/>
                      <w:szCs w:val="21"/>
                      <w:lang w:val="en-US" w:eastAsia="zh-CN"/>
                    </w:rPr>
                  </w:pPr>
                  <w:r>
                    <w:rPr>
                      <w:rFonts w:hint="eastAsia" w:cs="Times New Roman"/>
                      <w:color w:val="auto"/>
                      <w:szCs w:val="21"/>
                      <w:lang w:val="en-US" w:eastAsia="zh-CN"/>
                    </w:rPr>
                    <w:t>危废贮存库2#未设置废气处理设施</w:t>
                  </w:r>
                </w:p>
              </w:tc>
              <w:tc>
                <w:tcPr>
                  <w:tcW w:w="3621" w:type="dxa"/>
                  <w:vMerge w:val="continue"/>
                  <w:noWrap w:val="0"/>
                  <w:vAlign w:val="center"/>
                </w:tcPr>
                <w:p w14:paraId="09D38F77">
                  <w:pPr>
                    <w:jc w:val="center"/>
                    <w:rPr>
                      <w:rFonts w:hint="eastAsia" w:ascii="Times New Roman" w:hAnsi="Times New Roman" w:cs="Times New Roman"/>
                      <w:color w:val="auto"/>
                      <w:szCs w:val="21"/>
                      <w:lang w:val="en-US" w:eastAsia="zh-CN"/>
                    </w:rPr>
                  </w:pPr>
                </w:p>
              </w:tc>
            </w:tr>
            <w:tr w14:paraId="06696D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31" w:type="dxa"/>
                  <w:vMerge w:val="continue"/>
                  <w:noWrap w:val="0"/>
                  <w:vAlign w:val="center"/>
                </w:tcPr>
                <w:p w14:paraId="2D585E6A">
                  <w:pPr>
                    <w:jc w:val="center"/>
                    <w:rPr>
                      <w:rFonts w:ascii="Times New Roman" w:hAnsi="Times New Roman" w:cs="Times New Roman"/>
                      <w:color w:val="auto"/>
                      <w:szCs w:val="21"/>
                    </w:rPr>
                  </w:pPr>
                </w:p>
              </w:tc>
              <w:tc>
                <w:tcPr>
                  <w:tcW w:w="3505" w:type="dxa"/>
                  <w:noWrap w:val="0"/>
                  <w:vAlign w:val="center"/>
                </w:tcPr>
                <w:p w14:paraId="766AC8EF">
                  <w:pPr>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危废贮存库1#未设置废气处理设施</w:t>
                  </w:r>
                </w:p>
              </w:tc>
              <w:tc>
                <w:tcPr>
                  <w:tcW w:w="3621" w:type="dxa"/>
                  <w:noWrap w:val="0"/>
                  <w:vAlign w:val="center"/>
                </w:tcPr>
                <w:p w14:paraId="47BF1368">
                  <w:pPr>
                    <w:jc w:val="center"/>
                    <w:rPr>
                      <w:rFonts w:hint="eastAsia" w:ascii="Times New Roman" w:hAnsi="Times New Roman" w:cs="Times New Roman"/>
                      <w:color w:val="auto"/>
                      <w:szCs w:val="21"/>
                      <w:lang w:val="en-US" w:eastAsia="zh-CN"/>
                    </w:rPr>
                  </w:pPr>
                  <w:r>
                    <w:rPr>
                      <w:rFonts w:hint="eastAsia" w:cs="Times New Roman"/>
                      <w:color w:val="auto"/>
                      <w:szCs w:val="21"/>
                      <w:lang w:val="en-US" w:eastAsia="zh-CN"/>
                    </w:rPr>
                    <w:t>危废贮存库1#</w:t>
                  </w:r>
                  <w:r>
                    <w:rPr>
                      <w:rFonts w:hint="eastAsia" w:ascii="Times New Roman" w:hAnsi="Times New Roman" w:cs="Times New Roman"/>
                      <w:color w:val="auto"/>
                      <w:szCs w:val="21"/>
                      <w:lang w:val="en-US" w:eastAsia="zh-CN"/>
                    </w:rPr>
                    <w:t>采用活性炭吸附装置处理后，车间内无组织排放</w:t>
                  </w:r>
                </w:p>
              </w:tc>
            </w:tr>
            <w:tr w14:paraId="3FBC76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31" w:type="dxa"/>
                  <w:vMerge w:val="restart"/>
                  <w:noWrap w:val="0"/>
                  <w:vAlign w:val="center"/>
                </w:tcPr>
                <w:p w14:paraId="0E19D32D">
                  <w:pPr>
                    <w:jc w:val="center"/>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危险废物</w:t>
                  </w:r>
                </w:p>
              </w:tc>
              <w:tc>
                <w:tcPr>
                  <w:tcW w:w="3505" w:type="dxa"/>
                  <w:noWrap w:val="0"/>
                  <w:vAlign w:val="center"/>
                </w:tcPr>
                <w:p w14:paraId="71E48B5A">
                  <w:pPr>
                    <w:jc w:val="center"/>
                    <w:rPr>
                      <w:rFonts w:hint="default" w:cs="Times New Roman"/>
                      <w:color w:val="auto"/>
                      <w:szCs w:val="21"/>
                      <w:lang w:val="en-US" w:eastAsia="zh-CN"/>
                    </w:rPr>
                  </w:pPr>
                  <w:r>
                    <w:rPr>
                      <w:rFonts w:hint="eastAsia" w:cs="Times New Roman"/>
                      <w:color w:val="auto"/>
                      <w:szCs w:val="21"/>
                      <w:lang w:val="en-US" w:eastAsia="zh-CN"/>
                    </w:rPr>
                    <w:t>废油室和危废贮存库按照危废贮存库1#、危废贮存库2#完善标识牌</w:t>
                  </w:r>
                </w:p>
              </w:tc>
              <w:tc>
                <w:tcPr>
                  <w:tcW w:w="3621" w:type="dxa"/>
                  <w:vMerge w:val="restart"/>
                  <w:noWrap w:val="0"/>
                  <w:vAlign w:val="center"/>
                </w:tcPr>
                <w:p w14:paraId="79EE583C">
                  <w:pPr>
                    <w:jc w:val="center"/>
                    <w:rPr>
                      <w:rFonts w:hint="eastAsia" w:cs="Times New Roman"/>
                      <w:color w:val="auto"/>
                      <w:szCs w:val="21"/>
                      <w:lang w:val="en-US" w:eastAsia="zh-CN"/>
                    </w:rPr>
                  </w:pPr>
                  <w:r>
                    <w:rPr>
                      <w:rFonts w:hint="eastAsia" w:cs="Times New Roman"/>
                      <w:color w:val="auto"/>
                      <w:szCs w:val="21"/>
                      <w:lang w:val="en-US" w:eastAsia="zh-CN"/>
                    </w:rPr>
                    <w:t>危废贮存库1#、危废贮存库2#</w:t>
                  </w:r>
                  <w:r>
                    <w:rPr>
                      <w:rFonts w:hint="eastAsia" w:ascii="Times New Roman" w:hAnsi="Times New Roman" w:cs="Times New Roman"/>
                      <w:color w:val="auto"/>
                      <w:szCs w:val="21"/>
                      <w:lang w:val="en-US" w:eastAsia="zh-CN"/>
                    </w:rPr>
                    <w:t>按照实际分区进行分区标识更换，分区标识及危废贮存标识按照《危险废物识别标志设置技术规范》（HJ1276-2022）进行更换</w:t>
                  </w:r>
                </w:p>
              </w:tc>
            </w:tr>
            <w:tr w14:paraId="32A579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131" w:type="dxa"/>
                  <w:vMerge w:val="continue"/>
                  <w:noWrap w:val="0"/>
                  <w:vAlign w:val="center"/>
                </w:tcPr>
                <w:p w14:paraId="7190B7A7">
                  <w:pPr>
                    <w:jc w:val="center"/>
                    <w:rPr>
                      <w:rFonts w:hint="eastAsia" w:ascii="Times New Roman" w:hAnsi="Times New Roman" w:eastAsia="宋体" w:cs="Times New Roman"/>
                      <w:color w:val="auto"/>
                      <w:szCs w:val="21"/>
                      <w:lang w:val="en-US" w:eastAsia="zh-CN"/>
                    </w:rPr>
                  </w:pPr>
                </w:p>
              </w:tc>
              <w:tc>
                <w:tcPr>
                  <w:tcW w:w="3505" w:type="dxa"/>
                  <w:noWrap w:val="0"/>
                  <w:vAlign w:val="center"/>
                </w:tcPr>
                <w:p w14:paraId="7365D3D0">
                  <w:pPr>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危废贮存库1#、危废贮存库2#</w:t>
                  </w:r>
                  <w:r>
                    <w:rPr>
                      <w:rFonts w:hint="eastAsia" w:ascii="Times New Roman" w:hAnsi="Times New Roman" w:cs="Times New Roman"/>
                      <w:color w:val="auto"/>
                      <w:szCs w:val="21"/>
                      <w:lang w:val="en-US" w:eastAsia="zh-CN"/>
                    </w:rPr>
                    <w:t>分区标识和实际位置存在不符，危废贮存标识填写内容有误</w:t>
                  </w:r>
                </w:p>
              </w:tc>
              <w:tc>
                <w:tcPr>
                  <w:tcW w:w="3621" w:type="dxa"/>
                  <w:vMerge w:val="continue"/>
                  <w:noWrap w:val="0"/>
                  <w:vAlign w:val="center"/>
                </w:tcPr>
                <w:p w14:paraId="03CA6107">
                  <w:pPr>
                    <w:jc w:val="center"/>
                    <w:rPr>
                      <w:rFonts w:hint="eastAsia" w:ascii="Times New Roman" w:hAnsi="Times New Roman" w:cs="Times New Roman"/>
                      <w:color w:val="auto"/>
                      <w:szCs w:val="21"/>
                      <w:lang w:val="en-US" w:eastAsia="zh-CN"/>
                    </w:rPr>
                  </w:pPr>
                </w:p>
              </w:tc>
            </w:tr>
          </w:tbl>
          <w:p w14:paraId="0EC76385">
            <w:pPr>
              <w:pStyle w:val="67"/>
              <w:keepNext w:val="0"/>
              <w:keepLines w:val="0"/>
              <w:pageBreakBefore w:val="0"/>
              <w:widowControl/>
              <w:kinsoku/>
              <w:wordWrap/>
              <w:overflowPunct/>
              <w:topLinePunct w:val="0"/>
              <w:autoSpaceDE/>
              <w:autoSpaceDN/>
              <w:bidi w:val="0"/>
              <w:adjustRightInd/>
              <w:snapToGrid/>
              <w:spacing w:before="157" w:beforeLines="50"/>
              <w:ind w:firstLine="480"/>
              <w:textAlignment w:val="auto"/>
              <w:rPr>
                <w:rFonts w:hint="eastAsia" w:cs="Times New Roman"/>
                <w:color w:val="auto"/>
                <w:sz w:val="24"/>
                <w:lang w:val="en-US" w:eastAsia="zh-CN"/>
              </w:rPr>
            </w:pPr>
            <w:r>
              <w:rPr>
                <w:rFonts w:hint="eastAsia" w:cs="Times New Roman"/>
                <w:color w:val="auto"/>
                <w:sz w:val="24"/>
                <w:lang w:val="en-US" w:eastAsia="zh-CN"/>
              </w:rPr>
              <w:t>现有工程存在的环境问题要求企业纳入本次项目一并整改。</w:t>
            </w:r>
          </w:p>
          <w:p w14:paraId="48F48E94">
            <w:pPr>
              <w:pStyle w:val="67"/>
              <w:keepNext w:val="0"/>
              <w:keepLines w:val="0"/>
              <w:pageBreakBefore w:val="0"/>
              <w:widowControl/>
              <w:kinsoku/>
              <w:wordWrap/>
              <w:overflowPunct/>
              <w:topLinePunct w:val="0"/>
              <w:autoSpaceDE/>
              <w:autoSpaceDN/>
              <w:bidi w:val="0"/>
              <w:adjustRightInd/>
              <w:snapToGrid/>
              <w:spacing w:line="240" w:lineRule="auto"/>
              <w:ind w:left="0" w:leftChars="0" w:firstLine="0" w:firstLineChars="0"/>
              <w:textAlignment w:val="auto"/>
              <w:rPr>
                <w:rFonts w:hint="default" w:cs="Times New Roman"/>
                <w:b/>
                <w:bCs/>
                <w:color w:val="auto"/>
                <w:lang w:val="en-US" w:eastAsia="zh-CN"/>
              </w:rPr>
            </w:pPr>
          </w:p>
        </w:tc>
      </w:tr>
    </w:tbl>
    <w:p w14:paraId="19E08EDA">
      <w:pPr>
        <w:pStyle w:val="22"/>
        <w:jc w:val="center"/>
        <w:rPr>
          <w:rFonts w:ascii="黑体" w:hAnsi="黑体" w:eastAsia="黑体"/>
          <w:snapToGrid w:val="0"/>
          <w:color w:val="auto"/>
          <w:sz w:val="36"/>
          <w:szCs w:val="36"/>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1F12EEA2">
      <w:pPr>
        <w:pStyle w:val="22"/>
        <w:jc w:val="center"/>
        <w:outlineLvl w:val="0"/>
        <w:rPr>
          <w:rFonts w:ascii="黑体" w:hAnsi="黑体" w:eastAsia="黑体"/>
          <w:snapToGrid w:val="0"/>
          <w:color w:val="auto"/>
          <w:sz w:val="30"/>
          <w:szCs w:val="30"/>
        </w:rPr>
      </w:pPr>
      <w:r>
        <w:rPr>
          <w:rFonts w:hint="eastAsia" w:ascii="黑体" w:hAnsi="黑体" w:eastAsia="黑体"/>
          <w:snapToGrid w:val="0"/>
          <w:color w:val="auto"/>
          <w:sz w:val="30"/>
          <w:szCs w:val="30"/>
        </w:rPr>
        <w:t>三、区域环境质量现状、环境保护目标及评价标准</w:t>
      </w:r>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00"/>
        <w:gridCol w:w="8190"/>
      </w:tblGrid>
      <w:tr w14:paraId="376180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10" w:hRule="atLeast"/>
          <w:jc w:val="center"/>
        </w:trPr>
        <w:tc>
          <w:tcPr>
            <w:tcW w:w="800" w:type="dxa"/>
            <w:noWrap w:val="0"/>
            <w:vAlign w:val="center"/>
          </w:tcPr>
          <w:p w14:paraId="6C58A331">
            <w:pPr>
              <w:adjustRightInd w:val="0"/>
              <w:snapToGrid w:val="0"/>
              <w:jc w:val="center"/>
              <w:rPr>
                <w:color w:val="auto"/>
                <w:kern w:val="0"/>
                <w:sz w:val="24"/>
              </w:rPr>
            </w:pPr>
            <w:r>
              <w:rPr>
                <w:color w:val="auto"/>
                <w:kern w:val="0"/>
                <w:sz w:val="24"/>
              </w:rPr>
              <w:t>区域环境质量现状</w:t>
            </w:r>
          </w:p>
        </w:tc>
        <w:tc>
          <w:tcPr>
            <w:tcW w:w="8190" w:type="dxa"/>
            <w:noWrap w:val="0"/>
            <w:vAlign w:val="center"/>
          </w:tcPr>
          <w:p w14:paraId="10C2A72A">
            <w:pPr>
              <w:tabs>
                <w:tab w:val="left" w:pos="8607"/>
              </w:tabs>
              <w:spacing w:before="120" w:beforeLines="50" w:line="360" w:lineRule="auto"/>
              <w:ind w:firstLine="482" w:firstLineChars="200"/>
              <w:rPr>
                <w:b/>
                <w:color w:val="auto"/>
                <w:sz w:val="24"/>
              </w:rPr>
            </w:pPr>
            <w:r>
              <w:rPr>
                <w:b/>
                <w:color w:val="auto"/>
                <w:sz w:val="24"/>
              </w:rPr>
              <w:t>1、</w:t>
            </w:r>
            <w:r>
              <w:rPr>
                <w:rFonts w:hint="eastAsia"/>
                <w:b/>
                <w:color w:val="auto"/>
                <w:sz w:val="24"/>
              </w:rPr>
              <w:t>环境空气</w:t>
            </w:r>
            <w:r>
              <w:rPr>
                <w:b/>
                <w:color w:val="auto"/>
                <w:sz w:val="24"/>
              </w:rPr>
              <w:t>质量现状</w:t>
            </w:r>
          </w:p>
          <w:p w14:paraId="684A6785">
            <w:pPr>
              <w:tabs>
                <w:tab w:val="left" w:pos="8607"/>
              </w:tabs>
              <w:spacing w:line="360" w:lineRule="auto"/>
              <w:ind w:firstLine="480" w:firstLineChars="200"/>
              <w:rPr>
                <w:bCs/>
                <w:color w:val="auto"/>
                <w:sz w:val="24"/>
              </w:rPr>
            </w:pPr>
            <w:bookmarkStart w:id="3" w:name="_Toc60024601"/>
            <w:bookmarkStart w:id="4" w:name="_Toc68847870"/>
            <w:bookmarkStart w:id="5" w:name="_Toc58638882"/>
            <w:bookmarkStart w:id="6" w:name="_Toc57868326"/>
            <w:bookmarkStart w:id="7" w:name="_Toc68348238"/>
            <w:bookmarkStart w:id="8" w:name="_Toc61861954"/>
            <w:bookmarkStart w:id="9" w:name="_Toc100071049"/>
            <w:bookmarkStart w:id="10" w:name="_Toc68774027"/>
            <w:bookmarkStart w:id="11" w:name="_Toc68582481"/>
            <w:bookmarkStart w:id="12" w:name="_Toc58810455"/>
            <w:bookmarkStart w:id="13" w:name="_Toc58641493"/>
            <w:bookmarkStart w:id="14" w:name="_Toc58810542"/>
            <w:bookmarkStart w:id="15" w:name="_Toc58229306"/>
            <w:bookmarkStart w:id="16" w:name="_Toc68766602"/>
            <w:bookmarkStart w:id="17" w:name="_Toc58491014"/>
            <w:bookmarkStart w:id="18" w:name="_Toc68507198"/>
            <w:bookmarkStart w:id="19" w:name="_Toc58731260"/>
            <w:bookmarkStart w:id="20" w:name="_Toc59965649"/>
            <w:bookmarkStart w:id="21" w:name="_Toc68749951"/>
            <w:bookmarkStart w:id="22" w:name="_Toc58643194"/>
            <w:bookmarkStart w:id="23" w:name="_Toc58646773"/>
            <w:bookmarkStart w:id="24" w:name="_Toc58041094"/>
            <w:bookmarkStart w:id="25" w:name="_Toc58121777"/>
            <w:bookmarkStart w:id="26" w:name="_Toc59682789"/>
            <w:bookmarkStart w:id="27" w:name="_Toc59851101"/>
            <w:bookmarkStart w:id="28" w:name="_Toc68686395"/>
            <w:bookmarkStart w:id="29" w:name="_Toc58314442"/>
            <w:bookmarkStart w:id="30" w:name="_Toc68684089"/>
            <w:bookmarkStart w:id="31" w:name="_Toc60035525"/>
            <w:bookmarkStart w:id="32" w:name="_Toc58816645"/>
            <w:bookmarkStart w:id="33" w:name="_Toc68676526"/>
            <w:bookmarkStart w:id="34" w:name="_Toc58124711"/>
            <w:bookmarkStart w:id="35" w:name="_Toc59266590"/>
            <w:r>
              <w:rPr>
                <w:bCs/>
                <w:color w:val="auto"/>
                <w:sz w:val="24"/>
              </w:rPr>
              <w:t>（1）基本污染物环境质量现状</w:t>
            </w:r>
          </w:p>
          <w:p w14:paraId="77773485">
            <w:pPr>
              <w:spacing w:line="360" w:lineRule="auto"/>
              <w:ind w:firstLine="480" w:firstLineChars="200"/>
              <w:rPr>
                <w:color w:val="auto"/>
                <w:sz w:val="24"/>
              </w:rPr>
            </w:pPr>
            <w:r>
              <w:rPr>
                <w:color w:val="auto"/>
                <w:sz w:val="24"/>
              </w:rPr>
              <w:t>根据</w:t>
            </w:r>
            <w:r>
              <w:rPr>
                <w:rFonts w:hint="eastAsia"/>
                <w:color w:val="auto"/>
                <w:sz w:val="24"/>
              </w:rPr>
              <w:t>陕西省生态环境厅办公室</w:t>
            </w:r>
            <w:r>
              <w:rPr>
                <w:color w:val="auto"/>
                <w:sz w:val="24"/>
              </w:rPr>
              <w:t>202</w:t>
            </w:r>
            <w:r>
              <w:rPr>
                <w:rFonts w:hint="eastAsia"/>
                <w:color w:val="auto"/>
                <w:sz w:val="24"/>
                <w:lang w:val="en-US" w:eastAsia="zh-CN"/>
              </w:rPr>
              <w:t>5</w:t>
            </w:r>
            <w:r>
              <w:rPr>
                <w:color w:val="auto"/>
                <w:sz w:val="24"/>
              </w:rPr>
              <w:t>年1月</w:t>
            </w:r>
            <w:r>
              <w:rPr>
                <w:rFonts w:hint="eastAsia"/>
                <w:color w:val="auto"/>
                <w:sz w:val="24"/>
                <w:lang w:val="en-US" w:eastAsia="zh-CN"/>
              </w:rPr>
              <w:t>21</w:t>
            </w:r>
            <w:r>
              <w:rPr>
                <w:color w:val="auto"/>
                <w:sz w:val="24"/>
              </w:rPr>
              <w:t>日发布的《环保快报》附表</w:t>
            </w:r>
            <w:r>
              <w:rPr>
                <w:rFonts w:hint="eastAsia"/>
                <w:color w:val="auto"/>
                <w:sz w:val="24"/>
              </w:rPr>
              <w:t>4</w:t>
            </w:r>
            <w:r>
              <w:rPr>
                <w:color w:val="auto"/>
                <w:sz w:val="24"/>
              </w:rPr>
              <w:t>：</w:t>
            </w:r>
            <w:r>
              <w:rPr>
                <w:rFonts w:hint="eastAsia"/>
                <w:bCs/>
                <w:color w:val="auto"/>
                <w:sz w:val="24"/>
              </w:rPr>
              <w:t>“</w:t>
            </w:r>
            <w:r>
              <w:rPr>
                <w:rFonts w:hint="eastAsia"/>
                <w:color w:val="auto"/>
                <w:sz w:val="24"/>
              </w:rPr>
              <w:t>202</w:t>
            </w:r>
            <w:r>
              <w:rPr>
                <w:rFonts w:hint="eastAsia"/>
                <w:color w:val="auto"/>
                <w:sz w:val="24"/>
                <w:lang w:val="en-US" w:eastAsia="zh-CN"/>
              </w:rPr>
              <w:t>4</w:t>
            </w:r>
            <w:r>
              <w:rPr>
                <w:rFonts w:hint="eastAsia"/>
                <w:color w:val="auto"/>
                <w:sz w:val="24"/>
              </w:rPr>
              <w:t>年1～12月关中地区6</w:t>
            </w:r>
            <w:r>
              <w:rPr>
                <w:rFonts w:hint="eastAsia"/>
                <w:color w:val="auto"/>
                <w:sz w:val="24"/>
                <w:lang w:val="en-US" w:eastAsia="zh-CN"/>
              </w:rPr>
              <w:t>3</w:t>
            </w:r>
            <w:r>
              <w:rPr>
                <w:rFonts w:hint="eastAsia"/>
                <w:color w:val="auto"/>
                <w:sz w:val="24"/>
              </w:rPr>
              <w:t>个县（区）空气质量状况统计表</w:t>
            </w:r>
            <w:r>
              <w:rPr>
                <w:rFonts w:hint="eastAsia"/>
                <w:bCs/>
                <w:color w:val="auto"/>
                <w:sz w:val="24"/>
              </w:rPr>
              <w:t>”</w:t>
            </w:r>
            <w:r>
              <w:rPr>
                <w:bCs/>
                <w:color w:val="auto"/>
                <w:sz w:val="24"/>
              </w:rPr>
              <w:t>中</w:t>
            </w:r>
            <w:r>
              <w:rPr>
                <w:rFonts w:hint="eastAsia"/>
                <w:bCs/>
                <w:color w:val="auto"/>
                <w:sz w:val="24"/>
              </w:rPr>
              <w:t>西安市西咸新区环境</w:t>
            </w:r>
            <w:r>
              <w:rPr>
                <w:bCs/>
                <w:color w:val="auto"/>
                <w:sz w:val="24"/>
              </w:rPr>
              <w:t>空气</w:t>
            </w:r>
            <w:r>
              <w:rPr>
                <w:rFonts w:hint="eastAsia"/>
                <w:bCs/>
                <w:color w:val="auto"/>
                <w:sz w:val="24"/>
              </w:rPr>
              <w:t>质量数据进行评价，评价因子主要有SO</w:t>
            </w:r>
            <w:r>
              <w:rPr>
                <w:rFonts w:hint="eastAsia"/>
                <w:bCs/>
                <w:color w:val="auto"/>
                <w:sz w:val="24"/>
                <w:vertAlign w:val="subscript"/>
              </w:rPr>
              <w:t>2</w:t>
            </w:r>
            <w:r>
              <w:rPr>
                <w:rFonts w:hint="eastAsia"/>
                <w:bCs/>
                <w:color w:val="auto"/>
                <w:sz w:val="24"/>
              </w:rPr>
              <w:t>、NO</w:t>
            </w:r>
            <w:r>
              <w:rPr>
                <w:rFonts w:hint="eastAsia"/>
                <w:bCs/>
                <w:color w:val="auto"/>
                <w:sz w:val="24"/>
                <w:vertAlign w:val="subscript"/>
              </w:rPr>
              <w:t>2</w:t>
            </w:r>
            <w:r>
              <w:rPr>
                <w:rFonts w:hint="eastAsia"/>
                <w:bCs/>
                <w:color w:val="auto"/>
                <w:sz w:val="24"/>
              </w:rPr>
              <w:t>、PM</w:t>
            </w:r>
            <w:r>
              <w:rPr>
                <w:rFonts w:hint="eastAsia"/>
                <w:bCs/>
                <w:color w:val="auto"/>
                <w:sz w:val="24"/>
                <w:vertAlign w:val="subscript"/>
              </w:rPr>
              <w:t>10</w:t>
            </w:r>
            <w:r>
              <w:rPr>
                <w:rFonts w:hint="eastAsia"/>
                <w:bCs/>
                <w:color w:val="auto"/>
                <w:sz w:val="24"/>
              </w:rPr>
              <w:t>、PM</w:t>
            </w:r>
            <w:r>
              <w:rPr>
                <w:rFonts w:hint="eastAsia"/>
                <w:bCs/>
                <w:color w:val="auto"/>
                <w:sz w:val="24"/>
                <w:vertAlign w:val="subscript"/>
              </w:rPr>
              <w:t>2.5</w:t>
            </w:r>
            <w:r>
              <w:rPr>
                <w:rFonts w:hint="eastAsia"/>
                <w:bCs/>
                <w:color w:val="auto"/>
                <w:sz w:val="24"/>
              </w:rPr>
              <w:t>、CO、O</w:t>
            </w:r>
            <w:r>
              <w:rPr>
                <w:rFonts w:hint="eastAsia"/>
                <w:bCs/>
                <w:color w:val="auto"/>
                <w:sz w:val="24"/>
                <w:vertAlign w:val="subscript"/>
              </w:rPr>
              <w:t>3</w:t>
            </w:r>
            <w:r>
              <w:rPr>
                <w:rFonts w:hint="eastAsia"/>
                <w:bCs/>
                <w:color w:val="auto"/>
                <w:sz w:val="24"/>
              </w:rPr>
              <w:t>六项指标，</w:t>
            </w:r>
            <w:r>
              <w:rPr>
                <w:bCs/>
                <w:color w:val="auto"/>
                <w:sz w:val="24"/>
              </w:rPr>
              <w:t>环境空气质量现状统计结果见下表。</w:t>
            </w:r>
          </w:p>
          <w:p w14:paraId="4C027F6A">
            <w:pPr>
              <w:pStyle w:val="63"/>
              <w:spacing w:line="240" w:lineRule="auto"/>
              <w:ind w:firstLine="0" w:firstLineChars="0"/>
              <w:jc w:val="center"/>
              <w:rPr>
                <w:rFonts w:hAnsi="Times New Roman" w:cs="Times New Roman"/>
                <w:b/>
                <w:bCs/>
                <w:color w:val="auto"/>
                <w:kern w:val="21"/>
                <w:szCs w:val="24"/>
              </w:rPr>
            </w:pPr>
            <w:r>
              <w:rPr>
                <w:rFonts w:hAnsi="Times New Roman" w:cs="Times New Roman"/>
                <w:b/>
                <w:bCs/>
                <w:color w:val="auto"/>
                <w:kern w:val="21"/>
                <w:szCs w:val="24"/>
              </w:rPr>
              <w:t>表</w:t>
            </w:r>
            <w:r>
              <w:rPr>
                <w:rFonts w:hint="eastAsia" w:hAnsi="Times New Roman" w:cs="Times New Roman"/>
                <w:b/>
                <w:bCs/>
                <w:color w:val="auto"/>
                <w:kern w:val="21"/>
                <w:szCs w:val="24"/>
              </w:rPr>
              <w:t xml:space="preserve">3-1  </w:t>
            </w:r>
            <w:r>
              <w:rPr>
                <w:rFonts w:hAnsi="Times New Roman" w:cs="Times New Roman"/>
                <w:b/>
                <w:bCs/>
                <w:color w:val="auto"/>
                <w:kern w:val="21"/>
                <w:szCs w:val="24"/>
              </w:rPr>
              <w:t>空气质量状况统计结果</w:t>
            </w:r>
          </w:p>
          <w:tbl>
            <w:tblPr>
              <w:tblStyle w:val="25"/>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71"/>
              <w:gridCol w:w="2147"/>
              <w:gridCol w:w="1316"/>
              <w:gridCol w:w="1139"/>
              <w:gridCol w:w="1321"/>
              <w:gridCol w:w="1160"/>
            </w:tblGrid>
            <w:tr w14:paraId="5DC1AE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602" w:type="pct"/>
                  <w:noWrap w:val="0"/>
                  <w:vAlign w:val="center"/>
                </w:tcPr>
                <w:p w14:paraId="3154A41C">
                  <w:pPr>
                    <w:pStyle w:val="24"/>
                    <w:spacing w:after="0"/>
                    <w:ind w:left="0" w:leftChars="0" w:firstLine="0" w:firstLineChars="0"/>
                    <w:jc w:val="center"/>
                    <w:rPr>
                      <w:b/>
                      <w:bCs/>
                      <w:color w:val="auto"/>
                      <w:sz w:val="21"/>
                      <w:szCs w:val="21"/>
                    </w:rPr>
                  </w:pPr>
                  <w:r>
                    <w:rPr>
                      <w:b/>
                      <w:bCs/>
                      <w:color w:val="auto"/>
                      <w:sz w:val="21"/>
                      <w:szCs w:val="21"/>
                    </w:rPr>
                    <w:t>污染物</w:t>
                  </w:r>
                </w:p>
              </w:tc>
              <w:tc>
                <w:tcPr>
                  <w:tcW w:w="1331" w:type="pct"/>
                  <w:noWrap w:val="0"/>
                  <w:vAlign w:val="center"/>
                </w:tcPr>
                <w:p w14:paraId="5018FC6C">
                  <w:pPr>
                    <w:pStyle w:val="24"/>
                    <w:spacing w:after="0"/>
                    <w:ind w:left="0" w:leftChars="0" w:firstLine="0" w:firstLineChars="0"/>
                    <w:jc w:val="center"/>
                    <w:rPr>
                      <w:b/>
                      <w:bCs/>
                      <w:color w:val="auto"/>
                      <w:sz w:val="21"/>
                      <w:szCs w:val="21"/>
                    </w:rPr>
                  </w:pPr>
                  <w:r>
                    <w:rPr>
                      <w:b/>
                      <w:bCs/>
                      <w:color w:val="auto"/>
                      <w:sz w:val="21"/>
                      <w:szCs w:val="21"/>
                    </w:rPr>
                    <w:t>年评价指标</w:t>
                  </w:r>
                </w:p>
              </w:tc>
              <w:tc>
                <w:tcPr>
                  <w:tcW w:w="817" w:type="pct"/>
                  <w:noWrap w:val="0"/>
                  <w:vAlign w:val="center"/>
                </w:tcPr>
                <w:p w14:paraId="2059374C">
                  <w:pPr>
                    <w:pStyle w:val="24"/>
                    <w:spacing w:after="0"/>
                    <w:ind w:left="0" w:leftChars="0" w:firstLine="0" w:firstLineChars="0"/>
                    <w:jc w:val="center"/>
                    <w:rPr>
                      <w:b/>
                      <w:bCs/>
                      <w:color w:val="auto"/>
                      <w:sz w:val="21"/>
                      <w:szCs w:val="21"/>
                    </w:rPr>
                  </w:pPr>
                  <w:r>
                    <w:rPr>
                      <w:b/>
                      <w:bCs/>
                      <w:color w:val="auto"/>
                      <w:sz w:val="21"/>
                      <w:szCs w:val="21"/>
                    </w:rPr>
                    <w:t>现状浓度</w:t>
                  </w:r>
                  <w:r>
                    <w:rPr>
                      <w:rFonts w:hint="eastAsia"/>
                      <w:b/>
                      <w:bCs/>
                      <w:color w:val="auto"/>
                      <w:sz w:val="21"/>
                      <w:szCs w:val="21"/>
                    </w:rPr>
                    <w:t>（</w:t>
                  </w:r>
                  <w:r>
                    <w:rPr>
                      <w:b/>
                      <w:color w:val="auto"/>
                      <w:sz w:val="21"/>
                      <w:szCs w:val="21"/>
                    </w:rPr>
                    <w:t>μg/m³</w:t>
                  </w:r>
                  <w:r>
                    <w:rPr>
                      <w:rFonts w:hint="eastAsia"/>
                      <w:b/>
                      <w:color w:val="auto"/>
                      <w:sz w:val="21"/>
                      <w:szCs w:val="21"/>
                    </w:rPr>
                    <w:t>）</w:t>
                  </w:r>
                </w:p>
              </w:tc>
              <w:tc>
                <w:tcPr>
                  <w:tcW w:w="707" w:type="pct"/>
                  <w:noWrap w:val="0"/>
                  <w:vAlign w:val="center"/>
                </w:tcPr>
                <w:p w14:paraId="6B19B80E">
                  <w:pPr>
                    <w:pStyle w:val="24"/>
                    <w:spacing w:after="0"/>
                    <w:ind w:left="0" w:leftChars="0" w:firstLine="0" w:firstLineChars="0"/>
                    <w:jc w:val="center"/>
                    <w:rPr>
                      <w:b/>
                      <w:bCs/>
                      <w:color w:val="auto"/>
                      <w:sz w:val="21"/>
                      <w:szCs w:val="21"/>
                    </w:rPr>
                  </w:pPr>
                  <w:r>
                    <w:rPr>
                      <w:b/>
                      <w:bCs/>
                      <w:color w:val="auto"/>
                      <w:sz w:val="21"/>
                      <w:szCs w:val="21"/>
                    </w:rPr>
                    <w:t>标准值</w:t>
                  </w:r>
                  <w:r>
                    <w:rPr>
                      <w:rFonts w:hint="eastAsia"/>
                      <w:b/>
                      <w:bCs/>
                      <w:color w:val="auto"/>
                      <w:sz w:val="21"/>
                      <w:szCs w:val="21"/>
                    </w:rPr>
                    <w:t>（</w:t>
                  </w:r>
                  <w:r>
                    <w:rPr>
                      <w:b/>
                      <w:color w:val="auto"/>
                      <w:sz w:val="21"/>
                      <w:szCs w:val="21"/>
                    </w:rPr>
                    <w:t>μg/m³</w:t>
                  </w:r>
                  <w:r>
                    <w:rPr>
                      <w:rFonts w:hint="eastAsia"/>
                      <w:b/>
                      <w:color w:val="auto"/>
                      <w:sz w:val="21"/>
                      <w:szCs w:val="21"/>
                    </w:rPr>
                    <w:t>）</w:t>
                  </w:r>
                </w:p>
              </w:tc>
              <w:tc>
                <w:tcPr>
                  <w:tcW w:w="820" w:type="pct"/>
                  <w:noWrap w:val="0"/>
                  <w:vAlign w:val="center"/>
                </w:tcPr>
                <w:p w14:paraId="6C55B3B9">
                  <w:pPr>
                    <w:pStyle w:val="24"/>
                    <w:spacing w:after="0"/>
                    <w:ind w:left="0" w:leftChars="0" w:firstLine="0" w:firstLineChars="0"/>
                    <w:jc w:val="center"/>
                    <w:rPr>
                      <w:b/>
                      <w:bCs/>
                      <w:color w:val="auto"/>
                      <w:sz w:val="21"/>
                      <w:szCs w:val="21"/>
                    </w:rPr>
                  </w:pPr>
                  <w:r>
                    <w:rPr>
                      <w:rFonts w:hint="eastAsia"/>
                      <w:b/>
                      <w:bCs/>
                      <w:color w:val="auto"/>
                      <w:sz w:val="21"/>
                      <w:szCs w:val="21"/>
                    </w:rPr>
                    <w:t>最大浓度占标率</w:t>
                  </w:r>
                  <w:r>
                    <w:rPr>
                      <w:b/>
                      <w:color w:val="auto"/>
                      <w:sz w:val="21"/>
                      <w:szCs w:val="21"/>
                    </w:rPr>
                    <w:t>%</w:t>
                  </w:r>
                </w:p>
              </w:tc>
              <w:tc>
                <w:tcPr>
                  <w:tcW w:w="720" w:type="pct"/>
                  <w:noWrap w:val="0"/>
                  <w:vAlign w:val="center"/>
                </w:tcPr>
                <w:p w14:paraId="62A11A02">
                  <w:pPr>
                    <w:pStyle w:val="24"/>
                    <w:spacing w:after="0"/>
                    <w:ind w:left="0" w:leftChars="0" w:firstLine="0" w:firstLineChars="0"/>
                    <w:jc w:val="center"/>
                    <w:rPr>
                      <w:b/>
                      <w:bCs/>
                      <w:color w:val="auto"/>
                      <w:sz w:val="21"/>
                      <w:szCs w:val="21"/>
                    </w:rPr>
                  </w:pPr>
                  <w:r>
                    <w:rPr>
                      <w:b/>
                      <w:bCs/>
                      <w:color w:val="auto"/>
                      <w:sz w:val="21"/>
                      <w:szCs w:val="21"/>
                    </w:rPr>
                    <w:t>达标情况</w:t>
                  </w:r>
                </w:p>
              </w:tc>
            </w:tr>
            <w:tr w14:paraId="213A11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2" w:type="pct"/>
                  <w:noWrap w:val="0"/>
                  <w:vAlign w:val="center"/>
                </w:tcPr>
                <w:p w14:paraId="5397789A">
                  <w:pPr>
                    <w:adjustRightInd w:val="0"/>
                    <w:snapToGrid w:val="0"/>
                    <w:jc w:val="center"/>
                    <w:rPr>
                      <w:color w:val="auto"/>
                      <w:szCs w:val="21"/>
                    </w:rPr>
                  </w:pPr>
                  <w:r>
                    <w:rPr>
                      <w:bCs/>
                      <w:color w:val="auto"/>
                      <w:szCs w:val="21"/>
                    </w:rPr>
                    <w:t>SO</w:t>
                  </w:r>
                  <w:r>
                    <w:rPr>
                      <w:bCs/>
                      <w:color w:val="auto"/>
                      <w:szCs w:val="21"/>
                      <w:vertAlign w:val="subscript"/>
                    </w:rPr>
                    <w:t>2</w:t>
                  </w:r>
                </w:p>
              </w:tc>
              <w:tc>
                <w:tcPr>
                  <w:tcW w:w="1331" w:type="pct"/>
                  <w:noWrap w:val="0"/>
                  <w:vAlign w:val="center"/>
                </w:tcPr>
                <w:p w14:paraId="6167E565">
                  <w:pPr>
                    <w:pStyle w:val="24"/>
                    <w:spacing w:after="0"/>
                    <w:ind w:left="0" w:leftChars="0" w:firstLine="0" w:firstLineChars="0"/>
                    <w:jc w:val="center"/>
                    <w:rPr>
                      <w:color w:val="auto"/>
                      <w:sz w:val="21"/>
                      <w:szCs w:val="21"/>
                    </w:rPr>
                  </w:pPr>
                  <w:r>
                    <w:rPr>
                      <w:color w:val="auto"/>
                      <w:sz w:val="21"/>
                      <w:szCs w:val="21"/>
                    </w:rPr>
                    <w:t>年平均质量浓度</w:t>
                  </w:r>
                </w:p>
              </w:tc>
              <w:tc>
                <w:tcPr>
                  <w:tcW w:w="817" w:type="pct"/>
                  <w:noWrap w:val="0"/>
                  <w:vAlign w:val="center"/>
                </w:tcPr>
                <w:p w14:paraId="5E644347">
                  <w:pPr>
                    <w:pStyle w:val="24"/>
                    <w:spacing w:after="0"/>
                    <w:ind w:left="0" w:leftChars="0" w:firstLine="0" w:firstLineChars="0"/>
                    <w:jc w:val="center"/>
                    <w:rPr>
                      <w:rFonts w:hint="eastAsia" w:eastAsia="宋体"/>
                      <w:bCs/>
                      <w:color w:val="auto"/>
                      <w:sz w:val="21"/>
                      <w:szCs w:val="21"/>
                      <w:lang w:eastAsia="zh-CN"/>
                    </w:rPr>
                  </w:pPr>
                  <w:r>
                    <w:rPr>
                      <w:rFonts w:hint="eastAsia"/>
                      <w:bCs/>
                      <w:color w:val="auto"/>
                      <w:sz w:val="21"/>
                      <w:szCs w:val="21"/>
                      <w:lang w:val="en-US" w:eastAsia="zh-CN"/>
                    </w:rPr>
                    <w:t>5</w:t>
                  </w:r>
                </w:p>
              </w:tc>
              <w:tc>
                <w:tcPr>
                  <w:tcW w:w="707" w:type="pct"/>
                  <w:noWrap w:val="0"/>
                  <w:vAlign w:val="center"/>
                </w:tcPr>
                <w:p w14:paraId="72374901">
                  <w:pPr>
                    <w:pStyle w:val="24"/>
                    <w:spacing w:after="0"/>
                    <w:ind w:left="0" w:leftChars="0" w:firstLine="0" w:firstLineChars="0"/>
                    <w:jc w:val="center"/>
                    <w:rPr>
                      <w:bCs/>
                      <w:color w:val="auto"/>
                      <w:sz w:val="21"/>
                      <w:szCs w:val="21"/>
                    </w:rPr>
                  </w:pPr>
                  <w:r>
                    <w:rPr>
                      <w:bCs/>
                      <w:color w:val="auto"/>
                      <w:sz w:val="21"/>
                      <w:szCs w:val="21"/>
                    </w:rPr>
                    <w:t>60</w:t>
                  </w:r>
                </w:p>
              </w:tc>
              <w:tc>
                <w:tcPr>
                  <w:tcW w:w="820" w:type="pct"/>
                  <w:noWrap w:val="0"/>
                  <w:vAlign w:val="center"/>
                </w:tcPr>
                <w:p w14:paraId="16A4E3E6">
                  <w:pPr>
                    <w:pStyle w:val="24"/>
                    <w:spacing w:after="0"/>
                    <w:ind w:left="0" w:leftChars="0" w:firstLine="0" w:firstLineChars="0"/>
                    <w:jc w:val="center"/>
                    <w:rPr>
                      <w:rFonts w:hint="default" w:eastAsia="宋体"/>
                      <w:bCs/>
                      <w:color w:val="auto"/>
                      <w:sz w:val="21"/>
                      <w:szCs w:val="21"/>
                      <w:lang w:val="en-US" w:eastAsia="zh-CN"/>
                    </w:rPr>
                  </w:pPr>
                  <w:r>
                    <w:rPr>
                      <w:rFonts w:hint="eastAsia"/>
                      <w:bCs/>
                      <w:color w:val="auto"/>
                      <w:sz w:val="21"/>
                      <w:szCs w:val="21"/>
                      <w:lang w:val="en-US" w:eastAsia="zh-CN"/>
                    </w:rPr>
                    <w:t>8.3</w:t>
                  </w:r>
                </w:p>
              </w:tc>
              <w:tc>
                <w:tcPr>
                  <w:tcW w:w="720" w:type="pct"/>
                  <w:noWrap w:val="0"/>
                  <w:vAlign w:val="center"/>
                </w:tcPr>
                <w:p w14:paraId="778F9FEB">
                  <w:pPr>
                    <w:pStyle w:val="24"/>
                    <w:spacing w:after="0"/>
                    <w:ind w:left="0" w:leftChars="0" w:firstLine="0" w:firstLineChars="0"/>
                    <w:jc w:val="center"/>
                    <w:rPr>
                      <w:bCs/>
                      <w:color w:val="auto"/>
                      <w:sz w:val="21"/>
                      <w:szCs w:val="21"/>
                    </w:rPr>
                  </w:pPr>
                  <w:r>
                    <w:rPr>
                      <w:bCs/>
                      <w:color w:val="auto"/>
                      <w:sz w:val="21"/>
                      <w:szCs w:val="21"/>
                    </w:rPr>
                    <w:t>达标</w:t>
                  </w:r>
                </w:p>
              </w:tc>
            </w:tr>
            <w:tr w14:paraId="338C2D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2" w:type="pct"/>
                  <w:noWrap w:val="0"/>
                  <w:vAlign w:val="center"/>
                </w:tcPr>
                <w:p w14:paraId="2A3A4B1F">
                  <w:pPr>
                    <w:adjustRightInd w:val="0"/>
                    <w:snapToGrid w:val="0"/>
                    <w:jc w:val="center"/>
                    <w:rPr>
                      <w:color w:val="auto"/>
                      <w:szCs w:val="21"/>
                    </w:rPr>
                  </w:pPr>
                  <w:r>
                    <w:rPr>
                      <w:bCs/>
                      <w:color w:val="auto"/>
                      <w:szCs w:val="21"/>
                    </w:rPr>
                    <w:t>NO</w:t>
                  </w:r>
                  <w:r>
                    <w:rPr>
                      <w:bCs/>
                      <w:color w:val="auto"/>
                      <w:szCs w:val="21"/>
                      <w:vertAlign w:val="subscript"/>
                    </w:rPr>
                    <w:t>2</w:t>
                  </w:r>
                </w:p>
              </w:tc>
              <w:tc>
                <w:tcPr>
                  <w:tcW w:w="1331" w:type="pct"/>
                  <w:noWrap w:val="0"/>
                  <w:vAlign w:val="center"/>
                </w:tcPr>
                <w:p w14:paraId="5D087F9C">
                  <w:pPr>
                    <w:pStyle w:val="24"/>
                    <w:spacing w:after="0"/>
                    <w:ind w:left="0" w:leftChars="0" w:firstLine="0" w:firstLineChars="0"/>
                    <w:jc w:val="center"/>
                    <w:rPr>
                      <w:color w:val="auto"/>
                      <w:sz w:val="21"/>
                      <w:szCs w:val="21"/>
                    </w:rPr>
                  </w:pPr>
                  <w:r>
                    <w:rPr>
                      <w:color w:val="auto"/>
                      <w:sz w:val="21"/>
                      <w:szCs w:val="21"/>
                    </w:rPr>
                    <w:t>年平均质量浓度</w:t>
                  </w:r>
                </w:p>
              </w:tc>
              <w:tc>
                <w:tcPr>
                  <w:tcW w:w="817" w:type="pct"/>
                  <w:noWrap w:val="0"/>
                  <w:vAlign w:val="center"/>
                </w:tcPr>
                <w:p w14:paraId="5241B7C9">
                  <w:pPr>
                    <w:pStyle w:val="24"/>
                    <w:spacing w:after="0"/>
                    <w:ind w:left="0" w:leftChars="0" w:firstLine="0" w:firstLineChars="0"/>
                    <w:jc w:val="center"/>
                    <w:rPr>
                      <w:rFonts w:hint="default" w:eastAsia="宋体"/>
                      <w:bCs/>
                      <w:color w:val="auto"/>
                      <w:sz w:val="21"/>
                      <w:szCs w:val="21"/>
                      <w:lang w:val="en-US" w:eastAsia="zh-CN"/>
                    </w:rPr>
                  </w:pPr>
                  <w:r>
                    <w:rPr>
                      <w:rFonts w:hint="eastAsia"/>
                      <w:bCs/>
                      <w:color w:val="auto"/>
                      <w:sz w:val="21"/>
                      <w:szCs w:val="21"/>
                      <w:lang w:val="en-US" w:eastAsia="zh-CN"/>
                    </w:rPr>
                    <w:t>31</w:t>
                  </w:r>
                </w:p>
              </w:tc>
              <w:tc>
                <w:tcPr>
                  <w:tcW w:w="707" w:type="pct"/>
                  <w:noWrap w:val="0"/>
                  <w:vAlign w:val="center"/>
                </w:tcPr>
                <w:p w14:paraId="5315CDB9">
                  <w:pPr>
                    <w:pStyle w:val="24"/>
                    <w:spacing w:after="0"/>
                    <w:ind w:left="0" w:leftChars="0" w:firstLine="0" w:firstLineChars="0"/>
                    <w:jc w:val="center"/>
                    <w:rPr>
                      <w:bCs/>
                      <w:color w:val="auto"/>
                      <w:sz w:val="21"/>
                      <w:szCs w:val="21"/>
                    </w:rPr>
                  </w:pPr>
                  <w:r>
                    <w:rPr>
                      <w:bCs/>
                      <w:color w:val="auto"/>
                      <w:sz w:val="21"/>
                      <w:szCs w:val="21"/>
                    </w:rPr>
                    <w:t>40</w:t>
                  </w:r>
                </w:p>
              </w:tc>
              <w:tc>
                <w:tcPr>
                  <w:tcW w:w="820" w:type="pct"/>
                  <w:noWrap w:val="0"/>
                  <w:vAlign w:val="center"/>
                </w:tcPr>
                <w:p w14:paraId="1005DDF0">
                  <w:pPr>
                    <w:pStyle w:val="24"/>
                    <w:spacing w:after="0"/>
                    <w:ind w:left="0" w:leftChars="0" w:firstLine="0" w:firstLineChars="0"/>
                    <w:jc w:val="center"/>
                    <w:rPr>
                      <w:bCs/>
                      <w:color w:val="auto"/>
                      <w:sz w:val="21"/>
                      <w:szCs w:val="21"/>
                    </w:rPr>
                  </w:pPr>
                  <w:r>
                    <w:rPr>
                      <w:rFonts w:hint="eastAsia"/>
                      <w:bCs/>
                      <w:color w:val="auto"/>
                      <w:sz w:val="21"/>
                      <w:szCs w:val="21"/>
                      <w:lang w:val="en-US" w:eastAsia="zh-CN"/>
                    </w:rPr>
                    <w:t>77</w:t>
                  </w:r>
                  <w:r>
                    <w:rPr>
                      <w:rFonts w:hint="eastAsia"/>
                      <w:bCs/>
                      <w:color w:val="auto"/>
                      <w:sz w:val="21"/>
                      <w:szCs w:val="21"/>
                    </w:rPr>
                    <w:t>.5</w:t>
                  </w:r>
                </w:p>
              </w:tc>
              <w:tc>
                <w:tcPr>
                  <w:tcW w:w="720" w:type="pct"/>
                  <w:noWrap w:val="0"/>
                  <w:vAlign w:val="center"/>
                </w:tcPr>
                <w:p w14:paraId="2ABBF5B1">
                  <w:pPr>
                    <w:pStyle w:val="24"/>
                    <w:spacing w:after="0"/>
                    <w:ind w:left="0" w:leftChars="0" w:firstLine="0" w:firstLineChars="0"/>
                    <w:jc w:val="center"/>
                    <w:rPr>
                      <w:bCs/>
                      <w:color w:val="auto"/>
                      <w:sz w:val="21"/>
                      <w:szCs w:val="21"/>
                    </w:rPr>
                  </w:pPr>
                  <w:r>
                    <w:rPr>
                      <w:bCs/>
                      <w:color w:val="auto"/>
                      <w:sz w:val="21"/>
                      <w:szCs w:val="21"/>
                    </w:rPr>
                    <w:t>达标</w:t>
                  </w:r>
                </w:p>
              </w:tc>
            </w:tr>
            <w:tr w14:paraId="2574F9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2" w:type="pct"/>
                  <w:noWrap w:val="0"/>
                  <w:vAlign w:val="center"/>
                </w:tcPr>
                <w:p w14:paraId="02356284">
                  <w:pPr>
                    <w:adjustRightInd w:val="0"/>
                    <w:snapToGrid w:val="0"/>
                    <w:jc w:val="center"/>
                    <w:rPr>
                      <w:color w:val="auto"/>
                      <w:szCs w:val="21"/>
                    </w:rPr>
                  </w:pPr>
                  <w:r>
                    <w:rPr>
                      <w:bCs/>
                      <w:color w:val="auto"/>
                      <w:szCs w:val="21"/>
                    </w:rPr>
                    <w:t>PM</w:t>
                  </w:r>
                  <w:r>
                    <w:rPr>
                      <w:bCs/>
                      <w:color w:val="auto"/>
                      <w:szCs w:val="21"/>
                      <w:vertAlign w:val="subscript"/>
                    </w:rPr>
                    <w:t>2.5</w:t>
                  </w:r>
                </w:p>
              </w:tc>
              <w:tc>
                <w:tcPr>
                  <w:tcW w:w="1331" w:type="pct"/>
                  <w:noWrap w:val="0"/>
                  <w:vAlign w:val="center"/>
                </w:tcPr>
                <w:p w14:paraId="251E16B0">
                  <w:pPr>
                    <w:pStyle w:val="24"/>
                    <w:spacing w:after="0"/>
                    <w:ind w:left="0" w:leftChars="0" w:firstLine="0" w:firstLineChars="0"/>
                    <w:jc w:val="center"/>
                    <w:rPr>
                      <w:color w:val="auto"/>
                      <w:sz w:val="21"/>
                      <w:szCs w:val="21"/>
                    </w:rPr>
                  </w:pPr>
                  <w:r>
                    <w:rPr>
                      <w:color w:val="auto"/>
                      <w:sz w:val="21"/>
                      <w:szCs w:val="21"/>
                    </w:rPr>
                    <w:t>年平均质量浓度</w:t>
                  </w:r>
                </w:p>
              </w:tc>
              <w:tc>
                <w:tcPr>
                  <w:tcW w:w="817" w:type="pct"/>
                  <w:noWrap w:val="0"/>
                  <w:vAlign w:val="center"/>
                </w:tcPr>
                <w:p w14:paraId="7B4FA2A5">
                  <w:pPr>
                    <w:pStyle w:val="24"/>
                    <w:spacing w:after="0"/>
                    <w:ind w:left="0" w:leftChars="0" w:firstLine="0" w:firstLineChars="0"/>
                    <w:jc w:val="center"/>
                    <w:rPr>
                      <w:rFonts w:hint="default" w:eastAsia="宋体"/>
                      <w:bCs/>
                      <w:color w:val="auto"/>
                      <w:sz w:val="21"/>
                      <w:szCs w:val="21"/>
                      <w:lang w:val="en-US" w:eastAsia="zh-CN"/>
                    </w:rPr>
                  </w:pPr>
                  <w:r>
                    <w:rPr>
                      <w:rFonts w:hint="eastAsia"/>
                      <w:bCs/>
                      <w:color w:val="auto"/>
                      <w:sz w:val="21"/>
                      <w:szCs w:val="21"/>
                      <w:lang w:val="en-US" w:eastAsia="zh-CN"/>
                    </w:rPr>
                    <w:t>43</w:t>
                  </w:r>
                </w:p>
              </w:tc>
              <w:tc>
                <w:tcPr>
                  <w:tcW w:w="707" w:type="pct"/>
                  <w:noWrap w:val="0"/>
                  <w:vAlign w:val="center"/>
                </w:tcPr>
                <w:p w14:paraId="0CD0D266">
                  <w:pPr>
                    <w:pStyle w:val="24"/>
                    <w:spacing w:after="0"/>
                    <w:ind w:left="0" w:leftChars="0" w:firstLine="0" w:firstLineChars="0"/>
                    <w:jc w:val="center"/>
                    <w:rPr>
                      <w:bCs/>
                      <w:color w:val="auto"/>
                      <w:sz w:val="21"/>
                      <w:szCs w:val="21"/>
                    </w:rPr>
                  </w:pPr>
                  <w:r>
                    <w:rPr>
                      <w:bCs/>
                      <w:color w:val="auto"/>
                      <w:sz w:val="21"/>
                      <w:szCs w:val="21"/>
                    </w:rPr>
                    <w:t>35</w:t>
                  </w:r>
                </w:p>
              </w:tc>
              <w:tc>
                <w:tcPr>
                  <w:tcW w:w="820" w:type="pct"/>
                  <w:noWrap w:val="0"/>
                  <w:vAlign w:val="center"/>
                </w:tcPr>
                <w:p w14:paraId="18B6398F">
                  <w:pPr>
                    <w:pStyle w:val="24"/>
                    <w:spacing w:after="0"/>
                    <w:ind w:left="0" w:leftChars="0" w:firstLine="0" w:firstLineChars="0"/>
                    <w:jc w:val="center"/>
                    <w:rPr>
                      <w:rFonts w:hint="default" w:eastAsia="宋体"/>
                      <w:bCs/>
                      <w:color w:val="auto"/>
                      <w:sz w:val="21"/>
                      <w:szCs w:val="21"/>
                      <w:lang w:val="en-US" w:eastAsia="zh-CN"/>
                    </w:rPr>
                  </w:pPr>
                  <w:r>
                    <w:rPr>
                      <w:rFonts w:hint="eastAsia"/>
                      <w:bCs/>
                      <w:color w:val="auto"/>
                      <w:sz w:val="21"/>
                      <w:szCs w:val="21"/>
                    </w:rPr>
                    <w:t>1</w:t>
                  </w:r>
                  <w:r>
                    <w:rPr>
                      <w:rFonts w:hint="eastAsia"/>
                      <w:bCs/>
                      <w:color w:val="auto"/>
                      <w:sz w:val="21"/>
                      <w:szCs w:val="21"/>
                      <w:lang w:val="en-US" w:eastAsia="zh-CN"/>
                    </w:rPr>
                    <w:t>22.9</w:t>
                  </w:r>
                </w:p>
              </w:tc>
              <w:tc>
                <w:tcPr>
                  <w:tcW w:w="720" w:type="pct"/>
                  <w:noWrap w:val="0"/>
                  <w:vAlign w:val="center"/>
                </w:tcPr>
                <w:p w14:paraId="7CF890E2">
                  <w:pPr>
                    <w:pStyle w:val="24"/>
                    <w:spacing w:after="0"/>
                    <w:ind w:left="0" w:leftChars="0" w:firstLine="0" w:firstLineChars="0"/>
                    <w:jc w:val="center"/>
                    <w:rPr>
                      <w:bCs/>
                      <w:color w:val="auto"/>
                      <w:sz w:val="21"/>
                      <w:szCs w:val="21"/>
                    </w:rPr>
                  </w:pPr>
                  <w:r>
                    <w:rPr>
                      <w:bCs/>
                      <w:color w:val="auto"/>
                      <w:sz w:val="21"/>
                      <w:szCs w:val="21"/>
                    </w:rPr>
                    <w:t>不达标</w:t>
                  </w:r>
                </w:p>
              </w:tc>
            </w:tr>
            <w:tr w14:paraId="779D87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02" w:type="pct"/>
                  <w:noWrap w:val="0"/>
                  <w:vAlign w:val="center"/>
                </w:tcPr>
                <w:p w14:paraId="5614E212">
                  <w:pPr>
                    <w:adjustRightInd w:val="0"/>
                    <w:snapToGrid w:val="0"/>
                    <w:jc w:val="center"/>
                    <w:rPr>
                      <w:color w:val="auto"/>
                      <w:szCs w:val="21"/>
                    </w:rPr>
                  </w:pPr>
                  <w:r>
                    <w:rPr>
                      <w:bCs/>
                      <w:color w:val="auto"/>
                      <w:szCs w:val="21"/>
                    </w:rPr>
                    <w:t>PM</w:t>
                  </w:r>
                  <w:r>
                    <w:rPr>
                      <w:bCs/>
                      <w:color w:val="auto"/>
                      <w:szCs w:val="21"/>
                      <w:vertAlign w:val="subscript"/>
                    </w:rPr>
                    <w:t>10</w:t>
                  </w:r>
                </w:p>
              </w:tc>
              <w:tc>
                <w:tcPr>
                  <w:tcW w:w="1331" w:type="pct"/>
                  <w:noWrap w:val="0"/>
                  <w:vAlign w:val="center"/>
                </w:tcPr>
                <w:p w14:paraId="28C4FA7F">
                  <w:pPr>
                    <w:pStyle w:val="24"/>
                    <w:spacing w:after="0"/>
                    <w:ind w:left="0" w:leftChars="0" w:firstLine="0" w:firstLineChars="0"/>
                    <w:jc w:val="center"/>
                    <w:rPr>
                      <w:color w:val="auto"/>
                      <w:sz w:val="21"/>
                      <w:szCs w:val="21"/>
                    </w:rPr>
                  </w:pPr>
                  <w:r>
                    <w:rPr>
                      <w:color w:val="auto"/>
                      <w:sz w:val="21"/>
                      <w:szCs w:val="21"/>
                    </w:rPr>
                    <w:t>年平均质量浓度</w:t>
                  </w:r>
                </w:p>
              </w:tc>
              <w:tc>
                <w:tcPr>
                  <w:tcW w:w="817" w:type="pct"/>
                  <w:noWrap w:val="0"/>
                  <w:vAlign w:val="center"/>
                </w:tcPr>
                <w:p w14:paraId="5C15E103">
                  <w:pPr>
                    <w:pStyle w:val="24"/>
                    <w:spacing w:after="0"/>
                    <w:ind w:left="0" w:leftChars="0" w:firstLine="0" w:firstLineChars="0"/>
                    <w:jc w:val="center"/>
                    <w:rPr>
                      <w:rFonts w:hint="default" w:eastAsia="宋体"/>
                      <w:bCs/>
                      <w:color w:val="auto"/>
                      <w:sz w:val="21"/>
                      <w:szCs w:val="21"/>
                      <w:lang w:val="en-US" w:eastAsia="zh-CN"/>
                    </w:rPr>
                  </w:pPr>
                  <w:r>
                    <w:rPr>
                      <w:rFonts w:hint="eastAsia"/>
                      <w:bCs/>
                      <w:color w:val="auto"/>
                      <w:sz w:val="21"/>
                      <w:szCs w:val="21"/>
                      <w:lang w:val="en-US" w:eastAsia="zh-CN"/>
                    </w:rPr>
                    <w:t>74</w:t>
                  </w:r>
                </w:p>
              </w:tc>
              <w:tc>
                <w:tcPr>
                  <w:tcW w:w="707" w:type="pct"/>
                  <w:noWrap w:val="0"/>
                  <w:vAlign w:val="center"/>
                </w:tcPr>
                <w:p w14:paraId="3B8EABDE">
                  <w:pPr>
                    <w:pStyle w:val="24"/>
                    <w:spacing w:after="0"/>
                    <w:ind w:left="0" w:leftChars="0" w:firstLine="0" w:firstLineChars="0"/>
                    <w:jc w:val="center"/>
                    <w:rPr>
                      <w:bCs/>
                      <w:color w:val="auto"/>
                      <w:sz w:val="21"/>
                      <w:szCs w:val="21"/>
                    </w:rPr>
                  </w:pPr>
                  <w:r>
                    <w:rPr>
                      <w:bCs/>
                      <w:color w:val="auto"/>
                      <w:sz w:val="21"/>
                      <w:szCs w:val="21"/>
                    </w:rPr>
                    <w:t>70</w:t>
                  </w:r>
                </w:p>
              </w:tc>
              <w:tc>
                <w:tcPr>
                  <w:tcW w:w="820" w:type="pct"/>
                  <w:noWrap w:val="0"/>
                  <w:vAlign w:val="center"/>
                </w:tcPr>
                <w:p w14:paraId="756C2DC6">
                  <w:pPr>
                    <w:pStyle w:val="24"/>
                    <w:spacing w:after="0"/>
                    <w:ind w:left="0" w:leftChars="0" w:firstLine="0" w:firstLineChars="0"/>
                    <w:jc w:val="center"/>
                    <w:rPr>
                      <w:rFonts w:hint="default" w:eastAsia="宋体"/>
                      <w:bCs/>
                      <w:color w:val="auto"/>
                      <w:sz w:val="21"/>
                      <w:szCs w:val="21"/>
                      <w:lang w:val="en-US" w:eastAsia="zh-CN"/>
                    </w:rPr>
                  </w:pPr>
                  <w:r>
                    <w:rPr>
                      <w:bCs/>
                      <w:color w:val="auto"/>
                      <w:sz w:val="21"/>
                      <w:szCs w:val="21"/>
                    </w:rPr>
                    <w:t>1</w:t>
                  </w:r>
                  <w:r>
                    <w:rPr>
                      <w:rFonts w:hint="eastAsia"/>
                      <w:bCs/>
                      <w:color w:val="auto"/>
                      <w:sz w:val="21"/>
                      <w:szCs w:val="21"/>
                      <w:lang w:val="en-US" w:eastAsia="zh-CN"/>
                    </w:rPr>
                    <w:t>05.7</w:t>
                  </w:r>
                </w:p>
              </w:tc>
              <w:tc>
                <w:tcPr>
                  <w:tcW w:w="720" w:type="pct"/>
                  <w:noWrap w:val="0"/>
                  <w:vAlign w:val="center"/>
                </w:tcPr>
                <w:p w14:paraId="7E6DAF7E">
                  <w:pPr>
                    <w:pStyle w:val="24"/>
                    <w:spacing w:after="0"/>
                    <w:ind w:left="0" w:leftChars="0" w:firstLine="0" w:firstLineChars="0"/>
                    <w:jc w:val="center"/>
                    <w:rPr>
                      <w:bCs/>
                      <w:color w:val="auto"/>
                      <w:sz w:val="21"/>
                      <w:szCs w:val="21"/>
                    </w:rPr>
                  </w:pPr>
                  <w:r>
                    <w:rPr>
                      <w:bCs/>
                      <w:color w:val="auto"/>
                      <w:sz w:val="21"/>
                      <w:szCs w:val="21"/>
                    </w:rPr>
                    <w:t>不达标</w:t>
                  </w:r>
                </w:p>
              </w:tc>
            </w:tr>
            <w:tr w14:paraId="363025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02" w:type="pct"/>
                  <w:noWrap w:val="0"/>
                  <w:vAlign w:val="center"/>
                </w:tcPr>
                <w:p w14:paraId="4F15B1E9">
                  <w:pPr>
                    <w:adjustRightInd w:val="0"/>
                    <w:snapToGrid w:val="0"/>
                    <w:jc w:val="center"/>
                    <w:rPr>
                      <w:color w:val="auto"/>
                      <w:szCs w:val="21"/>
                    </w:rPr>
                  </w:pPr>
                  <w:r>
                    <w:rPr>
                      <w:bCs/>
                      <w:color w:val="auto"/>
                      <w:szCs w:val="21"/>
                    </w:rPr>
                    <w:t>CO</w:t>
                  </w:r>
                </w:p>
              </w:tc>
              <w:tc>
                <w:tcPr>
                  <w:tcW w:w="1331" w:type="pct"/>
                  <w:noWrap w:val="0"/>
                  <w:vAlign w:val="center"/>
                </w:tcPr>
                <w:p w14:paraId="50CEEFEB">
                  <w:pPr>
                    <w:pStyle w:val="24"/>
                    <w:spacing w:after="0"/>
                    <w:ind w:left="0" w:leftChars="0" w:firstLine="0" w:firstLineChars="0"/>
                    <w:jc w:val="center"/>
                    <w:rPr>
                      <w:color w:val="auto"/>
                      <w:sz w:val="21"/>
                      <w:szCs w:val="21"/>
                    </w:rPr>
                  </w:pPr>
                  <w:r>
                    <w:rPr>
                      <w:color w:val="auto"/>
                      <w:sz w:val="21"/>
                      <w:szCs w:val="21"/>
                    </w:rPr>
                    <w:t>24小时平均</w:t>
                  </w:r>
                  <w:r>
                    <w:rPr>
                      <w:rFonts w:hint="eastAsia"/>
                      <w:color w:val="auto"/>
                      <w:sz w:val="21"/>
                      <w:szCs w:val="21"/>
                    </w:rPr>
                    <w:t>第</w:t>
                  </w:r>
                  <w:r>
                    <w:rPr>
                      <w:color w:val="auto"/>
                      <w:sz w:val="21"/>
                      <w:szCs w:val="21"/>
                    </w:rPr>
                    <w:t>95百分位浓度</w:t>
                  </w:r>
                </w:p>
              </w:tc>
              <w:tc>
                <w:tcPr>
                  <w:tcW w:w="817" w:type="pct"/>
                  <w:noWrap w:val="0"/>
                  <w:vAlign w:val="center"/>
                </w:tcPr>
                <w:p w14:paraId="74CD32A7">
                  <w:pPr>
                    <w:pStyle w:val="24"/>
                    <w:spacing w:after="0"/>
                    <w:ind w:left="0" w:leftChars="0" w:firstLine="0" w:firstLineChars="0"/>
                    <w:jc w:val="center"/>
                    <w:rPr>
                      <w:bCs/>
                      <w:color w:val="auto"/>
                      <w:sz w:val="21"/>
                      <w:szCs w:val="21"/>
                    </w:rPr>
                  </w:pPr>
                  <w:r>
                    <w:rPr>
                      <w:rFonts w:hint="eastAsia"/>
                      <w:bCs/>
                      <w:color w:val="auto"/>
                      <w:sz w:val="21"/>
                      <w:szCs w:val="21"/>
                    </w:rPr>
                    <w:t>1</w:t>
                  </w:r>
                  <w:r>
                    <w:rPr>
                      <w:rFonts w:hint="eastAsia"/>
                      <w:bCs/>
                      <w:color w:val="auto"/>
                      <w:sz w:val="21"/>
                      <w:szCs w:val="21"/>
                      <w:lang w:val="en-US" w:eastAsia="zh-CN"/>
                    </w:rPr>
                    <w:t>1</w:t>
                  </w:r>
                  <w:r>
                    <w:rPr>
                      <w:rFonts w:hint="eastAsia"/>
                      <w:bCs/>
                      <w:color w:val="auto"/>
                      <w:sz w:val="21"/>
                      <w:szCs w:val="21"/>
                    </w:rPr>
                    <w:t>00</w:t>
                  </w:r>
                </w:p>
              </w:tc>
              <w:tc>
                <w:tcPr>
                  <w:tcW w:w="707" w:type="pct"/>
                  <w:noWrap w:val="0"/>
                  <w:vAlign w:val="center"/>
                </w:tcPr>
                <w:p w14:paraId="514B25B0">
                  <w:pPr>
                    <w:pStyle w:val="24"/>
                    <w:spacing w:after="0"/>
                    <w:ind w:left="0" w:leftChars="0" w:firstLine="0" w:firstLineChars="0"/>
                    <w:jc w:val="center"/>
                    <w:rPr>
                      <w:bCs/>
                      <w:color w:val="auto"/>
                      <w:sz w:val="21"/>
                      <w:szCs w:val="21"/>
                    </w:rPr>
                  </w:pPr>
                  <w:r>
                    <w:rPr>
                      <w:bCs/>
                      <w:color w:val="auto"/>
                      <w:sz w:val="21"/>
                      <w:szCs w:val="21"/>
                    </w:rPr>
                    <w:t>4</w:t>
                  </w:r>
                  <w:r>
                    <w:rPr>
                      <w:rFonts w:hint="eastAsia"/>
                      <w:bCs/>
                      <w:color w:val="auto"/>
                      <w:sz w:val="21"/>
                      <w:szCs w:val="21"/>
                    </w:rPr>
                    <w:t>000</w:t>
                  </w:r>
                </w:p>
              </w:tc>
              <w:tc>
                <w:tcPr>
                  <w:tcW w:w="820" w:type="pct"/>
                  <w:noWrap w:val="0"/>
                  <w:vAlign w:val="center"/>
                </w:tcPr>
                <w:p w14:paraId="5E6A36C0">
                  <w:pPr>
                    <w:pStyle w:val="24"/>
                    <w:spacing w:after="0"/>
                    <w:ind w:left="0" w:leftChars="0" w:firstLine="0" w:firstLineChars="0"/>
                    <w:jc w:val="center"/>
                    <w:rPr>
                      <w:bCs/>
                      <w:color w:val="auto"/>
                      <w:sz w:val="21"/>
                      <w:szCs w:val="21"/>
                    </w:rPr>
                  </w:pPr>
                  <w:r>
                    <w:rPr>
                      <w:rFonts w:hint="eastAsia"/>
                      <w:bCs/>
                      <w:color w:val="auto"/>
                      <w:sz w:val="21"/>
                      <w:szCs w:val="21"/>
                      <w:lang w:val="en-US" w:eastAsia="zh-CN"/>
                    </w:rPr>
                    <w:t>27</w:t>
                  </w:r>
                  <w:r>
                    <w:rPr>
                      <w:rFonts w:hint="eastAsia"/>
                      <w:bCs/>
                      <w:color w:val="auto"/>
                      <w:sz w:val="21"/>
                      <w:szCs w:val="21"/>
                    </w:rPr>
                    <w:t>.5</w:t>
                  </w:r>
                </w:p>
              </w:tc>
              <w:tc>
                <w:tcPr>
                  <w:tcW w:w="720" w:type="pct"/>
                  <w:noWrap w:val="0"/>
                  <w:vAlign w:val="center"/>
                </w:tcPr>
                <w:p w14:paraId="135DD6A8">
                  <w:pPr>
                    <w:pStyle w:val="24"/>
                    <w:spacing w:after="0"/>
                    <w:ind w:left="0" w:leftChars="0" w:firstLine="0" w:firstLineChars="0"/>
                    <w:jc w:val="center"/>
                    <w:rPr>
                      <w:bCs/>
                      <w:color w:val="auto"/>
                      <w:sz w:val="21"/>
                      <w:szCs w:val="21"/>
                    </w:rPr>
                  </w:pPr>
                  <w:r>
                    <w:rPr>
                      <w:bCs/>
                      <w:color w:val="auto"/>
                      <w:sz w:val="21"/>
                      <w:szCs w:val="21"/>
                    </w:rPr>
                    <w:t>达标</w:t>
                  </w:r>
                </w:p>
              </w:tc>
            </w:tr>
            <w:tr w14:paraId="6CA88F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02" w:type="pct"/>
                  <w:noWrap w:val="0"/>
                  <w:vAlign w:val="center"/>
                </w:tcPr>
                <w:p w14:paraId="695C082C">
                  <w:pPr>
                    <w:pStyle w:val="24"/>
                    <w:spacing w:after="0"/>
                    <w:ind w:left="0" w:leftChars="0" w:firstLine="0" w:firstLineChars="0"/>
                    <w:jc w:val="center"/>
                    <w:rPr>
                      <w:color w:val="auto"/>
                      <w:sz w:val="21"/>
                      <w:szCs w:val="21"/>
                    </w:rPr>
                  </w:pPr>
                  <w:r>
                    <w:rPr>
                      <w:bCs/>
                      <w:color w:val="auto"/>
                      <w:sz w:val="21"/>
                      <w:szCs w:val="21"/>
                    </w:rPr>
                    <w:t>O</w:t>
                  </w:r>
                  <w:r>
                    <w:rPr>
                      <w:bCs/>
                      <w:color w:val="auto"/>
                      <w:sz w:val="21"/>
                      <w:szCs w:val="21"/>
                      <w:vertAlign w:val="subscript"/>
                    </w:rPr>
                    <w:t>3</w:t>
                  </w:r>
                </w:p>
              </w:tc>
              <w:tc>
                <w:tcPr>
                  <w:tcW w:w="1331" w:type="pct"/>
                  <w:noWrap w:val="0"/>
                  <w:vAlign w:val="center"/>
                </w:tcPr>
                <w:p w14:paraId="770D176C">
                  <w:pPr>
                    <w:pStyle w:val="24"/>
                    <w:spacing w:after="0"/>
                    <w:ind w:left="0" w:leftChars="0" w:firstLine="0" w:firstLineChars="0"/>
                    <w:jc w:val="center"/>
                    <w:rPr>
                      <w:color w:val="auto"/>
                      <w:sz w:val="21"/>
                      <w:szCs w:val="21"/>
                    </w:rPr>
                  </w:pPr>
                  <w:r>
                    <w:rPr>
                      <w:color w:val="auto"/>
                      <w:sz w:val="21"/>
                      <w:szCs w:val="21"/>
                    </w:rPr>
                    <w:t>日最大8小时平均第90百分位浓度</w:t>
                  </w:r>
                </w:p>
              </w:tc>
              <w:tc>
                <w:tcPr>
                  <w:tcW w:w="817" w:type="pct"/>
                  <w:noWrap w:val="0"/>
                  <w:vAlign w:val="center"/>
                </w:tcPr>
                <w:p w14:paraId="61838F0E">
                  <w:pPr>
                    <w:pStyle w:val="24"/>
                    <w:spacing w:after="0"/>
                    <w:ind w:left="0" w:leftChars="0" w:firstLine="0" w:firstLineChars="0"/>
                    <w:jc w:val="center"/>
                    <w:rPr>
                      <w:rFonts w:hint="eastAsia" w:eastAsia="宋体"/>
                      <w:bCs/>
                      <w:color w:val="auto"/>
                      <w:sz w:val="21"/>
                      <w:szCs w:val="21"/>
                      <w:lang w:eastAsia="zh-CN"/>
                    </w:rPr>
                  </w:pPr>
                  <w:r>
                    <w:rPr>
                      <w:rFonts w:hint="eastAsia"/>
                      <w:bCs/>
                      <w:color w:val="auto"/>
                      <w:sz w:val="21"/>
                      <w:szCs w:val="21"/>
                    </w:rPr>
                    <w:t>16</w:t>
                  </w:r>
                  <w:r>
                    <w:rPr>
                      <w:rFonts w:hint="eastAsia"/>
                      <w:bCs/>
                      <w:color w:val="auto"/>
                      <w:sz w:val="21"/>
                      <w:szCs w:val="21"/>
                      <w:lang w:val="en-US" w:eastAsia="zh-CN"/>
                    </w:rPr>
                    <w:t>8</w:t>
                  </w:r>
                </w:p>
              </w:tc>
              <w:tc>
                <w:tcPr>
                  <w:tcW w:w="707" w:type="pct"/>
                  <w:noWrap w:val="0"/>
                  <w:vAlign w:val="center"/>
                </w:tcPr>
                <w:p w14:paraId="34780CAF">
                  <w:pPr>
                    <w:pStyle w:val="24"/>
                    <w:spacing w:after="0"/>
                    <w:ind w:left="0" w:leftChars="0" w:firstLine="0" w:firstLineChars="0"/>
                    <w:jc w:val="center"/>
                    <w:rPr>
                      <w:bCs/>
                      <w:color w:val="auto"/>
                      <w:sz w:val="21"/>
                      <w:szCs w:val="21"/>
                    </w:rPr>
                  </w:pPr>
                  <w:r>
                    <w:rPr>
                      <w:bCs/>
                      <w:color w:val="auto"/>
                      <w:sz w:val="21"/>
                      <w:szCs w:val="21"/>
                    </w:rPr>
                    <w:t>160</w:t>
                  </w:r>
                </w:p>
              </w:tc>
              <w:tc>
                <w:tcPr>
                  <w:tcW w:w="820" w:type="pct"/>
                  <w:noWrap w:val="0"/>
                  <w:vAlign w:val="center"/>
                </w:tcPr>
                <w:p w14:paraId="6A972E4F">
                  <w:pPr>
                    <w:pStyle w:val="24"/>
                    <w:spacing w:after="0"/>
                    <w:ind w:left="0" w:leftChars="0" w:firstLine="0" w:firstLineChars="0"/>
                    <w:jc w:val="center"/>
                    <w:rPr>
                      <w:rFonts w:hint="eastAsia" w:eastAsia="宋体"/>
                      <w:bCs/>
                      <w:color w:val="auto"/>
                      <w:sz w:val="21"/>
                      <w:szCs w:val="21"/>
                      <w:lang w:eastAsia="zh-CN"/>
                    </w:rPr>
                  </w:pPr>
                  <w:r>
                    <w:rPr>
                      <w:rFonts w:hint="eastAsia"/>
                      <w:bCs/>
                      <w:color w:val="auto"/>
                      <w:sz w:val="21"/>
                      <w:szCs w:val="21"/>
                    </w:rPr>
                    <w:t>10</w:t>
                  </w:r>
                  <w:r>
                    <w:rPr>
                      <w:rFonts w:hint="eastAsia"/>
                      <w:bCs/>
                      <w:color w:val="auto"/>
                      <w:sz w:val="21"/>
                      <w:szCs w:val="21"/>
                      <w:lang w:val="en-US" w:eastAsia="zh-CN"/>
                    </w:rPr>
                    <w:t>5</w:t>
                  </w:r>
                </w:p>
              </w:tc>
              <w:tc>
                <w:tcPr>
                  <w:tcW w:w="720" w:type="pct"/>
                  <w:noWrap w:val="0"/>
                  <w:vAlign w:val="center"/>
                </w:tcPr>
                <w:p w14:paraId="12E578DD">
                  <w:pPr>
                    <w:pStyle w:val="24"/>
                    <w:spacing w:after="0"/>
                    <w:ind w:left="0" w:leftChars="0" w:firstLine="0" w:firstLineChars="0"/>
                    <w:jc w:val="center"/>
                    <w:rPr>
                      <w:bCs/>
                      <w:color w:val="auto"/>
                      <w:sz w:val="21"/>
                      <w:szCs w:val="21"/>
                    </w:rPr>
                  </w:pPr>
                  <w:r>
                    <w:rPr>
                      <w:rFonts w:hint="eastAsia"/>
                      <w:bCs/>
                      <w:color w:val="auto"/>
                      <w:sz w:val="21"/>
                      <w:szCs w:val="21"/>
                    </w:rPr>
                    <w:t>不</w:t>
                  </w:r>
                  <w:r>
                    <w:rPr>
                      <w:bCs/>
                      <w:color w:val="auto"/>
                      <w:sz w:val="21"/>
                      <w:szCs w:val="21"/>
                    </w:rPr>
                    <w:t>达标</w:t>
                  </w:r>
                </w:p>
              </w:tc>
            </w:tr>
          </w:tbl>
          <w:p w14:paraId="41EE73E6">
            <w:pPr>
              <w:spacing w:before="120" w:beforeLines="50" w:line="360" w:lineRule="auto"/>
              <w:ind w:firstLine="480" w:firstLineChars="200"/>
              <w:rPr>
                <w:color w:val="auto"/>
                <w:sz w:val="24"/>
              </w:rPr>
            </w:pPr>
            <w:r>
              <w:rPr>
                <w:color w:val="auto"/>
                <w:sz w:val="24"/>
              </w:rPr>
              <w:t>根据</w:t>
            </w:r>
            <w:r>
              <w:rPr>
                <w:rFonts w:hint="eastAsia"/>
                <w:color w:val="auto"/>
                <w:sz w:val="24"/>
              </w:rPr>
              <w:t>上表</w:t>
            </w:r>
            <w:r>
              <w:rPr>
                <w:color w:val="auto"/>
                <w:sz w:val="24"/>
              </w:rPr>
              <w:t>可知，</w:t>
            </w:r>
            <w:r>
              <w:rPr>
                <w:rFonts w:hint="eastAsia"/>
                <w:color w:val="auto"/>
                <w:sz w:val="24"/>
              </w:rPr>
              <w:t>项目所在区域SO</w:t>
            </w:r>
            <w:r>
              <w:rPr>
                <w:rFonts w:hint="eastAsia"/>
                <w:color w:val="auto"/>
                <w:sz w:val="24"/>
                <w:vertAlign w:val="subscript"/>
              </w:rPr>
              <w:t>2</w:t>
            </w:r>
            <w:r>
              <w:rPr>
                <w:rFonts w:hint="eastAsia"/>
                <w:color w:val="auto"/>
                <w:sz w:val="24"/>
              </w:rPr>
              <w:t>年平均质量浓度、NO</w:t>
            </w:r>
            <w:r>
              <w:rPr>
                <w:rFonts w:hint="eastAsia"/>
                <w:color w:val="auto"/>
                <w:sz w:val="24"/>
                <w:vertAlign w:val="subscript"/>
              </w:rPr>
              <w:t>2</w:t>
            </w:r>
            <w:r>
              <w:rPr>
                <w:rFonts w:hint="eastAsia"/>
                <w:color w:val="auto"/>
                <w:sz w:val="24"/>
              </w:rPr>
              <w:t>年平均质量浓度和CO24小时平均第95百分位浓度均满足《环境空气质量标准》（GB3095-2012）中二级标准，O</w:t>
            </w:r>
            <w:r>
              <w:rPr>
                <w:rFonts w:hint="eastAsia"/>
                <w:color w:val="auto"/>
                <w:sz w:val="24"/>
                <w:vertAlign w:val="subscript"/>
              </w:rPr>
              <w:t>3</w:t>
            </w:r>
            <w:r>
              <w:rPr>
                <w:rFonts w:hint="eastAsia"/>
                <w:color w:val="auto"/>
                <w:sz w:val="24"/>
                <w:szCs w:val="32"/>
              </w:rPr>
              <w:t>日最大8小时平均第90百分位浓度</w:t>
            </w:r>
            <w:r>
              <w:rPr>
                <w:rFonts w:hint="eastAsia"/>
                <w:color w:val="auto"/>
                <w:sz w:val="24"/>
              </w:rPr>
              <w:t>、PM</w:t>
            </w:r>
            <w:r>
              <w:rPr>
                <w:rFonts w:hint="eastAsia"/>
                <w:color w:val="auto"/>
                <w:sz w:val="24"/>
                <w:vertAlign w:val="subscript"/>
              </w:rPr>
              <w:t>2.5</w:t>
            </w:r>
            <w:r>
              <w:rPr>
                <w:rFonts w:hint="eastAsia"/>
                <w:color w:val="auto"/>
                <w:sz w:val="24"/>
              </w:rPr>
              <w:t>年平均质量浓度和PM</w:t>
            </w:r>
            <w:r>
              <w:rPr>
                <w:rFonts w:hint="eastAsia"/>
                <w:color w:val="auto"/>
                <w:sz w:val="24"/>
                <w:vertAlign w:val="subscript"/>
              </w:rPr>
              <w:t>10</w:t>
            </w:r>
            <w:r>
              <w:rPr>
                <w:color w:val="auto"/>
                <w:sz w:val="24"/>
                <w:szCs w:val="32"/>
              </w:rPr>
              <w:t>年平均质量浓度</w:t>
            </w:r>
            <w:r>
              <w:rPr>
                <w:rFonts w:hint="eastAsia"/>
                <w:color w:val="auto"/>
                <w:sz w:val="24"/>
              </w:rPr>
              <w:t>均不满足《环境空气质量标准》（GB3095-2012）中二级标准，因此本项目所在区域为环境空气不达标区。</w:t>
            </w:r>
          </w:p>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14:paraId="46788E51">
            <w:pPr>
              <w:tabs>
                <w:tab w:val="left" w:pos="8607"/>
              </w:tabs>
              <w:adjustRightInd w:val="0"/>
              <w:snapToGrid w:val="0"/>
              <w:spacing w:line="360" w:lineRule="auto"/>
              <w:ind w:firstLine="480" w:firstLineChars="200"/>
              <w:jc w:val="left"/>
              <w:rPr>
                <w:bCs/>
                <w:color w:val="auto"/>
                <w:sz w:val="24"/>
              </w:rPr>
            </w:pPr>
            <w:r>
              <w:rPr>
                <w:bCs/>
                <w:color w:val="auto"/>
                <w:sz w:val="24"/>
              </w:rPr>
              <w:t>（2）特征污染物</w:t>
            </w:r>
          </w:p>
          <w:p w14:paraId="252EF255">
            <w:pPr>
              <w:spacing w:line="360" w:lineRule="auto"/>
              <w:ind w:firstLine="480" w:firstLineChars="200"/>
              <w:rPr>
                <w:color w:val="auto"/>
                <w:sz w:val="24"/>
              </w:rPr>
            </w:pPr>
            <w:r>
              <w:rPr>
                <w:rFonts w:hint="eastAsia"/>
                <w:color w:val="auto"/>
                <w:sz w:val="24"/>
                <w:lang w:val="en-US" w:eastAsia="zh-CN"/>
              </w:rPr>
              <w:t>为了解项目所在地</w:t>
            </w:r>
            <w:r>
              <w:rPr>
                <w:rFonts w:hint="eastAsia"/>
                <w:color w:val="auto"/>
                <w:sz w:val="24"/>
              </w:rPr>
              <w:t>总悬浮颗粒物（TSP）</w:t>
            </w:r>
            <w:r>
              <w:rPr>
                <w:rFonts w:hint="eastAsia"/>
                <w:color w:val="auto"/>
                <w:sz w:val="24"/>
                <w:lang w:eastAsia="zh-CN"/>
              </w:rPr>
              <w:t>、</w:t>
            </w:r>
            <w:r>
              <w:rPr>
                <w:rFonts w:hint="eastAsia"/>
                <w:color w:val="auto"/>
                <w:sz w:val="24"/>
              </w:rPr>
              <w:t>非甲烷总烃</w:t>
            </w:r>
            <w:r>
              <w:rPr>
                <w:rFonts w:hint="eastAsia"/>
                <w:color w:val="auto"/>
                <w:sz w:val="24"/>
                <w:lang w:eastAsia="zh-CN"/>
              </w:rPr>
              <w:t>、</w:t>
            </w:r>
            <w:r>
              <w:rPr>
                <w:rFonts w:hint="eastAsia"/>
                <w:color w:val="auto"/>
                <w:sz w:val="24"/>
                <w:lang w:val="en-US" w:eastAsia="zh-CN"/>
              </w:rPr>
              <w:t>甲苯和二甲苯环境质量现状</w:t>
            </w:r>
            <w:r>
              <w:rPr>
                <w:rFonts w:hint="eastAsia"/>
                <w:color w:val="auto"/>
                <w:sz w:val="24"/>
              </w:rPr>
              <w:t>，</w:t>
            </w:r>
            <w:r>
              <w:rPr>
                <w:rFonts w:hint="eastAsia"/>
                <w:color w:val="auto"/>
                <w:sz w:val="24"/>
                <w:lang w:val="en-US" w:eastAsia="zh-CN"/>
              </w:rPr>
              <w:t>本次评价非甲烷总烃、颗粒物</w:t>
            </w:r>
            <w:r>
              <w:rPr>
                <w:rFonts w:hint="eastAsia"/>
                <w:color w:val="auto"/>
                <w:sz w:val="24"/>
              </w:rPr>
              <w:t>引用《</w:t>
            </w:r>
            <w:r>
              <w:rPr>
                <w:rFonts w:hint="eastAsia"/>
                <w:color w:val="auto"/>
                <w:sz w:val="24"/>
                <w:lang w:val="en-US" w:eastAsia="zh-CN"/>
              </w:rPr>
              <w:t>陕西瑞智新能源科技有限公司高性能锂电池涂覆隔膜产业化项目</w:t>
            </w:r>
            <w:r>
              <w:rPr>
                <w:rFonts w:hint="eastAsia"/>
                <w:color w:val="auto"/>
                <w:sz w:val="24"/>
              </w:rPr>
              <w:t>环境质量现状监测报告》（具体见附件</w:t>
            </w:r>
            <w:r>
              <w:rPr>
                <w:rFonts w:hint="eastAsia"/>
                <w:color w:val="auto"/>
                <w:sz w:val="24"/>
                <w:lang w:val="en-US" w:eastAsia="zh-CN"/>
              </w:rPr>
              <w:t>5</w:t>
            </w:r>
            <w:r>
              <w:rPr>
                <w:rFonts w:hint="eastAsia"/>
                <w:color w:val="auto"/>
                <w:sz w:val="24"/>
              </w:rPr>
              <w:t>），监测点位为本项目</w:t>
            </w:r>
            <w:r>
              <w:rPr>
                <w:rFonts w:hint="eastAsia"/>
                <w:color w:val="auto"/>
                <w:sz w:val="24"/>
                <w:lang w:val="en-US" w:eastAsia="zh-CN"/>
              </w:rPr>
              <w:t>东北侧320</w:t>
            </w:r>
            <w:r>
              <w:rPr>
                <w:rFonts w:hint="eastAsia"/>
                <w:color w:val="auto"/>
                <w:sz w:val="24"/>
              </w:rPr>
              <w:t>m，监测日期为202</w:t>
            </w:r>
            <w:r>
              <w:rPr>
                <w:rFonts w:hint="eastAsia"/>
                <w:color w:val="auto"/>
                <w:sz w:val="24"/>
                <w:lang w:val="en-US" w:eastAsia="zh-CN"/>
              </w:rPr>
              <w:t>3</w:t>
            </w:r>
            <w:r>
              <w:rPr>
                <w:rFonts w:hint="eastAsia"/>
                <w:color w:val="auto"/>
                <w:sz w:val="24"/>
              </w:rPr>
              <w:t>年</w:t>
            </w:r>
            <w:r>
              <w:rPr>
                <w:rFonts w:hint="eastAsia"/>
                <w:color w:val="auto"/>
                <w:sz w:val="24"/>
                <w:lang w:val="en-US" w:eastAsia="zh-CN"/>
              </w:rPr>
              <w:t>6</w:t>
            </w:r>
            <w:r>
              <w:rPr>
                <w:rFonts w:hint="eastAsia"/>
                <w:color w:val="auto"/>
                <w:sz w:val="24"/>
              </w:rPr>
              <w:t>月</w:t>
            </w:r>
            <w:r>
              <w:rPr>
                <w:rFonts w:hint="eastAsia"/>
                <w:color w:val="auto"/>
                <w:sz w:val="24"/>
                <w:lang w:val="en-US" w:eastAsia="zh-CN"/>
              </w:rPr>
              <w:t>8</w:t>
            </w:r>
            <w:r>
              <w:rPr>
                <w:rFonts w:hint="eastAsia"/>
                <w:color w:val="auto"/>
                <w:sz w:val="24"/>
              </w:rPr>
              <w:t>日至</w:t>
            </w:r>
            <w:r>
              <w:rPr>
                <w:rFonts w:hint="eastAsia"/>
                <w:color w:val="auto"/>
                <w:sz w:val="24"/>
                <w:lang w:val="en-US" w:eastAsia="zh-CN"/>
              </w:rPr>
              <w:t>6</w:t>
            </w:r>
            <w:r>
              <w:rPr>
                <w:rFonts w:hint="eastAsia"/>
                <w:color w:val="auto"/>
                <w:sz w:val="24"/>
              </w:rPr>
              <w:t>月</w:t>
            </w:r>
            <w:r>
              <w:rPr>
                <w:rFonts w:hint="eastAsia"/>
                <w:color w:val="auto"/>
                <w:sz w:val="24"/>
                <w:lang w:val="en-US" w:eastAsia="zh-CN"/>
              </w:rPr>
              <w:t>11</w:t>
            </w:r>
            <w:r>
              <w:rPr>
                <w:rFonts w:hint="eastAsia"/>
                <w:color w:val="auto"/>
                <w:sz w:val="24"/>
              </w:rPr>
              <w:t>日。监测数据在有效期内，本次监测数据引用合理。</w:t>
            </w:r>
            <w:r>
              <w:rPr>
                <w:rFonts w:hint="eastAsia"/>
                <w:color w:val="auto"/>
                <w:sz w:val="24"/>
                <w:lang w:val="en-US" w:eastAsia="zh-CN"/>
              </w:rPr>
              <w:t>甲苯、二甲苯</w:t>
            </w:r>
            <w:r>
              <w:rPr>
                <w:rFonts w:hint="eastAsia"/>
                <w:color w:val="auto"/>
                <w:sz w:val="24"/>
              </w:rPr>
              <w:t>委托陕西秦研检测技术有限公司于2025年</w:t>
            </w:r>
            <w:r>
              <w:rPr>
                <w:rFonts w:hint="eastAsia"/>
                <w:color w:val="auto"/>
                <w:sz w:val="24"/>
                <w:lang w:val="en-US" w:eastAsia="zh-CN"/>
              </w:rPr>
              <w:t>4</w:t>
            </w:r>
            <w:r>
              <w:rPr>
                <w:rFonts w:hint="eastAsia"/>
                <w:color w:val="auto"/>
                <w:sz w:val="24"/>
              </w:rPr>
              <w:t>月1日~2025年</w:t>
            </w:r>
            <w:r>
              <w:rPr>
                <w:rFonts w:hint="eastAsia"/>
                <w:color w:val="auto"/>
                <w:sz w:val="24"/>
                <w:lang w:val="en-US" w:eastAsia="zh-CN"/>
              </w:rPr>
              <w:t>4</w:t>
            </w:r>
            <w:r>
              <w:rPr>
                <w:rFonts w:hint="eastAsia"/>
                <w:color w:val="auto"/>
                <w:sz w:val="24"/>
              </w:rPr>
              <w:t>月</w:t>
            </w:r>
            <w:r>
              <w:rPr>
                <w:rFonts w:hint="eastAsia"/>
                <w:color w:val="auto"/>
                <w:sz w:val="24"/>
                <w:lang w:val="en-US" w:eastAsia="zh-CN"/>
              </w:rPr>
              <w:t>3</w:t>
            </w:r>
            <w:r>
              <w:rPr>
                <w:rFonts w:hint="eastAsia"/>
                <w:color w:val="auto"/>
                <w:sz w:val="24"/>
              </w:rPr>
              <w:t>日对项目厂址下风向进行现状监测（监测报告见附件</w:t>
            </w:r>
            <w:r>
              <w:rPr>
                <w:rFonts w:hint="eastAsia"/>
                <w:color w:val="auto"/>
                <w:sz w:val="24"/>
                <w:lang w:val="en-US" w:eastAsia="zh-CN"/>
              </w:rPr>
              <w:t>6</w:t>
            </w:r>
            <w:r>
              <w:rPr>
                <w:rFonts w:hint="eastAsia"/>
                <w:color w:val="auto"/>
                <w:sz w:val="24"/>
              </w:rPr>
              <w:t>）。监测结果</w:t>
            </w:r>
            <w:r>
              <w:rPr>
                <w:color w:val="auto"/>
                <w:sz w:val="24"/>
              </w:rPr>
              <w:t>如下：</w:t>
            </w:r>
          </w:p>
          <w:p w14:paraId="2EBDDC34">
            <w:pPr>
              <w:pStyle w:val="63"/>
              <w:spacing w:line="240" w:lineRule="auto"/>
              <w:ind w:firstLine="0" w:firstLineChars="0"/>
              <w:jc w:val="center"/>
              <w:rPr>
                <w:rFonts w:hAnsi="Times New Roman" w:cs="Times New Roman"/>
                <w:b/>
                <w:bCs/>
                <w:color w:val="auto"/>
                <w:kern w:val="21"/>
                <w:szCs w:val="24"/>
              </w:rPr>
            </w:pPr>
            <w:r>
              <w:rPr>
                <w:rFonts w:hAnsi="Times New Roman" w:cs="Times New Roman"/>
                <w:b/>
                <w:bCs/>
                <w:color w:val="auto"/>
                <w:kern w:val="21"/>
                <w:szCs w:val="24"/>
              </w:rPr>
              <w:t>表</w:t>
            </w:r>
            <w:r>
              <w:rPr>
                <w:rFonts w:hint="eastAsia" w:hAnsi="Times New Roman" w:cs="Times New Roman"/>
                <w:b/>
                <w:bCs/>
                <w:color w:val="auto"/>
                <w:kern w:val="21"/>
                <w:szCs w:val="24"/>
              </w:rPr>
              <w:t>3-2</w:t>
            </w:r>
            <w:r>
              <w:rPr>
                <w:rFonts w:hAnsi="Times New Roman" w:cs="Times New Roman"/>
                <w:b/>
                <w:bCs/>
                <w:color w:val="auto"/>
                <w:kern w:val="21"/>
                <w:szCs w:val="24"/>
              </w:rPr>
              <w:t xml:space="preserve"> </w:t>
            </w:r>
            <w:r>
              <w:rPr>
                <w:rFonts w:hint="eastAsia" w:hAnsi="Times New Roman" w:cs="Times New Roman"/>
                <w:b/>
                <w:bCs/>
                <w:color w:val="auto"/>
                <w:kern w:val="21"/>
                <w:szCs w:val="24"/>
              </w:rPr>
              <w:t xml:space="preserve"> 特征污染物</w:t>
            </w:r>
            <w:r>
              <w:rPr>
                <w:rFonts w:hint="eastAsia" w:hAnsi="Times New Roman" w:cs="Times New Roman"/>
                <w:b/>
                <w:bCs/>
                <w:color w:val="auto"/>
                <w:kern w:val="21"/>
                <w:szCs w:val="24"/>
                <w:lang w:val="en-US" w:eastAsia="zh-CN"/>
              </w:rPr>
              <w:t>现状</w:t>
            </w:r>
            <w:r>
              <w:rPr>
                <w:rFonts w:hint="eastAsia" w:hAnsi="Times New Roman" w:cs="Times New Roman"/>
                <w:b/>
                <w:bCs/>
                <w:color w:val="auto"/>
                <w:kern w:val="21"/>
                <w:szCs w:val="24"/>
              </w:rPr>
              <w:t>监测结果一览表</w:t>
            </w:r>
          </w:p>
          <w:tbl>
            <w:tblPr>
              <w:tblStyle w:val="25"/>
              <w:tblW w:w="805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
            <w:tblGrid>
              <w:gridCol w:w="460"/>
              <w:gridCol w:w="461"/>
              <w:gridCol w:w="1113"/>
              <w:gridCol w:w="800"/>
              <w:gridCol w:w="962"/>
              <w:gridCol w:w="1000"/>
              <w:gridCol w:w="963"/>
              <w:gridCol w:w="987"/>
              <w:gridCol w:w="663"/>
              <w:gridCol w:w="645"/>
            </w:tblGrid>
            <w:tr w14:paraId="7135BDC5">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624" w:hRule="atLeast"/>
                <w:jc w:val="center"/>
              </w:trPr>
              <w:tc>
                <w:tcPr>
                  <w:tcW w:w="571" w:type="pct"/>
                  <w:gridSpan w:val="2"/>
                  <w:noWrap w:val="0"/>
                  <w:vAlign w:val="center"/>
                </w:tcPr>
                <w:p w14:paraId="3D8DDEBB">
                  <w:pPr>
                    <w:widowControl/>
                    <w:jc w:val="center"/>
                    <w:rPr>
                      <w:b/>
                      <w:bCs/>
                      <w:color w:val="auto"/>
                      <w:szCs w:val="21"/>
                    </w:rPr>
                  </w:pPr>
                  <w:r>
                    <w:rPr>
                      <w:b/>
                      <w:bCs/>
                      <w:color w:val="auto"/>
                      <w:szCs w:val="21"/>
                    </w:rPr>
                    <w:t>污染物</w:t>
                  </w:r>
                </w:p>
              </w:tc>
              <w:tc>
                <w:tcPr>
                  <w:tcW w:w="690" w:type="pct"/>
                  <w:noWrap w:val="0"/>
                  <w:vAlign w:val="center"/>
                </w:tcPr>
                <w:p w14:paraId="78DA89E6">
                  <w:pPr>
                    <w:widowControl/>
                    <w:jc w:val="center"/>
                    <w:rPr>
                      <w:b/>
                      <w:bCs/>
                      <w:color w:val="auto"/>
                      <w:szCs w:val="21"/>
                    </w:rPr>
                  </w:pPr>
                  <w:r>
                    <w:rPr>
                      <w:b/>
                      <w:bCs/>
                      <w:color w:val="auto"/>
                      <w:szCs w:val="21"/>
                    </w:rPr>
                    <w:t>采样日期</w:t>
                  </w:r>
                </w:p>
              </w:tc>
              <w:tc>
                <w:tcPr>
                  <w:tcW w:w="496" w:type="pct"/>
                  <w:noWrap w:val="0"/>
                  <w:vAlign w:val="center"/>
                </w:tcPr>
                <w:p w14:paraId="35B1C43F">
                  <w:pPr>
                    <w:widowControl/>
                    <w:jc w:val="center"/>
                    <w:rPr>
                      <w:b/>
                      <w:bCs/>
                      <w:color w:val="auto"/>
                      <w:szCs w:val="21"/>
                    </w:rPr>
                  </w:pPr>
                  <w:r>
                    <w:rPr>
                      <w:b/>
                      <w:bCs/>
                      <w:color w:val="auto"/>
                      <w:szCs w:val="21"/>
                    </w:rPr>
                    <w:t>单位</w:t>
                  </w:r>
                </w:p>
              </w:tc>
              <w:tc>
                <w:tcPr>
                  <w:tcW w:w="2428" w:type="pct"/>
                  <w:gridSpan w:val="4"/>
                  <w:noWrap w:val="0"/>
                  <w:vAlign w:val="center"/>
                </w:tcPr>
                <w:p w14:paraId="3BE9C209">
                  <w:pPr>
                    <w:widowControl/>
                    <w:jc w:val="center"/>
                    <w:rPr>
                      <w:b/>
                      <w:bCs/>
                      <w:color w:val="auto"/>
                      <w:szCs w:val="21"/>
                    </w:rPr>
                  </w:pPr>
                  <w:r>
                    <w:rPr>
                      <w:b/>
                      <w:bCs/>
                      <w:color w:val="auto"/>
                      <w:szCs w:val="21"/>
                    </w:rPr>
                    <w:t>检测结果</w:t>
                  </w:r>
                </w:p>
              </w:tc>
              <w:tc>
                <w:tcPr>
                  <w:tcW w:w="411" w:type="pct"/>
                  <w:noWrap w:val="0"/>
                  <w:vAlign w:val="center"/>
                </w:tcPr>
                <w:p w14:paraId="7F32625A">
                  <w:pPr>
                    <w:widowControl/>
                    <w:jc w:val="center"/>
                    <w:rPr>
                      <w:b/>
                      <w:bCs/>
                      <w:color w:val="auto"/>
                      <w:szCs w:val="21"/>
                    </w:rPr>
                  </w:pPr>
                  <w:r>
                    <w:rPr>
                      <w:b/>
                      <w:bCs/>
                      <w:color w:val="auto"/>
                      <w:szCs w:val="21"/>
                    </w:rPr>
                    <w:t>标准值</w:t>
                  </w:r>
                </w:p>
              </w:tc>
              <w:tc>
                <w:tcPr>
                  <w:tcW w:w="400" w:type="pct"/>
                  <w:noWrap w:val="0"/>
                  <w:vAlign w:val="center"/>
                </w:tcPr>
                <w:p w14:paraId="4BBC3B40">
                  <w:pPr>
                    <w:widowControl/>
                    <w:jc w:val="center"/>
                    <w:rPr>
                      <w:b/>
                      <w:bCs/>
                      <w:color w:val="auto"/>
                      <w:szCs w:val="21"/>
                    </w:rPr>
                  </w:pPr>
                  <w:r>
                    <w:rPr>
                      <w:b/>
                      <w:bCs/>
                      <w:color w:val="auto"/>
                      <w:szCs w:val="21"/>
                    </w:rPr>
                    <w:t>达标情况</w:t>
                  </w:r>
                </w:p>
              </w:tc>
            </w:tr>
            <w:tr w14:paraId="6D225065">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454" w:hRule="atLeast"/>
                <w:jc w:val="center"/>
              </w:trPr>
              <w:tc>
                <w:tcPr>
                  <w:tcW w:w="571" w:type="pct"/>
                  <w:gridSpan w:val="2"/>
                  <w:vMerge w:val="restart"/>
                  <w:noWrap w:val="0"/>
                  <w:vAlign w:val="center"/>
                </w:tcPr>
                <w:p w14:paraId="0E9EA7CF">
                  <w:pPr>
                    <w:widowControl/>
                    <w:jc w:val="center"/>
                    <w:rPr>
                      <w:color w:val="auto"/>
                      <w:szCs w:val="21"/>
                    </w:rPr>
                  </w:pPr>
                  <w:r>
                    <w:rPr>
                      <w:color w:val="auto"/>
                      <w:szCs w:val="21"/>
                    </w:rPr>
                    <w:t>TSP</w:t>
                  </w:r>
                </w:p>
              </w:tc>
              <w:tc>
                <w:tcPr>
                  <w:tcW w:w="690" w:type="pct"/>
                  <w:noWrap w:val="0"/>
                  <w:vAlign w:val="center"/>
                </w:tcPr>
                <w:p w14:paraId="19591C03">
                  <w:pPr>
                    <w:widowControl/>
                    <w:jc w:val="center"/>
                    <w:textAlignment w:val="center"/>
                    <w:rPr>
                      <w:rFonts w:hint="default" w:eastAsia="宋体"/>
                      <w:color w:val="auto"/>
                      <w:szCs w:val="21"/>
                      <w:lang w:val="en-US" w:eastAsia="zh-CN"/>
                    </w:rPr>
                  </w:pPr>
                  <w:r>
                    <w:rPr>
                      <w:rFonts w:hint="eastAsia"/>
                      <w:color w:val="auto"/>
                      <w:szCs w:val="21"/>
                      <w:lang w:val="en-US" w:eastAsia="zh-CN"/>
                    </w:rPr>
                    <w:t>2023.6.8-6.9</w:t>
                  </w:r>
                </w:p>
              </w:tc>
              <w:tc>
                <w:tcPr>
                  <w:tcW w:w="496" w:type="pct"/>
                  <w:vMerge w:val="restart"/>
                  <w:noWrap w:val="0"/>
                  <w:vAlign w:val="center"/>
                </w:tcPr>
                <w:p w14:paraId="5EA94133">
                  <w:pPr>
                    <w:widowControl/>
                    <w:jc w:val="center"/>
                    <w:textAlignment w:val="center"/>
                    <w:rPr>
                      <w:color w:val="auto"/>
                      <w:szCs w:val="21"/>
                    </w:rPr>
                  </w:pPr>
                  <w:r>
                    <w:rPr>
                      <w:color w:val="auto"/>
                      <w:szCs w:val="21"/>
                    </w:rPr>
                    <w:t>mg/m³</w:t>
                  </w:r>
                </w:p>
              </w:tc>
              <w:tc>
                <w:tcPr>
                  <w:tcW w:w="2428" w:type="pct"/>
                  <w:gridSpan w:val="4"/>
                  <w:noWrap w:val="0"/>
                  <w:vAlign w:val="center"/>
                </w:tcPr>
                <w:p w14:paraId="792E8C73">
                  <w:pPr>
                    <w:widowControl/>
                    <w:jc w:val="center"/>
                    <w:rPr>
                      <w:rFonts w:hint="default" w:eastAsia="宋体"/>
                      <w:color w:val="auto"/>
                      <w:szCs w:val="21"/>
                      <w:lang w:val="en-US" w:eastAsia="zh-CN"/>
                    </w:rPr>
                  </w:pPr>
                  <w:r>
                    <w:rPr>
                      <w:rFonts w:hint="eastAsia"/>
                      <w:color w:val="auto"/>
                      <w:szCs w:val="21"/>
                    </w:rPr>
                    <w:t>0.0</w:t>
                  </w:r>
                  <w:r>
                    <w:rPr>
                      <w:rFonts w:hint="eastAsia"/>
                      <w:color w:val="auto"/>
                      <w:szCs w:val="21"/>
                      <w:lang w:val="en-US" w:eastAsia="zh-CN"/>
                    </w:rPr>
                    <w:t>75</w:t>
                  </w:r>
                </w:p>
              </w:tc>
              <w:tc>
                <w:tcPr>
                  <w:tcW w:w="411" w:type="pct"/>
                  <w:vMerge w:val="restart"/>
                  <w:noWrap w:val="0"/>
                  <w:vAlign w:val="center"/>
                </w:tcPr>
                <w:p w14:paraId="17B5EE05">
                  <w:pPr>
                    <w:widowControl/>
                    <w:jc w:val="center"/>
                    <w:rPr>
                      <w:color w:val="auto"/>
                      <w:szCs w:val="21"/>
                    </w:rPr>
                  </w:pPr>
                  <w:r>
                    <w:rPr>
                      <w:color w:val="auto"/>
                      <w:szCs w:val="21"/>
                    </w:rPr>
                    <w:t>0.3</w:t>
                  </w:r>
                </w:p>
              </w:tc>
              <w:tc>
                <w:tcPr>
                  <w:tcW w:w="400" w:type="pct"/>
                  <w:vMerge w:val="restart"/>
                  <w:noWrap w:val="0"/>
                  <w:vAlign w:val="center"/>
                </w:tcPr>
                <w:p w14:paraId="1147CF8E">
                  <w:pPr>
                    <w:widowControl/>
                    <w:jc w:val="center"/>
                    <w:rPr>
                      <w:color w:val="auto"/>
                      <w:szCs w:val="21"/>
                    </w:rPr>
                  </w:pPr>
                  <w:r>
                    <w:rPr>
                      <w:color w:val="auto"/>
                      <w:szCs w:val="21"/>
                    </w:rPr>
                    <w:t>达标</w:t>
                  </w:r>
                </w:p>
              </w:tc>
            </w:tr>
            <w:tr w14:paraId="754203C4">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454" w:hRule="atLeast"/>
                <w:jc w:val="center"/>
              </w:trPr>
              <w:tc>
                <w:tcPr>
                  <w:tcW w:w="571" w:type="pct"/>
                  <w:gridSpan w:val="2"/>
                  <w:vMerge w:val="continue"/>
                  <w:noWrap w:val="0"/>
                  <w:vAlign w:val="center"/>
                </w:tcPr>
                <w:p w14:paraId="64666987">
                  <w:pPr>
                    <w:widowControl/>
                    <w:jc w:val="center"/>
                    <w:rPr>
                      <w:color w:val="auto"/>
                      <w:szCs w:val="21"/>
                    </w:rPr>
                  </w:pPr>
                </w:p>
              </w:tc>
              <w:tc>
                <w:tcPr>
                  <w:tcW w:w="690" w:type="pct"/>
                  <w:noWrap w:val="0"/>
                  <w:vAlign w:val="center"/>
                </w:tcPr>
                <w:p w14:paraId="7C2B1DFA">
                  <w:pPr>
                    <w:widowControl/>
                    <w:jc w:val="center"/>
                    <w:textAlignment w:val="center"/>
                    <w:rPr>
                      <w:color w:val="auto"/>
                      <w:szCs w:val="21"/>
                    </w:rPr>
                  </w:pPr>
                  <w:r>
                    <w:rPr>
                      <w:rFonts w:hint="eastAsia"/>
                      <w:color w:val="auto"/>
                      <w:szCs w:val="21"/>
                      <w:lang w:val="en-US" w:eastAsia="zh-CN"/>
                    </w:rPr>
                    <w:t>2023.6.9-6.10</w:t>
                  </w:r>
                </w:p>
              </w:tc>
              <w:tc>
                <w:tcPr>
                  <w:tcW w:w="496" w:type="pct"/>
                  <w:vMerge w:val="continue"/>
                  <w:noWrap w:val="0"/>
                  <w:vAlign w:val="center"/>
                </w:tcPr>
                <w:p w14:paraId="073E6381">
                  <w:pPr>
                    <w:widowControl/>
                    <w:jc w:val="center"/>
                    <w:textAlignment w:val="center"/>
                    <w:rPr>
                      <w:color w:val="auto"/>
                      <w:szCs w:val="21"/>
                    </w:rPr>
                  </w:pPr>
                </w:p>
              </w:tc>
              <w:tc>
                <w:tcPr>
                  <w:tcW w:w="2428" w:type="pct"/>
                  <w:gridSpan w:val="4"/>
                  <w:noWrap w:val="0"/>
                  <w:vAlign w:val="center"/>
                </w:tcPr>
                <w:p w14:paraId="77403B00">
                  <w:pPr>
                    <w:widowControl/>
                    <w:jc w:val="center"/>
                    <w:rPr>
                      <w:rFonts w:hint="default" w:eastAsia="宋体"/>
                      <w:color w:val="auto"/>
                      <w:szCs w:val="21"/>
                      <w:lang w:val="en-US" w:eastAsia="zh-CN"/>
                    </w:rPr>
                  </w:pPr>
                  <w:r>
                    <w:rPr>
                      <w:rFonts w:hint="eastAsia"/>
                      <w:color w:val="auto"/>
                      <w:szCs w:val="21"/>
                    </w:rPr>
                    <w:t>0.0</w:t>
                  </w:r>
                  <w:r>
                    <w:rPr>
                      <w:rFonts w:hint="eastAsia"/>
                      <w:color w:val="auto"/>
                      <w:szCs w:val="21"/>
                      <w:lang w:val="en-US" w:eastAsia="zh-CN"/>
                    </w:rPr>
                    <w:t>68</w:t>
                  </w:r>
                </w:p>
              </w:tc>
              <w:tc>
                <w:tcPr>
                  <w:tcW w:w="411" w:type="pct"/>
                  <w:vMerge w:val="continue"/>
                  <w:noWrap w:val="0"/>
                  <w:vAlign w:val="center"/>
                </w:tcPr>
                <w:p w14:paraId="7D348F1F">
                  <w:pPr>
                    <w:widowControl/>
                    <w:jc w:val="center"/>
                    <w:rPr>
                      <w:color w:val="auto"/>
                      <w:szCs w:val="21"/>
                    </w:rPr>
                  </w:pPr>
                </w:p>
              </w:tc>
              <w:tc>
                <w:tcPr>
                  <w:tcW w:w="400" w:type="pct"/>
                  <w:vMerge w:val="continue"/>
                  <w:noWrap w:val="0"/>
                  <w:vAlign w:val="center"/>
                </w:tcPr>
                <w:p w14:paraId="7D0C1939">
                  <w:pPr>
                    <w:widowControl/>
                    <w:jc w:val="center"/>
                    <w:rPr>
                      <w:color w:val="auto"/>
                      <w:szCs w:val="21"/>
                    </w:rPr>
                  </w:pPr>
                </w:p>
              </w:tc>
            </w:tr>
            <w:tr w14:paraId="76ACABF3">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454" w:hRule="atLeast"/>
                <w:jc w:val="center"/>
              </w:trPr>
              <w:tc>
                <w:tcPr>
                  <w:tcW w:w="571" w:type="pct"/>
                  <w:gridSpan w:val="2"/>
                  <w:vMerge w:val="continue"/>
                  <w:noWrap w:val="0"/>
                  <w:vAlign w:val="center"/>
                </w:tcPr>
                <w:p w14:paraId="2134C923">
                  <w:pPr>
                    <w:widowControl/>
                    <w:jc w:val="center"/>
                    <w:rPr>
                      <w:color w:val="auto"/>
                      <w:szCs w:val="21"/>
                    </w:rPr>
                  </w:pPr>
                </w:p>
              </w:tc>
              <w:tc>
                <w:tcPr>
                  <w:tcW w:w="690" w:type="pct"/>
                  <w:noWrap w:val="0"/>
                  <w:vAlign w:val="center"/>
                </w:tcPr>
                <w:p w14:paraId="31430CF1">
                  <w:pPr>
                    <w:widowControl/>
                    <w:jc w:val="center"/>
                    <w:textAlignment w:val="center"/>
                    <w:rPr>
                      <w:color w:val="auto"/>
                      <w:szCs w:val="21"/>
                    </w:rPr>
                  </w:pPr>
                  <w:r>
                    <w:rPr>
                      <w:rFonts w:hint="eastAsia"/>
                      <w:color w:val="auto"/>
                      <w:szCs w:val="21"/>
                      <w:lang w:val="en-US" w:eastAsia="zh-CN"/>
                    </w:rPr>
                    <w:t>2023.6.10-6.11</w:t>
                  </w:r>
                </w:p>
              </w:tc>
              <w:tc>
                <w:tcPr>
                  <w:tcW w:w="496" w:type="pct"/>
                  <w:vMerge w:val="continue"/>
                  <w:noWrap w:val="0"/>
                  <w:vAlign w:val="center"/>
                </w:tcPr>
                <w:p w14:paraId="5DFBCD3C">
                  <w:pPr>
                    <w:widowControl/>
                    <w:jc w:val="center"/>
                    <w:textAlignment w:val="center"/>
                    <w:rPr>
                      <w:color w:val="auto"/>
                      <w:szCs w:val="21"/>
                    </w:rPr>
                  </w:pPr>
                </w:p>
              </w:tc>
              <w:tc>
                <w:tcPr>
                  <w:tcW w:w="2428" w:type="pct"/>
                  <w:gridSpan w:val="4"/>
                  <w:noWrap w:val="0"/>
                  <w:vAlign w:val="center"/>
                </w:tcPr>
                <w:p w14:paraId="70902B82">
                  <w:pPr>
                    <w:widowControl/>
                    <w:jc w:val="center"/>
                    <w:rPr>
                      <w:rFonts w:hint="default" w:eastAsia="宋体"/>
                      <w:color w:val="auto"/>
                      <w:szCs w:val="21"/>
                      <w:lang w:val="en-US" w:eastAsia="zh-CN"/>
                    </w:rPr>
                  </w:pPr>
                  <w:r>
                    <w:rPr>
                      <w:rFonts w:hint="eastAsia"/>
                      <w:color w:val="auto"/>
                      <w:szCs w:val="21"/>
                    </w:rPr>
                    <w:t>0.</w:t>
                  </w:r>
                  <w:r>
                    <w:rPr>
                      <w:rFonts w:hint="eastAsia"/>
                      <w:color w:val="auto"/>
                      <w:szCs w:val="21"/>
                      <w:lang w:val="en-US" w:eastAsia="zh-CN"/>
                    </w:rPr>
                    <w:t>113</w:t>
                  </w:r>
                </w:p>
              </w:tc>
              <w:tc>
                <w:tcPr>
                  <w:tcW w:w="411" w:type="pct"/>
                  <w:vMerge w:val="continue"/>
                  <w:noWrap w:val="0"/>
                  <w:vAlign w:val="center"/>
                </w:tcPr>
                <w:p w14:paraId="48A889C3">
                  <w:pPr>
                    <w:widowControl/>
                    <w:jc w:val="center"/>
                    <w:rPr>
                      <w:color w:val="auto"/>
                      <w:szCs w:val="21"/>
                    </w:rPr>
                  </w:pPr>
                </w:p>
              </w:tc>
              <w:tc>
                <w:tcPr>
                  <w:tcW w:w="400" w:type="pct"/>
                  <w:vMerge w:val="continue"/>
                  <w:noWrap w:val="0"/>
                  <w:vAlign w:val="center"/>
                </w:tcPr>
                <w:p w14:paraId="65588BE8">
                  <w:pPr>
                    <w:widowControl/>
                    <w:jc w:val="center"/>
                    <w:rPr>
                      <w:color w:val="auto"/>
                      <w:szCs w:val="21"/>
                    </w:rPr>
                  </w:pPr>
                </w:p>
              </w:tc>
            </w:tr>
            <w:tr w14:paraId="280C7905">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454" w:hRule="atLeast"/>
                <w:jc w:val="center"/>
              </w:trPr>
              <w:tc>
                <w:tcPr>
                  <w:tcW w:w="571" w:type="pct"/>
                  <w:gridSpan w:val="2"/>
                  <w:vMerge w:val="restart"/>
                  <w:noWrap w:val="0"/>
                  <w:vAlign w:val="center"/>
                </w:tcPr>
                <w:p w14:paraId="3CD6E874">
                  <w:pPr>
                    <w:widowControl/>
                    <w:jc w:val="center"/>
                    <w:rPr>
                      <w:color w:val="auto"/>
                      <w:szCs w:val="21"/>
                    </w:rPr>
                  </w:pPr>
                  <w:r>
                    <w:rPr>
                      <w:rFonts w:hint="eastAsia"/>
                      <w:color w:val="auto"/>
                      <w:szCs w:val="21"/>
                    </w:rPr>
                    <w:t>非甲烷总烃</w:t>
                  </w:r>
                </w:p>
              </w:tc>
              <w:tc>
                <w:tcPr>
                  <w:tcW w:w="690" w:type="pct"/>
                  <w:noWrap w:val="0"/>
                  <w:vAlign w:val="center"/>
                </w:tcPr>
                <w:p w14:paraId="360E8201">
                  <w:pPr>
                    <w:widowControl/>
                    <w:jc w:val="center"/>
                    <w:textAlignment w:val="center"/>
                    <w:rPr>
                      <w:rFonts w:hint="default" w:eastAsia="宋体"/>
                      <w:color w:val="auto"/>
                      <w:kern w:val="2"/>
                      <w:sz w:val="21"/>
                      <w:szCs w:val="21"/>
                      <w:lang w:val="en-US" w:eastAsia="zh-CN" w:bidi="ar-SA"/>
                    </w:rPr>
                  </w:pPr>
                  <w:r>
                    <w:rPr>
                      <w:rFonts w:hint="eastAsia"/>
                      <w:color w:val="auto"/>
                      <w:szCs w:val="21"/>
                      <w:lang w:val="en-US" w:eastAsia="zh-CN"/>
                    </w:rPr>
                    <w:t>2023.6.8-6.9</w:t>
                  </w:r>
                </w:p>
              </w:tc>
              <w:tc>
                <w:tcPr>
                  <w:tcW w:w="496" w:type="pct"/>
                  <w:vMerge w:val="restart"/>
                  <w:noWrap w:val="0"/>
                  <w:vAlign w:val="center"/>
                </w:tcPr>
                <w:p w14:paraId="31ECFB1F">
                  <w:pPr>
                    <w:widowControl/>
                    <w:jc w:val="center"/>
                    <w:textAlignment w:val="center"/>
                    <w:rPr>
                      <w:color w:val="auto"/>
                      <w:szCs w:val="21"/>
                    </w:rPr>
                  </w:pPr>
                  <w:r>
                    <w:rPr>
                      <w:color w:val="auto"/>
                      <w:szCs w:val="21"/>
                    </w:rPr>
                    <w:t>mg/m³</w:t>
                  </w:r>
                </w:p>
              </w:tc>
              <w:tc>
                <w:tcPr>
                  <w:tcW w:w="597" w:type="pct"/>
                  <w:noWrap w:val="0"/>
                  <w:vAlign w:val="center"/>
                </w:tcPr>
                <w:p w14:paraId="10DE4DD0">
                  <w:pPr>
                    <w:keepNext w:val="0"/>
                    <w:keepLines w:val="0"/>
                    <w:widowControl/>
                    <w:suppressLineNumbers w:val="0"/>
                    <w:jc w:val="center"/>
                    <w:textAlignment w:val="center"/>
                    <w:rPr>
                      <w:rFonts w:hint="default" w:ascii="Times New Roman" w:hAnsi="Times New Roman"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1.16</w:t>
                  </w:r>
                </w:p>
              </w:tc>
              <w:tc>
                <w:tcPr>
                  <w:tcW w:w="620" w:type="pct"/>
                  <w:noWrap w:val="0"/>
                  <w:vAlign w:val="center"/>
                </w:tcPr>
                <w:p w14:paraId="0A14BCB1">
                  <w:pPr>
                    <w:pStyle w:val="44"/>
                    <w:keepNext w:val="0"/>
                    <w:keepLines w:val="0"/>
                    <w:pageBreakBefore w:val="0"/>
                    <w:widowControl w:val="0"/>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1.37</w:t>
                  </w:r>
                </w:p>
              </w:tc>
              <w:tc>
                <w:tcPr>
                  <w:tcW w:w="597" w:type="pct"/>
                  <w:noWrap w:val="0"/>
                  <w:vAlign w:val="center"/>
                </w:tcPr>
                <w:p w14:paraId="279DD578">
                  <w:pPr>
                    <w:pStyle w:val="44"/>
                    <w:keepNext w:val="0"/>
                    <w:keepLines w:val="0"/>
                    <w:pageBreakBefore w:val="0"/>
                    <w:widowControl w:val="0"/>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1.24</w:t>
                  </w:r>
                </w:p>
              </w:tc>
              <w:tc>
                <w:tcPr>
                  <w:tcW w:w="612" w:type="pct"/>
                  <w:noWrap w:val="0"/>
                  <w:vAlign w:val="center"/>
                </w:tcPr>
                <w:p w14:paraId="64E8B42C">
                  <w:pPr>
                    <w:pStyle w:val="44"/>
                    <w:keepNext w:val="0"/>
                    <w:keepLines w:val="0"/>
                    <w:pageBreakBefore w:val="0"/>
                    <w:widowControl w:val="0"/>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1.21</w:t>
                  </w:r>
                </w:p>
              </w:tc>
              <w:tc>
                <w:tcPr>
                  <w:tcW w:w="411" w:type="pct"/>
                  <w:vMerge w:val="restart"/>
                  <w:noWrap w:val="0"/>
                  <w:vAlign w:val="center"/>
                </w:tcPr>
                <w:p w14:paraId="1ADA2091">
                  <w:pPr>
                    <w:widowControl/>
                    <w:jc w:val="center"/>
                    <w:rPr>
                      <w:color w:val="auto"/>
                      <w:szCs w:val="21"/>
                    </w:rPr>
                  </w:pPr>
                  <w:r>
                    <w:rPr>
                      <w:rFonts w:hint="eastAsia"/>
                      <w:color w:val="auto"/>
                      <w:szCs w:val="21"/>
                    </w:rPr>
                    <w:t>2.0</w:t>
                  </w:r>
                </w:p>
              </w:tc>
              <w:tc>
                <w:tcPr>
                  <w:tcW w:w="400" w:type="pct"/>
                  <w:vMerge w:val="restart"/>
                  <w:noWrap w:val="0"/>
                  <w:vAlign w:val="center"/>
                </w:tcPr>
                <w:p w14:paraId="47DBA0E5">
                  <w:pPr>
                    <w:widowControl/>
                    <w:jc w:val="center"/>
                    <w:rPr>
                      <w:color w:val="auto"/>
                      <w:szCs w:val="21"/>
                    </w:rPr>
                  </w:pPr>
                  <w:r>
                    <w:rPr>
                      <w:rFonts w:hint="eastAsia"/>
                      <w:color w:val="auto"/>
                      <w:szCs w:val="21"/>
                    </w:rPr>
                    <w:t>达标</w:t>
                  </w:r>
                </w:p>
              </w:tc>
            </w:tr>
            <w:tr w14:paraId="26435744">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454" w:hRule="atLeast"/>
                <w:jc w:val="center"/>
              </w:trPr>
              <w:tc>
                <w:tcPr>
                  <w:tcW w:w="571" w:type="pct"/>
                  <w:gridSpan w:val="2"/>
                  <w:vMerge w:val="continue"/>
                  <w:noWrap w:val="0"/>
                  <w:vAlign w:val="center"/>
                </w:tcPr>
                <w:p w14:paraId="7411B323">
                  <w:pPr>
                    <w:widowControl/>
                    <w:jc w:val="center"/>
                    <w:rPr>
                      <w:color w:val="auto"/>
                      <w:szCs w:val="21"/>
                    </w:rPr>
                  </w:pPr>
                </w:p>
              </w:tc>
              <w:tc>
                <w:tcPr>
                  <w:tcW w:w="690" w:type="pct"/>
                  <w:noWrap w:val="0"/>
                  <w:vAlign w:val="center"/>
                </w:tcPr>
                <w:p w14:paraId="4460BE17">
                  <w:pPr>
                    <w:widowControl/>
                    <w:jc w:val="center"/>
                    <w:textAlignment w:val="center"/>
                    <w:rPr>
                      <w:rFonts w:hint="default"/>
                      <w:color w:val="auto"/>
                      <w:kern w:val="2"/>
                      <w:sz w:val="21"/>
                      <w:szCs w:val="21"/>
                      <w:lang w:val="en-US" w:eastAsia="zh-CN" w:bidi="ar-SA"/>
                    </w:rPr>
                  </w:pPr>
                  <w:r>
                    <w:rPr>
                      <w:rFonts w:hint="eastAsia"/>
                      <w:color w:val="auto"/>
                      <w:szCs w:val="21"/>
                      <w:lang w:val="en-US" w:eastAsia="zh-CN"/>
                    </w:rPr>
                    <w:t>2023.6.9-6.10</w:t>
                  </w:r>
                </w:p>
              </w:tc>
              <w:tc>
                <w:tcPr>
                  <w:tcW w:w="496" w:type="pct"/>
                  <w:vMerge w:val="continue"/>
                  <w:noWrap w:val="0"/>
                  <w:vAlign w:val="center"/>
                </w:tcPr>
                <w:p w14:paraId="5FD0B3FF">
                  <w:pPr>
                    <w:widowControl/>
                    <w:jc w:val="center"/>
                    <w:textAlignment w:val="center"/>
                    <w:rPr>
                      <w:color w:val="auto"/>
                      <w:szCs w:val="21"/>
                    </w:rPr>
                  </w:pPr>
                </w:p>
              </w:tc>
              <w:tc>
                <w:tcPr>
                  <w:tcW w:w="597" w:type="pct"/>
                  <w:noWrap w:val="0"/>
                  <w:vAlign w:val="center"/>
                </w:tcPr>
                <w:p w14:paraId="5FD88ACA">
                  <w:pPr>
                    <w:pStyle w:val="44"/>
                    <w:keepNext w:val="0"/>
                    <w:keepLines w:val="0"/>
                    <w:pageBreakBefore w:val="0"/>
                    <w:widowControl w:val="0"/>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1.25</w:t>
                  </w:r>
                </w:p>
              </w:tc>
              <w:tc>
                <w:tcPr>
                  <w:tcW w:w="620" w:type="pct"/>
                  <w:noWrap w:val="0"/>
                  <w:vAlign w:val="center"/>
                </w:tcPr>
                <w:p w14:paraId="18EDABEE">
                  <w:pPr>
                    <w:pStyle w:val="44"/>
                    <w:keepNext w:val="0"/>
                    <w:keepLines w:val="0"/>
                    <w:pageBreakBefore w:val="0"/>
                    <w:widowControl w:val="0"/>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1.35</w:t>
                  </w:r>
                </w:p>
              </w:tc>
              <w:tc>
                <w:tcPr>
                  <w:tcW w:w="597" w:type="pct"/>
                  <w:noWrap w:val="0"/>
                  <w:vAlign w:val="center"/>
                </w:tcPr>
                <w:p w14:paraId="51BB6E2E">
                  <w:pPr>
                    <w:pStyle w:val="44"/>
                    <w:keepNext w:val="0"/>
                    <w:keepLines w:val="0"/>
                    <w:pageBreakBefore w:val="0"/>
                    <w:widowControl w:val="0"/>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1.21</w:t>
                  </w:r>
                </w:p>
              </w:tc>
              <w:tc>
                <w:tcPr>
                  <w:tcW w:w="612" w:type="pct"/>
                  <w:noWrap w:val="0"/>
                  <w:vAlign w:val="center"/>
                </w:tcPr>
                <w:p w14:paraId="44881289">
                  <w:pPr>
                    <w:pStyle w:val="44"/>
                    <w:keepNext w:val="0"/>
                    <w:keepLines w:val="0"/>
                    <w:pageBreakBefore w:val="0"/>
                    <w:widowControl w:val="0"/>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1.13</w:t>
                  </w:r>
                </w:p>
              </w:tc>
              <w:tc>
                <w:tcPr>
                  <w:tcW w:w="411" w:type="pct"/>
                  <w:vMerge w:val="continue"/>
                  <w:noWrap w:val="0"/>
                  <w:vAlign w:val="center"/>
                </w:tcPr>
                <w:p w14:paraId="59271E63">
                  <w:pPr>
                    <w:widowControl/>
                    <w:jc w:val="center"/>
                    <w:rPr>
                      <w:color w:val="auto"/>
                      <w:szCs w:val="21"/>
                    </w:rPr>
                  </w:pPr>
                </w:p>
              </w:tc>
              <w:tc>
                <w:tcPr>
                  <w:tcW w:w="400" w:type="pct"/>
                  <w:vMerge w:val="continue"/>
                  <w:noWrap w:val="0"/>
                  <w:vAlign w:val="center"/>
                </w:tcPr>
                <w:p w14:paraId="15FBCE91">
                  <w:pPr>
                    <w:widowControl/>
                    <w:jc w:val="center"/>
                    <w:rPr>
                      <w:color w:val="auto"/>
                      <w:szCs w:val="21"/>
                    </w:rPr>
                  </w:pPr>
                </w:p>
              </w:tc>
            </w:tr>
            <w:tr w14:paraId="70F5455E">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PrEx>
              <w:trPr>
                <w:trHeight w:val="454" w:hRule="atLeast"/>
                <w:jc w:val="center"/>
              </w:trPr>
              <w:tc>
                <w:tcPr>
                  <w:tcW w:w="571" w:type="pct"/>
                  <w:gridSpan w:val="2"/>
                  <w:vMerge w:val="continue"/>
                  <w:noWrap w:val="0"/>
                  <w:vAlign w:val="center"/>
                </w:tcPr>
                <w:p w14:paraId="59C33BCD">
                  <w:pPr>
                    <w:widowControl/>
                    <w:jc w:val="center"/>
                    <w:rPr>
                      <w:color w:val="auto"/>
                      <w:szCs w:val="21"/>
                    </w:rPr>
                  </w:pPr>
                </w:p>
              </w:tc>
              <w:tc>
                <w:tcPr>
                  <w:tcW w:w="690" w:type="pct"/>
                  <w:noWrap w:val="0"/>
                  <w:vAlign w:val="center"/>
                </w:tcPr>
                <w:p w14:paraId="15041F89">
                  <w:pPr>
                    <w:widowControl/>
                    <w:jc w:val="center"/>
                    <w:textAlignment w:val="center"/>
                    <w:rPr>
                      <w:rFonts w:hint="default"/>
                      <w:color w:val="auto"/>
                      <w:kern w:val="2"/>
                      <w:sz w:val="21"/>
                      <w:szCs w:val="21"/>
                      <w:lang w:val="en-US" w:eastAsia="zh-CN" w:bidi="ar-SA"/>
                    </w:rPr>
                  </w:pPr>
                  <w:r>
                    <w:rPr>
                      <w:rFonts w:hint="eastAsia"/>
                      <w:color w:val="auto"/>
                      <w:szCs w:val="21"/>
                      <w:lang w:val="en-US" w:eastAsia="zh-CN"/>
                    </w:rPr>
                    <w:t>2023.6.10-6.11</w:t>
                  </w:r>
                </w:p>
              </w:tc>
              <w:tc>
                <w:tcPr>
                  <w:tcW w:w="496" w:type="pct"/>
                  <w:vMerge w:val="continue"/>
                  <w:noWrap w:val="0"/>
                  <w:vAlign w:val="center"/>
                </w:tcPr>
                <w:p w14:paraId="565226A5">
                  <w:pPr>
                    <w:widowControl/>
                    <w:jc w:val="center"/>
                    <w:textAlignment w:val="center"/>
                    <w:rPr>
                      <w:color w:val="auto"/>
                      <w:szCs w:val="21"/>
                    </w:rPr>
                  </w:pPr>
                </w:p>
              </w:tc>
              <w:tc>
                <w:tcPr>
                  <w:tcW w:w="597" w:type="pct"/>
                  <w:noWrap w:val="0"/>
                  <w:vAlign w:val="center"/>
                </w:tcPr>
                <w:p w14:paraId="780F76B2">
                  <w:pPr>
                    <w:pStyle w:val="44"/>
                    <w:keepNext w:val="0"/>
                    <w:keepLines w:val="0"/>
                    <w:pageBreakBefore w:val="0"/>
                    <w:widowControl w:val="0"/>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1.19</w:t>
                  </w:r>
                </w:p>
              </w:tc>
              <w:tc>
                <w:tcPr>
                  <w:tcW w:w="620" w:type="pct"/>
                  <w:noWrap w:val="0"/>
                  <w:vAlign w:val="center"/>
                </w:tcPr>
                <w:p w14:paraId="1057342F">
                  <w:pPr>
                    <w:pStyle w:val="44"/>
                    <w:keepNext w:val="0"/>
                    <w:keepLines w:val="0"/>
                    <w:pageBreakBefore w:val="0"/>
                    <w:widowControl w:val="0"/>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1.30</w:t>
                  </w:r>
                </w:p>
              </w:tc>
              <w:tc>
                <w:tcPr>
                  <w:tcW w:w="597" w:type="pct"/>
                  <w:noWrap w:val="0"/>
                  <w:vAlign w:val="center"/>
                </w:tcPr>
                <w:p w14:paraId="31E1E894">
                  <w:pPr>
                    <w:pStyle w:val="44"/>
                    <w:keepNext w:val="0"/>
                    <w:keepLines w:val="0"/>
                    <w:pageBreakBefore w:val="0"/>
                    <w:widowControl w:val="0"/>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1.34</w:t>
                  </w:r>
                </w:p>
              </w:tc>
              <w:tc>
                <w:tcPr>
                  <w:tcW w:w="612" w:type="pct"/>
                  <w:noWrap w:val="0"/>
                  <w:vAlign w:val="center"/>
                </w:tcPr>
                <w:p w14:paraId="4C26D4EF">
                  <w:pPr>
                    <w:pStyle w:val="44"/>
                    <w:keepNext w:val="0"/>
                    <w:keepLines w:val="0"/>
                    <w:pageBreakBefore w:val="0"/>
                    <w:widowControl w:val="0"/>
                    <w:kinsoku/>
                    <w:wordWrap/>
                    <w:overflowPunct/>
                    <w:topLinePunct w:val="0"/>
                    <w:autoSpaceDE w:val="0"/>
                    <w:autoSpaceDN w:val="0"/>
                    <w:bidi w:val="0"/>
                    <w:adjustRightInd/>
                    <w:snapToGrid/>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1.19</w:t>
                  </w:r>
                </w:p>
              </w:tc>
              <w:tc>
                <w:tcPr>
                  <w:tcW w:w="411" w:type="pct"/>
                  <w:vMerge w:val="continue"/>
                  <w:noWrap w:val="0"/>
                  <w:vAlign w:val="center"/>
                </w:tcPr>
                <w:p w14:paraId="42741000">
                  <w:pPr>
                    <w:widowControl/>
                    <w:jc w:val="center"/>
                    <w:rPr>
                      <w:color w:val="auto"/>
                      <w:szCs w:val="21"/>
                    </w:rPr>
                  </w:pPr>
                </w:p>
              </w:tc>
              <w:tc>
                <w:tcPr>
                  <w:tcW w:w="400" w:type="pct"/>
                  <w:vMerge w:val="continue"/>
                  <w:noWrap w:val="0"/>
                  <w:vAlign w:val="center"/>
                </w:tcPr>
                <w:p w14:paraId="7B9C7FDF">
                  <w:pPr>
                    <w:widowControl/>
                    <w:jc w:val="center"/>
                    <w:rPr>
                      <w:color w:val="auto"/>
                      <w:szCs w:val="21"/>
                    </w:rPr>
                  </w:pPr>
                </w:p>
              </w:tc>
            </w:tr>
            <w:tr w14:paraId="0BA6273E">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567" w:hRule="atLeast"/>
                <w:jc w:val="center"/>
              </w:trPr>
              <w:tc>
                <w:tcPr>
                  <w:tcW w:w="571" w:type="pct"/>
                  <w:gridSpan w:val="2"/>
                  <w:vMerge w:val="restart"/>
                  <w:noWrap w:val="0"/>
                  <w:vAlign w:val="center"/>
                </w:tcPr>
                <w:p w14:paraId="55DD30D7">
                  <w:pPr>
                    <w:widowControl/>
                    <w:jc w:val="center"/>
                    <w:rPr>
                      <w:rFonts w:hint="eastAsia" w:eastAsia="宋体"/>
                      <w:color w:val="auto"/>
                      <w:szCs w:val="21"/>
                      <w:lang w:val="en-US" w:eastAsia="zh-CN"/>
                    </w:rPr>
                  </w:pPr>
                  <w:r>
                    <w:rPr>
                      <w:rFonts w:hint="eastAsia"/>
                      <w:color w:val="auto"/>
                      <w:szCs w:val="21"/>
                      <w:lang w:val="en-US" w:eastAsia="zh-CN"/>
                    </w:rPr>
                    <w:t>甲苯</w:t>
                  </w:r>
                </w:p>
              </w:tc>
              <w:tc>
                <w:tcPr>
                  <w:tcW w:w="690" w:type="pct"/>
                  <w:noWrap w:val="0"/>
                  <w:vAlign w:val="center"/>
                </w:tcPr>
                <w:p w14:paraId="1D276AE9">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color w:val="auto"/>
                      <w:szCs w:val="21"/>
                      <w:lang w:val="en-US" w:eastAsia="zh-CN"/>
                    </w:rPr>
                    <w:t>2025.</w:t>
                  </w:r>
                  <w:r>
                    <w:rPr>
                      <w:rFonts w:hint="eastAsia" w:ascii="Times New Roman" w:hAnsi="Times New Roman" w:eastAsia="宋体" w:cs="Times New Roman"/>
                      <w:color w:val="auto"/>
                      <w:kern w:val="2"/>
                      <w:sz w:val="21"/>
                      <w:szCs w:val="21"/>
                      <w:highlight w:val="none"/>
                      <w:vertAlign w:val="baseline"/>
                      <w:lang w:val="en-US" w:eastAsia="zh-CN" w:bidi="ar-SA"/>
                    </w:rPr>
                    <w:t>4.1</w:t>
                  </w:r>
                </w:p>
              </w:tc>
              <w:tc>
                <w:tcPr>
                  <w:tcW w:w="496" w:type="pct"/>
                  <w:vMerge w:val="restart"/>
                  <w:noWrap w:val="0"/>
                  <w:vAlign w:val="center"/>
                </w:tcPr>
                <w:p w14:paraId="1FDC419F">
                  <w:pPr>
                    <w:widowControl/>
                    <w:jc w:val="center"/>
                    <w:textAlignment w:val="center"/>
                    <w:rPr>
                      <w:color w:val="auto"/>
                      <w:szCs w:val="21"/>
                    </w:rPr>
                  </w:pPr>
                  <w:r>
                    <w:rPr>
                      <w:color w:val="auto"/>
                      <w:szCs w:val="21"/>
                    </w:rPr>
                    <w:t>mg/m³</w:t>
                  </w:r>
                </w:p>
              </w:tc>
              <w:tc>
                <w:tcPr>
                  <w:tcW w:w="597" w:type="pct"/>
                  <w:noWrap w:val="0"/>
                  <w:vAlign w:val="center"/>
                </w:tcPr>
                <w:p w14:paraId="5917BAD0">
                  <w:pPr>
                    <w:widowControl/>
                    <w:jc w:val="center"/>
                    <w:rPr>
                      <w:rFonts w:hint="eastAsia"/>
                      <w:color w:val="auto"/>
                      <w:szCs w:val="21"/>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620" w:type="pct"/>
                  <w:noWrap w:val="0"/>
                  <w:vAlign w:val="center"/>
                </w:tcPr>
                <w:p w14:paraId="17D8A301">
                  <w:pPr>
                    <w:widowControl/>
                    <w:jc w:val="center"/>
                    <w:rPr>
                      <w:rFonts w:hint="eastAsia"/>
                      <w:color w:val="auto"/>
                      <w:szCs w:val="21"/>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597" w:type="pct"/>
                  <w:noWrap w:val="0"/>
                  <w:vAlign w:val="center"/>
                </w:tcPr>
                <w:p w14:paraId="32D47088">
                  <w:pPr>
                    <w:widowControl/>
                    <w:jc w:val="center"/>
                    <w:rPr>
                      <w:rFonts w:hint="eastAsia"/>
                      <w:color w:val="auto"/>
                      <w:szCs w:val="21"/>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612" w:type="pct"/>
                  <w:noWrap w:val="0"/>
                  <w:vAlign w:val="center"/>
                </w:tcPr>
                <w:p w14:paraId="729F0CA5">
                  <w:pPr>
                    <w:widowControl/>
                    <w:jc w:val="center"/>
                    <w:rPr>
                      <w:rFonts w:hint="eastAsia"/>
                      <w:color w:val="auto"/>
                      <w:szCs w:val="21"/>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411" w:type="pct"/>
                  <w:vMerge w:val="restart"/>
                  <w:noWrap w:val="0"/>
                  <w:vAlign w:val="center"/>
                </w:tcPr>
                <w:p w14:paraId="61667B14">
                  <w:pPr>
                    <w:widowControl/>
                    <w:jc w:val="center"/>
                    <w:rPr>
                      <w:rFonts w:hint="default" w:eastAsia="宋体"/>
                      <w:color w:val="auto"/>
                      <w:szCs w:val="21"/>
                      <w:lang w:val="en-US" w:eastAsia="zh-CN"/>
                    </w:rPr>
                  </w:pPr>
                  <w:r>
                    <w:rPr>
                      <w:rFonts w:hint="eastAsia"/>
                      <w:color w:val="auto"/>
                      <w:szCs w:val="21"/>
                      <w:lang w:val="en-US" w:eastAsia="zh-CN"/>
                    </w:rPr>
                    <w:t>0.2</w:t>
                  </w:r>
                </w:p>
              </w:tc>
              <w:tc>
                <w:tcPr>
                  <w:tcW w:w="400" w:type="pct"/>
                  <w:vMerge w:val="restart"/>
                  <w:noWrap w:val="0"/>
                  <w:vAlign w:val="center"/>
                </w:tcPr>
                <w:p w14:paraId="1AB2F0D8">
                  <w:pPr>
                    <w:widowControl/>
                    <w:jc w:val="center"/>
                    <w:rPr>
                      <w:color w:val="auto"/>
                      <w:szCs w:val="21"/>
                    </w:rPr>
                  </w:pPr>
                  <w:r>
                    <w:rPr>
                      <w:rFonts w:hint="eastAsia"/>
                      <w:color w:val="auto"/>
                      <w:szCs w:val="21"/>
                    </w:rPr>
                    <w:t>达标</w:t>
                  </w:r>
                </w:p>
              </w:tc>
            </w:tr>
            <w:tr w14:paraId="3627B7FD">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567" w:hRule="atLeast"/>
                <w:jc w:val="center"/>
              </w:trPr>
              <w:tc>
                <w:tcPr>
                  <w:tcW w:w="571" w:type="pct"/>
                  <w:gridSpan w:val="2"/>
                  <w:vMerge w:val="continue"/>
                  <w:noWrap w:val="0"/>
                  <w:vAlign w:val="center"/>
                </w:tcPr>
                <w:p w14:paraId="64755DA0">
                  <w:pPr>
                    <w:widowControl/>
                    <w:jc w:val="center"/>
                    <w:rPr>
                      <w:color w:val="auto"/>
                      <w:szCs w:val="21"/>
                    </w:rPr>
                  </w:pPr>
                </w:p>
              </w:tc>
              <w:tc>
                <w:tcPr>
                  <w:tcW w:w="690" w:type="pct"/>
                  <w:noWrap w:val="0"/>
                  <w:vAlign w:val="center"/>
                </w:tcPr>
                <w:p w14:paraId="66B64EA3">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color w:val="auto"/>
                      <w:szCs w:val="21"/>
                      <w:lang w:val="en-US" w:eastAsia="zh-CN"/>
                    </w:rPr>
                    <w:t>2025.</w:t>
                  </w:r>
                  <w:r>
                    <w:rPr>
                      <w:rFonts w:hint="eastAsia" w:ascii="Times New Roman" w:hAnsi="Times New Roman" w:eastAsia="宋体" w:cs="Times New Roman"/>
                      <w:color w:val="auto"/>
                      <w:kern w:val="2"/>
                      <w:sz w:val="21"/>
                      <w:szCs w:val="21"/>
                      <w:highlight w:val="none"/>
                      <w:vertAlign w:val="baseline"/>
                      <w:lang w:val="en-US" w:eastAsia="zh-CN" w:bidi="ar-SA"/>
                    </w:rPr>
                    <w:t>4.2</w:t>
                  </w:r>
                </w:p>
              </w:tc>
              <w:tc>
                <w:tcPr>
                  <w:tcW w:w="496" w:type="pct"/>
                  <w:vMerge w:val="continue"/>
                  <w:noWrap w:val="0"/>
                  <w:vAlign w:val="center"/>
                </w:tcPr>
                <w:p w14:paraId="5D5A307F">
                  <w:pPr>
                    <w:widowControl/>
                    <w:jc w:val="center"/>
                    <w:textAlignment w:val="center"/>
                    <w:rPr>
                      <w:color w:val="auto"/>
                      <w:szCs w:val="21"/>
                    </w:rPr>
                  </w:pPr>
                </w:p>
              </w:tc>
              <w:tc>
                <w:tcPr>
                  <w:tcW w:w="597" w:type="pct"/>
                  <w:noWrap w:val="0"/>
                  <w:vAlign w:val="center"/>
                </w:tcPr>
                <w:p w14:paraId="53C4D00D">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620" w:type="pct"/>
                  <w:noWrap w:val="0"/>
                  <w:vAlign w:val="center"/>
                </w:tcPr>
                <w:p w14:paraId="339818B9">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597" w:type="pct"/>
                  <w:noWrap w:val="0"/>
                  <w:vAlign w:val="center"/>
                </w:tcPr>
                <w:p w14:paraId="3FD75BEC">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612" w:type="pct"/>
                  <w:noWrap w:val="0"/>
                  <w:vAlign w:val="center"/>
                </w:tcPr>
                <w:p w14:paraId="3E85FCFB">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411" w:type="pct"/>
                  <w:vMerge w:val="continue"/>
                  <w:noWrap w:val="0"/>
                  <w:vAlign w:val="center"/>
                </w:tcPr>
                <w:p w14:paraId="20EDC7C3">
                  <w:pPr>
                    <w:widowControl/>
                    <w:jc w:val="center"/>
                    <w:rPr>
                      <w:color w:val="auto"/>
                      <w:szCs w:val="21"/>
                    </w:rPr>
                  </w:pPr>
                </w:p>
              </w:tc>
              <w:tc>
                <w:tcPr>
                  <w:tcW w:w="400" w:type="pct"/>
                  <w:vMerge w:val="continue"/>
                  <w:noWrap w:val="0"/>
                  <w:vAlign w:val="center"/>
                </w:tcPr>
                <w:p w14:paraId="746489E5">
                  <w:pPr>
                    <w:widowControl/>
                    <w:jc w:val="center"/>
                    <w:rPr>
                      <w:color w:val="auto"/>
                      <w:szCs w:val="21"/>
                    </w:rPr>
                  </w:pPr>
                </w:p>
              </w:tc>
            </w:tr>
            <w:tr w14:paraId="40CA03B7">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567" w:hRule="atLeast"/>
                <w:jc w:val="center"/>
              </w:trPr>
              <w:tc>
                <w:tcPr>
                  <w:tcW w:w="571" w:type="pct"/>
                  <w:gridSpan w:val="2"/>
                  <w:vMerge w:val="continue"/>
                  <w:noWrap w:val="0"/>
                  <w:vAlign w:val="center"/>
                </w:tcPr>
                <w:p w14:paraId="521516F3">
                  <w:pPr>
                    <w:widowControl/>
                    <w:jc w:val="center"/>
                    <w:rPr>
                      <w:color w:val="auto"/>
                      <w:szCs w:val="21"/>
                    </w:rPr>
                  </w:pPr>
                </w:p>
              </w:tc>
              <w:tc>
                <w:tcPr>
                  <w:tcW w:w="690" w:type="pct"/>
                  <w:noWrap w:val="0"/>
                  <w:vAlign w:val="center"/>
                </w:tcPr>
                <w:p w14:paraId="48026D83">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color w:val="auto"/>
                      <w:szCs w:val="21"/>
                      <w:lang w:val="en-US" w:eastAsia="zh-CN"/>
                    </w:rPr>
                    <w:t>2025.</w:t>
                  </w:r>
                  <w:r>
                    <w:rPr>
                      <w:rFonts w:hint="eastAsia" w:ascii="Times New Roman" w:hAnsi="Times New Roman" w:eastAsia="宋体" w:cs="Times New Roman"/>
                      <w:color w:val="auto"/>
                      <w:kern w:val="2"/>
                      <w:sz w:val="21"/>
                      <w:szCs w:val="21"/>
                      <w:highlight w:val="none"/>
                      <w:vertAlign w:val="baseline"/>
                      <w:lang w:val="en-US" w:eastAsia="zh-CN" w:bidi="ar-SA"/>
                    </w:rPr>
                    <w:t>4.3</w:t>
                  </w:r>
                </w:p>
              </w:tc>
              <w:tc>
                <w:tcPr>
                  <w:tcW w:w="496" w:type="pct"/>
                  <w:vMerge w:val="continue"/>
                  <w:noWrap w:val="0"/>
                  <w:vAlign w:val="center"/>
                </w:tcPr>
                <w:p w14:paraId="137E4BF8">
                  <w:pPr>
                    <w:widowControl/>
                    <w:jc w:val="center"/>
                    <w:textAlignment w:val="center"/>
                    <w:rPr>
                      <w:color w:val="auto"/>
                      <w:szCs w:val="21"/>
                    </w:rPr>
                  </w:pPr>
                </w:p>
              </w:tc>
              <w:tc>
                <w:tcPr>
                  <w:tcW w:w="597" w:type="pct"/>
                  <w:noWrap w:val="0"/>
                  <w:vAlign w:val="center"/>
                </w:tcPr>
                <w:p w14:paraId="6A5B174A">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620" w:type="pct"/>
                  <w:noWrap w:val="0"/>
                  <w:vAlign w:val="center"/>
                </w:tcPr>
                <w:p w14:paraId="3F32106C">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597" w:type="pct"/>
                  <w:noWrap w:val="0"/>
                  <w:vAlign w:val="center"/>
                </w:tcPr>
                <w:p w14:paraId="43E2B9D5">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612" w:type="pct"/>
                  <w:noWrap w:val="0"/>
                  <w:vAlign w:val="center"/>
                </w:tcPr>
                <w:p w14:paraId="5316F9FD">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411" w:type="pct"/>
                  <w:vMerge w:val="continue"/>
                  <w:noWrap w:val="0"/>
                  <w:vAlign w:val="center"/>
                </w:tcPr>
                <w:p w14:paraId="43FD97CB">
                  <w:pPr>
                    <w:widowControl/>
                    <w:jc w:val="center"/>
                    <w:rPr>
                      <w:color w:val="auto"/>
                      <w:szCs w:val="21"/>
                    </w:rPr>
                  </w:pPr>
                </w:p>
              </w:tc>
              <w:tc>
                <w:tcPr>
                  <w:tcW w:w="400" w:type="pct"/>
                  <w:vMerge w:val="continue"/>
                  <w:noWrap w:val="0"/>
                  <w:vAlign w:val="center"/>
                </w:tcPr>
                <w:p w14:paraId="25603DF0">
                  <w:pPr>
                    <w:widowControl/>
                    <w:jc w:val="center"/>
                    <w:rPr>
                      <w:color w:val="auto"/>
                      <w:szCs w:val="21"/>
                    </w:rPr>
                  </w:pPr>
                </w:p>
              </w:tc>
            </w:tr>
            <w:tr w14:paraId="282783B9">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567" w:hRule="atLeast"/>
                <w:jc w:val="center"/>
              </w:trPr>
              <w:tc>
                <w:tcPr>
                  <w:tcW w:w="285" w:type="pct"/>
                  <w:vMerge w:val="restart"/>
                  <w:noWrap w:val="0"/>
                  <w:vAlign w:val="center"/>
                </w:tcPr>
                <w:p w14:paraId="6D1DC8C6">
                  <w:pPr>
                    <w:widowControl/>
                    <w:jc w:val="center"/>
                    <w:rPr>
                      <w:rFonts w:hint="eastAsia" w:eastAsia="宋体"/>
                      <w:color w:val="auto"/>
                      <w:szCs w:val="21"/>
                      <w:lang w:val="en-US" w:eastAsia="zh-CN"/>
                    </w:rPr>
                  </w:pPr>
                  <w:r>
                    <w:rPr>
                      <w:rFonts w:hint="eastAsia"/>
                      <w:color w:val="auto"/>
                      <w:szCs w:val="21"/>
                      <w:lang w:val="en-US" w:eastAsia="zh-CN"/>
                    </w:rPr>
                    <w:t>二甲苯</w:t>
                  </w:r>
                </w:p>
              </w:tc>
              <w:tc>
                <w:tcPr>
                  <w:tcW w:w="286" w:type="pct"/>
                  <w:vMerge w:val="restart"/>
                  <w:noWrap w:val="0"/>
                  <w:vAlign w:val="center"/>
                </w:tcPr>
                <w:p w14:paraId="5DE3E141">
                  <w:pPr>
                    <w:widowControl/>
                    <w:jc w:val="center"/>
                    <w:rPr>
                      <w:rFonts w:hint="eastAsia"/>
                      <w:color w:val="auto"/>
                      <w:szCs w:val="21"/>
                      <w:lang w:val="en-US" w:eastAsia="zh-CN"/>
                    </w:rPr>
                  </w:pPr>
                  <w:r>
                    <w:rPr>
                      <w:rFonts w:hint="eastAsia"/>
                      <w:color w:val="auto"/>
                      <w:szCs w:val="21"/>
                      <w:lang w:val="en-US" w:eastAsia="zh-CN"/>
                    </w:rPr>
                    <w:t>对二甲苯</w:t>
                  </w:r>
                </w:p>
              </w:tc>
              <w:tc>
                <w:tcPr>
                  <w:tcW w:w="690" w:type="pct"/>
                  <w:noWrap w:val="0"/>
                  <w:vAlign w:val="center"/>
                </w:tcPr>
                <w:p w14:paraId="608AD26C">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color w:val="auto"/>
                      <w:szCs w:val="21"/>
                      <w:lang w:val="en-US" w:eastAsia="zh-CN"/>
                    </w:rPr>
                    <w:t>2025.</w:t>
                  </w:r>
                  <w:r>
                    <w:rPr>
                      <w:rFonts w:hint="eastAsia" w:ascii="Times New Roman" w:hAnsi="Times New Roman" w:eastAsia="宋体" w:cs="Times New Roman"/>
                      <w:color w:val="auto"/>
                      <w:kern w:val="2"/>
                      <w:sz w:val="21"/>
                      <w:szCs w:val="21"/>
                      <w:highlight w:val="none"/>
                      <w:vertAlign w:val="baseline"/>
                      <w:lang w:val="en-US" w:eastAsia="zh-CN" w:bidi="ar-SA"/>
                    </w:rPr>
                    <w:t>4.1</w:t>
                  </w:r>
                </w:p>
              </w:tc>
              <w:tc>
                <w:tcPr>
                  <w:tcW w:w="496" w:type="pct"/>
                  <w:vMerge w:val="restart"/>
                  <w:noWrap w:val="0"/>
                  <w:vAlign w:val="center"/>
                </w:tcPr>
                <w:p w14:paraId="7A5E7DDD">
                  <w:pPr>
                    <w:widowControl/>
                    <w:jc w:val="center"/>
                    <w:textAlignment w:val="center"/>
                    <w:rPr>
                      <w:color w:val="auto"/>
                      <w:szCs w:val="21"/>
                    </w:rPr>
                  </w:pPr>
                  <w:r>
                    <w:rPr>
                      <w:color w:val="auto"/>
                      <w:szCs w:val="21"/>
                    </w:rPr>
                    <w:t>mg/m³</w:t>
                  </w:r>
                </w:p>
              </w:tc>
              <w:tc>
                <w:tcPr>
                  <w:tcW w:w="597" w:type="pct"/>
                  <w:noWrap w:val="0"/>
                  <w:vAlign w:val="center"/>
                </w:tcPr>
                <w:p w14:paraId="7B316594">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620" w:type="pct"/>
                  <w:noWrap w:val="0"/>
                  <w:vAlign w:val="center"/>
                </w:tcPr>
                <w:p w14:paraId="5B5D0E0A">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597" w:type="pct"/>
                  <w:noWrap w:val="0"/>
                  <w:vAlign w:val="center"/>
                </w:tcPr>
                <w:p w14:paraId="69667C95">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612" w:type="pct"/>
                  <w:noWrap w:val="0"/>
                  <w:vAlign w:val="center"/>
                </w:tcPr>
                <w:p w14:paraId="14C1BAF1">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411" w:type="pct"/>
                  <w:vMerge w:val="restart"/>
                  <w:noWrap w:val="0"/>
                  <w:vAlign w:val="center"/>
                </w:tcPr>
                <w:p w14:paraId="2FB6D0C2">
                  <w:pPr>
                    <w:widowControl/>
                    <w:jc w:val="center"/>
                    <w:rPr>
                      <w:rFonts w:hint="default" w:eastAsia="宋体"/>
                      <w:color w:val="auto"/>
                      <w:szCs w:val="21"/>
                      <w:lang w:val="en-US" w:eastAsia="zh-CN"/>
                    </w:rPr>
                  </w:pPr>
                  <w:r>
                    <w:rPr>
                      <w:rFonts w:hint="eastAsia"/>
                      <w:color w:val="auto"/>
                      <w:szCs w:val="21"/>
                      <w:lang w:val="en-US" w:eastAsia="zh-CN"/>
                    </w:rPr>
                    <w:t>0.2</w:t>
                  </w:r>
                </w:p>
              </w:tc>
              <w:tc>
                <w:tcPr>
                  <w:tcW w:w="400" w:type="pct"/>
                  <w:vMerge w:val="restart"/>
                  <w:noWrap w:val="0"/>
                  <w:vAlign w:val="center"/>
                </w:tcPr>
                <w:p w14:paraId="5031C24B">
                  <w:pPr>
                    <w:widowControl/>
                    <w:jc w:val="center"/>
                    <w:rPr>
                      <w:color w:val="auto"/>
                      <w:szCs w:val="21"/>
                    </w:rPr>
                  </w:pPr>
                  <w:r>
                    <w:rPr>
                      <w:rFonts w:hint="eastAsia"/>
                      <w:color w:val="auto"/>
                      <w:szCs w:val="21"/>
                    </w:rPr>
                    <w:t>达标</w:t>
                  </w:r>
                </w:p>
              </w:tc>
            </w:tr>
            <w:tr w14:paraId="506BA78F">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567" w:hRule="atLeast"/>
                <w:jc w:val="center"/>
              </w:trPr>
              <w:tc>
                <w:tcPr>
                  <w:tcW w:w="285" w:type="pct"/>
                  <w:vMerge w:val="continue"/>
                  <w:noWrap w:val="0"/>
                  <w:vAlign w:val="center"/>
                </w:tcPr>
                <w:p w14:paraId="5D1210CC">
                  <w:pPr>
                    <w:widowControl/>
                    <w:jc w:val="center"/>
                    <w:rPr>
                      <w:color w:val="auto"/>
                      <w:szCs w:val="21"/>
                    </w:rPr>
                  </w:pPr>
                </w:p>
              </w:tc>
              <w:tc>
                <w:tcPr>
                  <w:tcW w:w="286" w:type="pct"/>
                  <w:vMerge w:val="continue"/>
                  <w:noWrap w:val="0"/>
                  <w:vAlign w:val="center"/>
                </w:tcPr>
                <w:p w14:paraId="49010E1A">
                  <w:pPr>
                    <w:widowControl/>
                    <w:jc w:val="center"/>
                    <w:rPr>
                      <w:color w:val="auto"/>
                      <w:szCs w:val="21"/>
                    </w:rPr>
                  </w:pPr>
                </w:p>
              </w:tc>
              <w:tc>
                <w:tcPr>
                  <w:tcW w:w="690" w:type="pct"/>
                  <w:noWrap w:val="0"/>
                  <w:vAlign w:val="center"/>
                </w:tcPr>
                <w:p w14:paraId="1FFB666C">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color w:val="auto"/>
                      <w:szCs w:val="21"/>
                      <w:lang w:val="en-US" w:eastAsia="zh-CN"/>
                    </w:rPr>
                    <w:t>2025.</w:t>
                  </w:r>
                  <w:r>
                    <w:rPr>
                      <w:rFonts w:hint="eastAsia" w:ascii="Times New Roman" w:hAnsi="Times New Roman" w:eastAsia="宋体" w:cs="Times New Roman"/>
                      <w:color w:val="auto"/>
                      <w:kern w:val="2"/>
                      <w:sz w:val="21"/>
                      <w:szCs w:val="21"/>
                      <w:highlight w:val="none"/>
                      <w:vertAlign w:val="baseline"/>
                      <w:lang w:val="en-US" w:eastAsia="zh-CN" w:bidi="ar-SA"/>
                    </w:rPr>
                    <w:t>4.2</w:t>
                  </w:r>
                </w:p>
              </w:tc>
              <w:tc>
                <w:tcPr>
                  <w:tcW w:w="496" w:type="pct"/>
                  <w:vMerge w:val="continue"/>
                  <w:noWrap w:val="0"/>
                  <w:vAlign w:val="center"/>
                </w:tcPr>
                <w:p w14:paraId="0181DBB1">
                  <w:pPr>
                    <w:widowControl/>
                    <w:jc w:val="center"/>
                    <w:textAlignment w:val="center"/>
                    <w:rPr>
                      <w:color w:val="auto"/>
                      <w:szCs w:val="21"/>
                    </w:rPr>
                  </w:pPr>
                </w:p>
              </w:tc>
              <w:tc>
                <w:tcPr>
                  <w:tcW w:w="597" w:type="pct"/>
                  <w:noWrap w:val="0"/>
                  <w:vAlign w:val="center"/>
                </w:tcPr>
                <w:p w14:paraId="0979EA8F">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620" w:type="pct"/>
                  <w:noWrap w:val="0"/>
                  <w:vAlign w:val="center"/>
                </w:tcPr>
                <w:p w14:paraId="7EA70CBE">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597" w:type="pct"/>
                  <w:noWrap w:val="0"/>
                  <w:vAlign w:val="center"/>
                </w:tcPr>
                <w:p w14:paraId="7579CF77">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612" w:type="pct"/>
                  <w:noWrap w:val="0"/>
                  <w:vAlign w:val="center"/>
                </w:tcPr>
                <w:p w14:paraId="248EECE0">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411" w:type="pct"/>
                  <w:vMerge w:val="continue"/>
                  <w:noWrap w:val="0"/>
                  <w:vAlign w:val="center"/>
                </w:tcPr>
                <w:p w14:paraId="1EFC9759">
                  <w:pPr>
                    <w:widowControl/>
                    <w:jc w:val="center"/>
                    <w:rPr>
                      <w:color w:val="auto"/>
                      <w:szCs w:val="21"/>
                    </w:rPr>
                  </w:pPr>
                </w:p>
              </w:tc>
              <w:tc>
                <w:tcPr>
                  <w:tcW w:w="400" w:type="pct"/>
                  <w:vMerge w:val="continue"/>
                  <w:noWrap w:val="0"/>
                  <w:vAlign w:val="center"/>
                </w:tcPr>
                <w:p w14:paraId="60CB7F9E">
                  <w:pPr>
                    <w:widowControl/>
                    <w:jc w:val="center"/>
                    <w:rPr>
                      <w:color w:val="auto"/>
                      <w:szCs w:val="21"/>
                    </w:rPr>
                  </w:pPr>
                </w:p>
              </w:tc>
            </w:tr>
            <w:tr w14:paraId="56006D3E">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567" w:hRule="atLeast"/>
                <w:jc w:val="center"/>
              </w:trPr>
              <w:tc>
                <w:tcPr>
                  <w:tcW w:w="285" w:type="pct"/>
                  <w:vMerge w:val="continue"/>
                  <w:noWrap w:val="0"/>
                  <w:vAlign w:val="center"/>
                </w:tcPr>
                <w:p w14:paraId="33895A53">
                  <w:pPr>
                    <w:widowControl/>
                    <w:jc w:val="center"/>
                    <w:rPr>
                      <w:color w:val="auto"/>
                      <w:szCs w:val="21"/>
                    </w:rPr>
                  </w:pPr>
                </w:p>
              </w:tc>
              <w:tc>
                <w:tcPr>
                  <w:tcW w:w="286" w:type="pct"/>
                  <w:vMerge w:val="continue"/>
                  <w:noWrap w:val="0"/>
                  <w:vAlign w:val="center"/>
                </w:tcPr>
                <w:p w14:paraId="5BD863A1">
                  <w:pPr>
                    <w:widowControl/>
                    <w:jc w:val="center"/>
                    <w:rPr>
                      <w:color w:val="auto"/>
                      <w:szCs w:val="21"/>
                    </w:rPr>
                  </w:pPr>
                </w:p>
              </w:tc>
              <w:tc>
                <w:tcPr>
                  <w:tcW w:w="690" w:type="pct"/>
                  <w:noWrap w:val="0"/>
                  <w:vAlign w:val="center"/>
                </w:tcPr>
                <w:p w14:paraId="32D5E497">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color w:val="auto"/>
                      <w:szCs w:val="21"/>
                      <w:lang w:val="en-US" w:eastAsia="zh-CN"/>
                    </w:rPr>
                    <w:t>2025.</w:t>
                  </w:r>
                  <w:r>
                    <w:rPr>
                      <w:rFonts w:hint="eastAsia" w:ascii="Times New Roman" w:hAnsi="Times New Roman" w:eastAsia="宋体" w:cs="Times New Roman"/>
                      <w:color w:val="auto"/>
                      <w:kern w:val="2"/>
                      <w:sz w:val="21"/>
                      <w:szCs w:val="21"/>
                      <w:highlight w:val="none"/>
                      <w:vertAlign w:val="baseline"/>
                      <w:lang w:val="en-US" w:eastAsia="zh-CN" w:bidi="ar-SA"/>
                    </w:rPr>
                    <w:t>4.3</w:t>
                  </w:r>
                </w:p>
              </w:tc>
              <w:tc>
                <w:tcPr>
                  <w:tcW w:w="496" w:type="pct"/>
                  <w:vMerge w:val="continue"/>
                  <w:noWrap w:val="0"/>
                  <w:vAlign w:val="center"/>
                </w:tcPr>
                <w:p w14:paraId="1F0C2690">
                  <w:pPr>
                    <w:widowControl/>
                    <w:jc w:val="center"/>
                    <w:textAlignment w:val="center"/>
                    <w:rPr>
                      <w:color w:val="auto"/>
                      <w:szCs w:val="21"/>
                    </w:rPr>
                  </w:pPr>
                </w:p>
              </w:tc>
              <w:tc>
                <w:tcPr>
                  <w:tcW w:w="597" w:type="pct"/>
                  <w:noWrap w:val="0"/>
                  <w:vAlign w:val="center"/>
                </w:tcPr>
                <w:p w14:paraId="61169515">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620" w:type="pct"/>
                  <w:noWrap w:val="0"/>
                  <w:vAlign w:val="center"/>
                </w:tcPr>
                <w:p w14:paraId="4BB292CD">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597" w:type="pct"/>
                  <w:noWrap w:val="0"/>
                  <w:vAlign w:val="center"/>
                </w:tcPr>
                <w:p w14:paraId="52E1E81E">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612" w:type="pct"/>
                  <w:noWrap w:val="0"/>
                  <w:vAlign w:val="center"/>
                </w:tcPr>
                <w:p w14:paraId="7EA5962E">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411" w:type="pct"/>
                  <w:vMerge w:val="continue"/>
                  <w:noWrap w:val="0"/>
                  <w:vAlign w:val="center"/>
                </w:tcPr>
                <w:p w14:paraId="46E08DA9">
                  <w:pPr>
                    <w:widowControl/>
                    <w:jc w:val="center"/>
                    <w:rPr>
                      <w:color w:val="auto"/>
                      <w:szCs w:val="21"/>
                    </w:rPr>
                  </w:pPr>
                </w:p>
              </w:tc>
              <w:tc>
                <w:tcPr>
                  <w:tcW w:w="400" w:type="pct"/>
                  <w:vMerge w:val="continue"/>
                  <w:noWrap w:val="0"/>
                  <w:vAlign w:val="center"/>
                </w:tcPr>
                <w:p w14:paraId="7CFE40EF">
                  <w:pPr>
                    <w:widowControl/>
                    <w:jc w:val="center"/>
                    <w:rPr>
                      <w:color w:val="auto"/>
                      <w:szCs w:val="21"/>
                    </w:rPr>
                  </w:pPr>
                </w:p>
              </w:tc>
            </w:tr>
            <w:tr w14:paraId="2CD6CCC4">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567" w:hRule="atLeast"/>
                <w:jc w:val="center"/>
              </w:trPr>
              <w:tc>
                <w:tcPr>
                  <w:tcW w:w="285" w:type="pct"/>
                  <w:vMerge w:val="continue"/>
                  <w:noWrap w:val="0"/>
                  <w:vAlign w:val="center"/>
                </w:tcPr>
                <w:p w14:paraId="08AFDB58">
                  <w:pPr>
                    <w:widowControl/>
                    <w:jc w:val="center"/>
                    <w:rPr>
                      <w:rFonts w:hint="eastAsia" w:eastAsia="宋体"/>
                      <w:color w:val="auto"/>
                      <w:szCs w:val="21"/>
                      <w:lang w:val="en-US" w:eastAsia="zh-CN"/>
                    </w:rPr>
                  </w:pPr>
                </w:p>
              </w:tc>
              <w:tc>
                <w:tcPr>
                  <w:tcW w:w="286" w:type="pct"/>
                  <w:vMerge w:val="restart"/>
                  <w:noWrap w:val="0"/>
                  <w:vAlign w:val="center"/>
                </w:tcPr>
                <w:p w14:paraId="102B5622">
                  <w:pPr>
                    <w:widowControl/>
                    <w:jc w:val="center"/>
                    <w:rPr>
                      <w:rFonts w:hint="eastAsia"/>
                      <w:color w:val="auto"/>
                      <w:szCs w:val="21"/>
                      <w:lang w:val="en-US" w:eastAsia="zh-CN"/>
                    </w:rPr>
                  </w:pPr>
                  <w:r>
                    <w:rPr>
                      <w:rFonts w:hint="eastAsia"/>
                      <w:color w:val="auto"/>
                      <w:szCs w:val="21"/>
                      <w:lang w:val="en-US" w:eastAsia="zh-CN"/>
                    </w:rPr>
                    <w:t>邻二甲苯</w:t>
                  </w:r>
                </w:p>
              </w:tc>
              <w:tc>
                <w:tcPr>
                  <w:tcW w:w="690" w:type="pct"/>
                  <w:noWrap w:val="0"/>
                  <w:vAlign w:val="center"/>
                </w:tcPr>
                <w:p w14:paraId="00424F6C">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color w:val="auto"/>
                      <w:szCs w:val="21"/>
                      <w:lang w:val="en-US" w:eastAsia="zh-CN"/>
                    </w:rPr>
                    <w:t>2025.</w:t>
                  </w:r>
                  <w:r>
                    <w:rPr>
                      <w:rFonts w:hint="eastAsia" w:ascii="Times New Roman" w:hAnsi="Times New Roman" w:eastAsia="宋体" w:cs="Times New Roman"/>
                      <w:color w:val="auto"/>
                      <w:kern w:val="2"/>
                      <w:sz w:val="21"/>
                      <w:szCs w:val="21"/>
                      <w:highlight w:val="none"/>
                      <w:vertAlign w:val="baseline"/>
                      <w:lang w:val="en-US" w:eastAsia="zh-CN" w:bidi="ar-SA"/>
                    </w:rPr>
                    <w:t>4.1</w:t>
                  </w:r>
                </w:p>
              </w:tc>
              <w:tc>
                <w:tcPr>
                  <w:tcW w:w="496" w:type="pct"/>
                  <w:vMerge w:val="restart"/>
                  <w:noWrap w:val="0"/>
                  <w:vAlign w:val="center"/>
                </w:tcPr>
                <w:p w14:paraId="5E4940E9">
                  <w:pPr>
                    <w:widowControl/>
                    <w:jc w:val="center"/>
                    <w:textAlignment w:val="center"/>
                    <w:rPr>
                      <w:color w:val="auto"/>
                      <w:szCs w:val="21"/>
                    </w:rPr>
                  </w:pPr>
                  <w:r>
                    <w:rPr>
                      <w:color w:val="auto"/>
                      <w:szCs w:val="21"/>
                    </w:rPr>
                    <w:t>mg/m³</w:t>
                  </w:r>
                </w:p>
              </w:tc>
              <w:tc>
                <w:tcPr>
                  <w:tcW w:w="597" w:type="pct"/>
                  <w:noWrap w:val="0"/>
                  <w:vAlign w:val="center"/>
                </w:tcPr>
                <w:p w14:paraId="5EAFA8BD">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620" w:type="pct"/>
                  <w:noWrap w:val="0"/>
                  <w:vAlign w:val="center"/>
                </w:tcPr>
                <w:p w14:paraId="122FF114">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597" w:type="pct"/>
                  <w:noWrap w:val="0"/>
                  <w:vAlign w:val="center"/>
                </w:tcPr>
                <w:p w14:paraId="67BEAA8A">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612" w:type="pct"/>
                  <w:noWrap w:val="0"/>
                  <w:vAlign w:val="center"/>
                </w:tcPr>
                <w:p w14:paraId="5BD7EEAF">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411" w:type="pct"/>
                  <w:vMerge w:val="continue"/>
                  <w:noWrap w:val="0"/>
                  <w:vAlign w:val="center"/>
                </w:tcPr>
                <w:p w14:paraId="2100E854">
                  <w:pPr>
                    <w:widowControl/>
                    <w:jc w:val="center"/>
                    <w:rPr>
                      <w:color w:val="auto"/>
                      <w:szCs w:val="21"/>
                    </w:rPr>
                  </w:pPr>
                </w:p>
              </w:tc>
              <w:tc>
                <w:tcPr>
                  <w:tcW w:w="400" w:type="pct"/>
                  <w:vMerge w:val="continue"/>
                  <w:noWrap w:val="0"/>
                  <w:vAlign w:val="center"/>
                </w:tcPr>
                <w:p w14:paraId="0A4BE7DE">
                  <w:pPr>
                    <w:widowControl/>
                    <w:jc w:val="center"/>
                    <w:rPr>
                      <w:color w:val="auto"/>
                      <w:szCs w:val="21"/>
                    </w:rPr>
                  </w:pPr>
                </w:p>
              </w:tc>
            </w:tr>
            <w:tr w14:paraId="579FBE1E">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567" w:hRule="atLeast"/>
                <w:jc w:val="center"/>
              </w:trPr>
              <w:tc>
                <w:tcPr>
                  <w:tcW w:w="285" w:type="pct"/>
                  <w:vMerge w:val="continue"/>
                  <w:noWrap w:val="0"/>
                  <w:vAlign w:val="center"/>
                </w:tcPr>
                <w:p w14:paraId="4F50D970">
                  <w:pPr>
                    <w:widowControl/>
                    <w:jc w:val="center"/>
                    <w:rPr>
                      <w:color w:val="auto"/>
                      <w:szCs w:val="21"/>
                    </w:rPr>
                  </w:pPr>
                </w:p>
              </w:tc>
              <w:tc>
                <w:tcPr>
                  <w:tcW w:w="286" w:type="pct"/>
                  <w:vMerge w:val="continue"/>
                  <w:noWrap w:val="0"/>
                  <w:vAlign w:val="center"/>
                </w:tcPr>
                <w:p w14:paraId="448B2F82">
                  <w:pPr>
                    <w:widowControl/>
                    <w:jc w:val="center"/>
                    <w:rPr>
                      <w:color w:val="auto"/>
                      <w:szCs w:val="21"/>
                    </w:rPr>
                  </w:pPr>
                </w:p>
              </w:tc>
              <w:tc>
                <w:tcPr>
                  <w:tcW w:w="690" w:type="pct"/>
                  <w:noWrap w:val="0"/>
                  <w:vAlign w:val="center"/>
                </w:tcPr>
                <w:p w14:paraId="701E5958">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color w:val="auto"/>
                      <w:szCs w:val="21"/>
                      <w:lang w:val="en-US" w:eastAsia="zh-CN"/>
                    </w:rPr>
                    <w:t>2025.</w:t>
                  </w:r>
                  <w:r>
                    <w:rPr>
                      <w:rFonts w:hint="eastAsia" w:ascii="Times New Roman" w:hAnsi="Times New Roman" w:eastAsia="宋体" w:cs="Times New Roman"/>
                      <w:color w:val="auto"/>
                      <w:kern w:val="2"/>
                      <w:sz w:val="21"/>
                      <w:szCs w:val="21"/>
                      <w:highlight w:val="none"/>
                      <w:vertAlign w:val="baseline"/>
                      <w:lang w:val="en-US" w:eastAsia="zh-CN" w:bidi="ar-SA"/>
                    </w:rPr>
                    <w:t>4.2</w:t>
                  </w:r>
                </w:p>
              </w:tc>
              <w:tc>
                <w:tcPr>
                  <w:tcW w:w="496" w:type="pct"/>
                  <w:vMerge w:val="continue"/>
                  <w:noWrap w:val="0"/>
                  <w:vAlign w:val="center"/>
                </w:tcPr>
                <w:p w14:paraId="156AF995">
                  <w:pPr>
                    <w:widowControl/>
                    <w:jc w:val="center"/>
                    <w:textAlignment w:val="center"/>
                    <w:rPr>
                      <w:color w:val="auto"/>
                      <w:szCs w:val="21"/>
                    </w:rPr>
                  </w:pPr>
                </w:p>
              </w:tc>
              <w:tc>
                <w:tcPr>
                  <w:tcW w:w="597" w:type="pct"/>
                  <w:noWrap w:val="0"/>
                  <w:vAlign w:val="center"/>
                </w:tcPr>
                <w:p w14:paraId="6FE4C3AF">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620" w:type="pct"/>
                  <w:noWrap w:val="0"/>
                  <w:vAlign w:val="center"/>
                </w:tcPr>
                <w:p w14:paraId="3A6C6DC6">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597" w:type="pct"/>
                  <w:noWrap w:val="0"/>
                  <w:vAlign w:val="center"/>
                </w:tcPr>
                <w:p w14:paraId="47D330FB">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612" w:type="pct"/>
                  <w:noWrap w:val="0"/>
                  <w:vAlign w:val="center"/>
                </w:tcPr>
                <w:p w14:paraId="487F88F0">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411" w:type="pct"/>
                  <w:vMerge w:val="continue"/>
                  <w:noWrap w:val="0"/>
                  <w:vAlign w:val="center"/>
                </w:tcPr>
                <w:p w14:paraId="77AE52AD">
                  <w:pPr>
                    <w:widowControl/>
                    <w:jc w:val="center"/>
                    <w:rPr>
                      <w:color w:val="auto"/>
                      <w:szCs w:val="21"/>
                    </w:rPr>
                  </w:pPr>
                </w:p>
              </w:tc>
              <w:tc>
                <w:tcPr>
                  <w:tcW w:w="400" w:type="pct"/>
                  <w:vMerge w:val="continue"/>
                  <w:noWrap w:val="0"/>
                  <w:vAlign w:val="center"/>
                </w:tcPr>
                <w:p w14:paraId="54D9FA7B">
                  <w:pPr>
                    <w:widowControl/>
                    <w:jc w:val="center"/>
                    <w:rPr>
                      <w:color w:val="auto"/>
                      <w:szCs w:val="21"/>
                    </w:rPr>
                  </w:pPr>
                </w:p>
              </w:tc>
            </w:tr>
            <w:tr w14:paraId="3580F6A1">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PrEx>
              <w:trPr>
                <w:trHeight w:val="567" w:hRule="atLeast"/>
                <w:jc w:val="center"/>
              </w:trPr>
              <w:tc>
                <w:tcPr>
                  <w:tcW w:w="285" w:type="pct"/>
                  <w:vMerge w:val="continue"/>
                  <w:noWrap w:val="0"/>
                  <w:vAlign w:val="center"/>
                </w:tcPr>
                <w:p w14:paraId="1FB10CDD">
                  <w:pPr>
                    <w:widowControl/>
                    <w:jc w:val="center"/>
                    <w:rPr>
                      <w:color w:val="auto"/>
                      <w:szCs w:val="21"/>
                    </w:rPr>
                  </w:pPr>
                </w:p>
              </w:tc>
              <w:tc>
                <w:tcPr>
                  <w:tcW w:w="286" w:type="pct"/>
                  <w:vMerge w:val="continue"/>
                  <w:noWrap w:val="0"/>
                  <w:vAlign w:val="center"/>
                </w:tcPr>
                <w:p w14:paraId="698146CD">
                  <w:pPr>
                    <w:widowControl/>
                    <w:jc w:val="center"/>
                    <w:rPr>
                      <w:color w:val="auto"/>
                      <w:szCs w:val="21"/>
                    </w:rPr>
                  </w:pPr>
                </w:p>
              </w:tc>
              <w:tc>
                <w:tcPr>
                  <w:tcW w:w="690" w:type="pct"/>
                  <w:noWrap w:val="0"/>
                  <w:vAlign w:val="center"/>
                </w:tcPr>
                <w:p w14:paraId="267A298A">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color w:val="auto"/>
                      <w:szCs w:val="21"/>
                      <w:lang w:val="en-US" w:eastAsia="zh-CN"/>
                    </w:rPr>
                    <w:t>2025.</w:t>
                  </w:r>
                  <w:r>
                    <w:rPr>
                      <w:rFonts w:hint="eastAsia" w:ascii="Times New Roman" w:hAnsi="Times New Roman" w:eastAsia="宋体" w:cs="Times New Roman"/>
                      <w:color w:val="auto"/>
                      <w:kern w:val="2"/>
                      <w:sz w:val="21"/>
                      <w:szCs w:val="21"/>
                      <w:highlight w:val="none"/>
                      <w:vertAlign w:val="baseline"/>
                      <w:lang w:val="en-US" w:eastAsia="zh-CN" w:bidi="ar-SA"/>
                    </w:rPr>
                    <w:t>4.3</w:t>
                  </w:r>
                </w:p>
              </w:tc>
              <w:tc>
                <w:tcPr>
                  <w:tcW w:w="496" w:type="pct"/>
                  <w:vMerge w:val="continue"/>
                  <w:noWrap w:val="0"/>
                  <w:vAlign w:val="center"/>
                </w:tcPr>
                <w:p w14:paraId="66A57676">
                  <w:pPr>
                    <w:widowControl/>
                    <w:jc w:val="center"/>
                    <w:textAlignment w:val="center"/>
                    <w:rPr>
                      <w:color w:val="auto"/>
                      <w:szCs w:val="21"/>
                    </w:rPr>
                  </w:pPr>
                </w:p>
              </w:tc>
              <w:tc>
                <w:tcPr>
                  <w:tcW w:w="597" w:type="pct"/>
                  <w:noWrap w:val="0"/>
                  <w:vAlign w:val="center"/>
                </w:tcPr>
                <w:p w14:paraId="2F0C7D67">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620" w:type="pct"/>
                  <w:noWrap w:val="0"/>
                  <w:vAlign w:val="center"/>
                </w:tcPr>
                <w:p w14:paraId="53866846">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597" w:type="pct"/>
                  <w:noWrap w:val="0"/>
                  <w:vAlign w:val="center"/>
                </w:tcPr>
                <w:p w14:paraId="162A3D98">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612" w:type="pct"/>
                  <w:noWrap w:val="0"/>
                  <w:vAlign w:val="center"/>
                </w:tcPr>
                <w:p w14:paraId="614A9B12">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411" w:type="pct"/>
                  <w:vMerge w:val="continue"/>
                  <w:noWrap w:val="0"/>
                  <w:vAlign w:val="center"/>
                </w:tcPr>
                <w:p w14:paraId="75A87E7E">
                  <w:pPr>
                    <w:widowControl/>
                    <w:jc w:val="center"/>
                    <w:rPr>
                      <w:color w:val="auto"/>
                      <w:szCs w:val="21"/>
                    </w:rPr>
                  </w:pPr>
                </w:p>
              </w:tc>
              <w:tc>
                <w:tcPr>
                  <w:tcW w:w="400" w:type="pct"/>
                  <w:vMerge w:val="continue"/>
                  <w:noWrap w:val="0"/>
                  <w:vAlign w:val="center"/>
                </w:tcPr>
                <w:p w14:paraId="26E97D07">
                  <w:pPr>
                    <w:widowControl/>
                    <w:jc w:val="center"/>
                    <w:rPr>
                      <w:color w:val="auto"/>
                      <w:szCs w:val="21"/>
                    </w:rPr>
                  </w:pPr>
                </w:p>
              </w:tc>
            </w:tr>
            <w:tr w14:paraId="34ABA00F">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567" w:hRule="atLeast"/>
                <w:jc w:val="center"/>
              </w:trPr>
              <w:tc>
                <w:tcPr>
                  <w:tcW w:w="285" w:type="pct"/>
                  <w:vMerge w:val="continue"/>
                  <w:noWrap w:val="0"/>
                  <w:vAlign w:val="center"/>
                </w:tcPr>
                <w:p w14:paraId="42F73F3F">
                  <w:pPr>
                    <w:widowControl/>
                    <w:jc w:val="center"/>
                    <w:rPr>
                      <w:rFonts w:hint="eastAsia" w:eastAsia="宋体"/>
                      <w:color w:val="auto"/>
                      <w:szCs w:val="21"/>
                      <w:lang w:val="en-US" w:eastAsia="zh-CN"/>
                    </w:rPr>
                  </w:pPr>
                </w:p>
              </w:tc>
              <w:tc>
                <w:tcPr>
                  <w:tcW w:w="286" w:type="pct"/>
                  <w:vMerge w:val="restart"/>
                  <w:noWrap w:val="0"/>
                  <w:vAlign w:val="center"/>
                </w:tcPr>
                <w:p w14:paraId="6F5B8440">
                  <w:pPr>
                    <w:widowControl/>
                    <w:jc w:val="center"/>
                    <w:rPr>
                      <w:rFonts w:hint="eastAsia"/>
                      <w:color w:val="auto"/>
                      <w:szCs w:val="21"/>
                      <w:lang w:val="en-US" w:eastAsia="zh-CN"/>
                    </w:rPr>
                  </w:pPr>
                  <w:r>
                    <w:rPr>
                      <w:rFonts w:hint="eastAsia"/>
                      <w:color w:val="auto"/>
                      <w:szCs w:val="21"/>
                      <w:lang w:val="en-US" w:eastAsia="zh-CN"/>
                    </w:rPr>
                    <w:t>间二甲苯</w:t>
                  </w:r>
                </w:p>
              </w:tc>
              <w:tc>
                <w:tcPr>
                  <w:tcW w:w="690" w:type="pct"/>
                  <w:noWrap w:val="0"/>
                  <w:vAlign w:val="center"/>
                </w:tcPr>
                <w:p w14:paraId="22F44CCB">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color w:val="auto"/>
                      <w:szCs w:val="21"/>
                      <w:lang w:val="en-US" w:eastAsia="zh-CN"/>
                    </w:rPr>
                    <w:t>2025.</w:t>
                  </w:r>
                  <w:r>
                    <w:rPr>
                      <w:rFonts w:hint="eastAsia" w:ascii="Times New Roman" w:hAnsi="Times New Roman" w:eastAsia="宋体" w:cs="Times New Roman"/>
                      <w:color w:val="auto"/>
                      <w:kern w:val="2"/>
                      <w:sz w:val="21"/>
                      <w:szCs w:val="21"/>
                      <w:highlight w:val="none"/>
                      <w:vertAlign w:val="baseline"/>
                      <w:lang w:val="en-US" w:eastAsia="zh-CN" w:bidi="ar-SA"/>
                    </w:rPr>
                    <w:t>4.1</w:t>
                  </w:r>
                </w:p>
              </w:tc>
              <w:tc>
                <w:tcPr>
                  <w:tcW w:w="496" w:type="pct"/>
                  <w:vMerge w:val="restart"/>
                  <w:noWrap w:val="0"/>
                  <w:vAlign w:val="center"/>
                </w:tcPr>
                <w:p w14:paraId="058106D1">
                  <w:pPr>
                    <w:widowControl/>
                    <w:jc w:val="center"/>
                    <w:textAlignment w:val="center"/>
                    <w:rPr>
                      <w:color w:val="auto"/>
                      <w:szCs w:val="21"/>
                    </w:rPr>
                  </w:pPr>
                  <w:r>
                    <w:rPr>
                      <w:color w:val="auto"/>
                      <w:szCs w:val="21"/>
                    </w:rPr>
                    <w:t>mg/m³</w:t>
                  </w:r>
                </w:p>
              </w:tc>
              <w:tc>
                <w:tcPr>
                  <w:tcW w:w="597" w:type="pct"/>
                  <w:noWrap w:val="0"/>
                  <w:vAlign w:val="center"/>
                </w:tcPr>
                <w:p w14:paraId="2F84F86D">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620" w:type="pct"/>
                  <w:noWrap w:val="0"/>
                  <w:vAlign w:val="center"/>
                </w:tcPr>
                <w:p w14:paraId="3CC1BC95">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597" w:type="pct"/>
                  <w:noWrap w:val="0"/>
                  <w:vAlign w:val="center"/>
                </w:tcPr>
                <w:p w14:paraId="163ABEBB">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612" w:type="pct"/>
                  <w:noWrap w:val="0"/>
                  <w:vAlign w:val="center"/>
                </w:tcPr>
                <w:p w14:paraId="6A95EA82">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411" w:type="pct"/>
                  <w:vMerge w:val="continue"/>
                  <w:noWrap w:val="0"/>
                  <w:vAlign w:val="center"/>
                </w:tcPr>
                <w:p w14:paraId="37D246C3">
                  <w:pPr>
                    <w:widowControl/>
                    <w:jc w:val="center"/>
                    <w:rPr>
                      <w:color w:val="auto"/>
                      <w:szCs w:val="21"/>
                    </w:rPr>
                  </w:pPr>
                </w:p>
              </w:tc>
              <w:tc>
                <w:tcPr>
                  <w:tcW w:w="400" w:type="pct"/>
                  <w:vMerge w:val="continue"/>
                  <w:noWrap w:val="0"/>
                  <w:vAlign w:val="center"/>
                </w:tcPr>
                <w:p w14:paraId="5BC467CC">
                  <w:pPr>
                    <w:widowControl/>
                    <w:jc w:val="center"/>
                    <w:rPr>
                      <w:color w:val="auto"/>
                      <w:szCs w:val="21"/>
                    </w:rPr>
                  </w:pPr>
                </w:p>
              </w:tc>
            </w:tr>
            <w:tr w14:paraId="6C1177B0">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567" w:hRule="atLeast"/>
                <w:jc w:val="center"/>
              </w:trPr>
              <w:tc>
                <w:tcPr>
                  <w:tcW w:w="285" w:type="pct"/>
                  <w:vMerge w:val="continue"/>
                  <w:noWrap w:val="0"/>
                  <w:vAlign w:val="center"/>
                </w:tcPr>
                <w:p w14:paraId="37C685A0">
                  <w:pPr>
                    <w:widowControl/>
                    <w:jc w:val="center"/>
                    <w:rPr>
                      <w:color w:val="auto"/>
                      <w:szCs w:val="21"/>
                    </w:rPr>
                  </w:pPr>
                </w:p>
              </w:tc>
              <w:tc>
                <w:tcPr>
                  <w:tcW w:w="286" w:type="pct"/>
                  <w:vMerge w:val="continue"/>
                  <w:noWrap w:val="0"/>
                  <w:vAlign w:val="center"/>
                </w:tcPr>
                <w:p w14:paraId="18E55A97">
                  <w:pPr>
                    <w:widowControl/>
                    <w:jc w:val="center"/>
                    <w:rPr>
                      <w:color w:val="auto"/>
                      <w:szCs w:val="21"/>
                    </w:rPr>
                  </w:pPr>
                </w:p>
              </w:tc>
              <w:tc>
                <w:tcPr>
                  <w:tcW w:w="690" w:type="pct"/>
                  <w:noWrap w:val="0"/>
                  <w:vAlign w:val="center"/>
                </w:tcPr>
                <w:p w14:paraId="4C427117">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color w:val="auto"/>
                      <w:szCs w:val="21"/>
                      <w:lang w:val="en-US" w:eastAsia="zh-CN"/>
                    </w:rPr>
                    <w:t>2025.</w:t>
                  </w:r>
                  <w:r>
                    <w:rPr>
                      <w:rFonts w:hint="eastAsia" w:ascii="Times New Roman" w:hAnsi="Times New Roman" w:eastAsia="宋体" w:cs="Times New Roman"/>
                      <w:color w:val="auto"/>
                      <w:kern w:val="2"/>
                      <w:sz w:val="21"/>
                      <w:szCs w:val="21"/>
                      <w:highlight w:val="none"/>
                      <w:vertAlign w:val="baseline"/>
                      <w:lang w:val="en-US" w:eastAsia="zh-CN" w:bidi="ar-SA"/>
                    </w:rPr>
                    <w:t>4.2</w:t>
                  </w:r>
                </w:p>
              </w:tc>
              <w:tc>
                <w:tcPr>
                  <w:tcW w:w="496" w:type="pct"/>
                  <w:vMerge w:val="continue"/>
                  <w:noWrap w:val="0"/>
                  <w:vAlign w:val="center"/>
                </w:tcPr>
                <w:p w14:paraId="06A7014A">
                  <w:pPr>
                    <w:widowControl/>
                    <w:jc w:val="center"/>
                    <w:textAlignment w:val="center"/>
                    <w:rPr>
                      <w:color w:val="auto"/>
                      <w:szCs w:val="21"/>
                    </w:rPr>
                  </w:pPr>
                </w:p>
              </w:tc>
              <w:tc>
                <w:tcPr>
                  <w:tcW w:w="597" w:type="pct"/>
                  <w:noWrap w:val="0"/>
                  <w:vAlign w:val="center"/>
                </w:tcPr>
                <w:p w14:paraId="4E94A22A">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620" w:type="pct"/>
                  <w:noWrap w:val="0"/>
                  <w:vAlign w:val="center"/>
                </w:tcPr>
                <w:p w14:paraId="5A196ED3">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597" w:type="pct"/>
                  <w:noWrap w:val="0"/>
                  <w:vAlign w:val="center"/>
                </w:tcPr>
                <w:p w14:paraId="447D39BD">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612" w:type="pct"/>
                  <w:noWrap w:val="0"/>
                  <w:vAlign w:val="center"/>
                </w:tcPr>
                <w:p w14:paraId="2DA46995">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411" w:type="pct"/>
                  <w:vMerge w:val="continue"/>
                  <w:noWrap w:val="0"/>
                  <w:vAlign w:val="center"/>
                </w:tcPr>
                <w:p w14:paraId="1293E34F">
                  <w:pPr>
                    <w:widowControl/>
                    <w:jc w:val="center"/>
                    <w:rPr>
                      <w:color w:val="auto"/>
                      <w:szCs w:val="21"/>
                    </w:rPr>
                  </w:pPr>
                </w:p>
              </w:tc>
              <w:tc>
                <w:tcPr>
                  <w:tcW w:w="400" w:type="pct"/>
                  <w:vMerge w:val="continue"/>
                  <w:noWrap w:val="0"/>
                  <w:vAlign w:val="center"/>
                </w:tcPr>
                <w:p w14:paraId="21661F8A">
                  <w:pPr>
                    <w:widowControl/>
                    <w:jc w:val="center"/>
                    <w:rPr>
                      <w:color w:val="auto"/>
                      <w:szCs w:val="21"/>
                    </w:rPr>
                  </w:pPr>
                </w:p>
              </w:tc>
            </w:tr>
            <w:tr w14:paraId="65425DF0">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PrEx>
              <w:trPr>
                <w:trHeight w:val="567" w:hRule="atLeast"/>
                <w:jc w:val="center"/>
              </w:trPr>
              <w:tc>
                <w:tcPr>
                  <w:tcW w:w="285" w:type="pct"/>
                  <w:vMerge w:val="continue"/>
                  <w:noWrap w:val="0"/>
                  <w:vAlign w:val="center"/>
                </w:tcPr>
                <w:p w14:paraId="4E23B33A">
                  <w:pPr>
                    <w:widowControl/>
                    <w:jc w:val="center"/>
                    <w:rPr>
                      <w:color w:val="auto"/>
                      <w:szCs w:val="21"/>
                    </w:rPr>
                  </w:pPr>
                </w:p>
              </w:tc>
              <w:tc>
                <w:tcPr>
                  <w:tcW w:w="286" w:type="pct"/>
                  <w:vMerge w:val="continue"/>
                  <w:noWrap w:val="0"/>
                  <w:vAlign w:val="center"/>
                </w:tcPr>
                <w:p w14:paraId="40C4D9AC">
                  <w:pPr>
                    <w:widowControl/>
                    <w:jc w:val="center"/>
                    <w:rPr>
                      <w:color w:val="auto"/>
                      <w:szCs w:val="21"/>
                    </w:rPr>
                  </w:pPr>
                </w:p>
              </w:tc>
              <w:tc>
                <w:tcPr>
                  <w:tcW w:w="690" w:type="pct"/>
                  <w:noWrap w:val="0"/>
                  <w:vAlign w:val="center"/>
                </w:tcPr>
                <w:p w14:paraId="18CE0296">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color w:val="auto"/>
                      <w:szCs w:val="21"/>
                      <w:lang w:val="en-US" w:eastAsia="zh-CN"/>
                    </w:rPr>
                    <w:t>2025.</w:t>
                  </w:r>
                  <w:r>
                    <w:rPr>
                      <w:rFonts w:hint="eastAsia" w:ascii="Times New Roman" w:hAnsi="Times New Roman" w:eastAsia="宋体" w:cs="Times New Roman"/>
                      <w:color w:val="auto"/>
                      <w:kern w:val="2"/>
                      <w:sz w:val="21"/>
                      <w:szCs w:val="21"/>
                      <w:highlight w:val="none"/>
                      <w:vertAlign w:val="baseline"/>
                      <w:lang w:val="en-US" w:eastAsia="zh-CN" w:bidi="ar-SA"/>
                    </w:rPr>
                    <w:t>4.3</w:t>
                  </w:r>
                </w:p>
              </w:tc>
              <w:tc>
                <w:tcPr>
                  <w:tcW w:w="496" w:type="pct"/>
                  <w:vMerge w:val="continue"/>
                  <w:noWrap w:val="0"/>
                  <w:vAlign w:val="center"/>
                </w:tcPr>
                <w:p w14:paraId="0E26255A">
                  <w:pPr>
                    <w:widowControl/>
                    <w:jc w:val="center"/>
                    <w:textAlignment w:val="center"/>
                    <w:rPr>
                      <w:color w:val="auto"/>
                      <w:szCs w:val="21"/>
                    </w:rPr>
                  </w:pPr>
                </w:p>
              </w:tc>
              <w:tc>
                <w:tcPr>
                  <w:tcW w:w="597" w:type="pct"/>
                  <w:noWrap w:val="0"/>
                  <w:vAlign w:val="center"/>
                </w:tcPr>
                <w:p w14:paraId="1E1524FE">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620" w:type="pct"/>
                  <w:noWrap w:val="0"/>
                  <w:vAlign w:val="center"/>
                </w:tcPr>
                <w:p w14:paraId="65EE60C9">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597" w:type="pct"/>
                  <w:noWrap w:val="0"/>
                  <w:vAlign w:val="center"/>
                </w:tcPr>
                <w:p w14:paraId="05168B6E">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612" w:type="pct"/>
                  <w:noWrap w:val="0"/>
                  <w:vAlign w:val="center"/>
                </w:tcPr>
                <w:p w14:paraId="5564513A">
                  <w:pPr>
                    <w:widowControl/>
                    <w:jc w:val="center"/>
                    <w:rPr>
                      <w:rFonts w:hint="eastAsia"/>
                      <w:color w:val="auto"/>
                      <w:kern w:val="2"/>
                      <w:sz w:val="21"/>
                      <w:szCs w:val="21"/>
                      <w:lang w:val="en-US" w:eastAsia="zh-CN" w:bidi="ar-SA"/>
                    </w:rPr>
                  </w:pPr>
                  <w:r>
                    <w:rPr>
                      <w:rFonts w:hint="eastAsia"/>
                      <w:color w:val="auto"/>
                      <w:szCs w:val="21"/>
                    </w:rPr>
                    <w:t>1.5</w:t>
                  </w:r>
                  <w:r>
                    <w:rPr>
                      <w:color w:val="auto"/>
                      <w:szCs w:val="21"/>
                    </w:rPr>
                    <w:t>×</w:t>
                  </w:r>
                  <w:r>
                    <w:rPr>
                      <w:rFonts w:hint="eastAsia"/>
                      <w:color w:val="auto"/>
                      <w:szCs w:val="21"/>
                    </w:rPr>
                    <w:t>10</w:t>
                  </w:r>
                  <w:r>
                    <w:rPr>
                      <w:rFonts w:hint="eastAsia"/>
                      <w:color w:val="auto"/>
                      <w:szCs w:val="21"/>
                      <w:vertAlign w:val="superscript"/>
                    </w:rPr>
                    <w:t>-3</w:t>
                  </w:r>
                  <w:r>
                    <w:rPr>
                      <w:rFonts w:hint="eastAsia"/>
                      <w:color w:val="auto"/>
                      <w:szCs w:val="21"/>
                    </w:rPr>
                    <w:t>ND</w:t>
                  </w:r>
                </w:p>
              </w:tc>
              <w:tc>
                <w:tcPr>
                  <w:tcW w:w="411" w:type="pct"/>
                  <w:vMerge w:val="continue"/>
                  <w:noWrap w:val="0"/>
                  <w:vAlign w:val="center"/>
                </w:tcPr>
                <w:p w14:paraId="2BCA0321">
                  <w:pPr>
                    <w:widowControl/>
                    <w:jc w:val="center"/>
                    <w:rPr>
                      <w:color w:val="auto"/>
                      <w:szCs w:val="21"/>
                    </w:rPr>
                  </w:pPr>
                </w:p>
              </w:tc>
              <w:tc>
                <w:tcPr>
                  <w:tcW w:w="400" w:type="pct"/>
                  <w:vMerge w:val="continue"/>
                  <w:noWrap w:val="0"/>
                  <w:vAlign w:val="center"/>
                </w:tcPr>
                <w:p w14:paraId="1FB12F66">
                  <w:pPr>
                    <w:widowControl/>
                    <w:jc w:val="center"/>
                    <w:rPr>
                      <w:color w:val="auto"/>
                      <w:szCs w:val="21"/>
                    </w:rPr>
                  </w:pPr>
                </w:p>
              </w:tc>
            </w:tr>
          </w:tbl>
          <w:p w14:paraId="1D3E5B52">
            <w:pPr>
              <w:spacing w:before="120" w:beforeLines="50" w:line="360" w:lineRule="auto"/>
              <w:ind w:firstLine="480" w:firstLineChars="200"/>
              <w:rPr>
                <w:color w:val="auto"/>
                <w:sz w:val="24"/>
                <w:lang w:bidi="ar"/>
              </w:rPr>
            </w:pPr>
            <w:r>
              <w:rPr>
                <w:rFonts w:hint="eastAsia"/>
                <w:color w:val="auto"/>
                <w:sz w:val="24"/>
                <w:lang w:bidi="ar"/>
              </w:rPr>
              <w:t>根据监测结果可知，项目所在区域总悬浮颗粒物（TSP）24小时均值监测期间满足《环境空气质量标准》（GB3095-2012）</w:t>
            </w:r>
            <w:r>
              <w:rPr>
                <w:rFonts w:hint="eastAsia"/>
                <w:color w:val="auto"/>
                <w:sz w:val="24"/>
                <w:lang w:val="en-US" w:eastAsia="zh-CN" w:bidi="ar"/>
              </w:rPr>
              <w:t>及修改单</w:t>
            </w:r>
            <w:r>
              <w:rPr>
                <w:rFonts w:hint="eastAsia"/>
                <w:color w:val="auto"/>
                <w:sz w:val="24"/>
                <w:lang w:bidi="ar"/>
              </w:rPr>
              <w:t>中二级标准限值；</w:t>
            </w:r>
            <w:r>
              <w:rPr>
                <w:color w:val="auto"/>
                <w:sz w:val="24"/>
              </w:rPr>
              <w:t>非甲烷总烃监测期间满足</w:t>
            </w:r>
            <w:r>
              <w:rPr>
                <w:color w:val="auto"/>
                <w:sz w:val="24"/>
                <w:szCs w:val="32"/>
              </w:rPr>
              <w:t>《大气污染物综合排放标准详解》</w:t>
            </w:r>
            <w:r>
              <w:rPr>
                <w:color w:val="auto"/>
                <w:sz w:val="24"/>
              </w:rPr>
              <w:t>（国家环境保护局科技标准司）中限值</w:t>
            </w:r>
            <w:r>
              <w:rPr>
                <w:rFonts w:hint="eastAsia"/>
                <w:color w:val="auto"/>
                <w:sz w:val="24"/>
                <w:lang w:eastAsia="zh-CN" w:bidi="ar"/>
              </w:rPr>
              <w:t>；</w:t>
            </w:r>
            <w:r>
              <w:rPr>
                <w:rFonts w:hint="eastAsia"/>
                <w:color w:val="auto"/>
                <w:sz w:val="24"/>
                <w:lang w:bidi="ar"/>
              </w:rPr>
              <w:t>甲苯、二甲苯满足《环境影响评价技术导则 大气环境》（HJ2.2-2018）附录D中标准限值。</w:t>
            </w:r>
          </w:p>
          <w:p w14:paraId="4BA9640C">
            <w:pPr>
              <w:adjustRightInd w:val="0"/>
              <w:snapToGrid w:val="0"/>
              <w:spacing w:line="360" w:lineRule="auto"/>
              <w:ind w:firstLine="482" w:firstLineChars="200"/>
              <w:rPr>
                <w:b/>
                <w:color w:val="auto"/>
                <w:sz w:val="24"/>
              </w:rPr>
            </w:pPr>
            <w:r>
              <w:rPr>
                <w:rFonts w:hint="eastAsia"/>
                <w:b/>
                <w:color w:val="auto"/>
                <w:sz w:val="24"/>
                <w:lang w:val="en-US" w:eastAsia="zh-CN"/>
              </w:rPr>
              <w:t>2</w:t>
            </w:r>
            <w:r>
              <w:rPr>
                <w:rFonts w:hint="eastAsia"/>
                <w:b/>
                <w:color w:val="auto"/>
                <w:sz w:val="24"/>
              </w:rPr>
              <w:t>、地下水、土壤</w:t>
            </w:r>
            <w:r>
              <w:rPr>
                <w:b/>
                <w:color w:val="auto"/>
                <w:sz w:val="24"/>
              </w:rPr>
              <w:t>环境质量现状</w:t>
            </w:r>
          </w:p>
          <w:p w14:paraId="6E2005F5">
            <w:pPr>
              <w:adjustRightInd w:val="0"/>
              <w:snapToGrid w:val="0"/>
              <w:spacing w:line="360" w:lineRule="auto"/>
              <w:ind w:firstLine="480" w:firstLineChars="200"/>
              <w:rPr>
                <w:rFonts w:hint="eastAsia"/>
                <w:color w:val="auto"/>
                <w:sz w:val="24"/>
              </w:rPr>
            </w:pPr>
            <w:r>
              <w:rPr>
                <w:rFonts w:hint="eastAsia"/>
                <w:color w:val="auto"/>
                <w:sz w:val="24"/>
              </w:rPr>
              <w:t>根据《建设项目环境影响报告表编制技术指南》，原则上不开展地下水、土壤环境质量现状调查。本项目在已建设的厂房内建设，厂房内地面全部硬化，不存在地下水、土壤污染途径，无需开展地下水、土壤环境质量现状调查。</w:t>
            </w:r>
          </w:p>
          <w:p w14:paraId="44220FCD">
            <w:pPr>
              <w:adjustRightInd w:val="0"/>
              <w:snapToGrid w:val="0"/>
              <w:spacing w:line="360" w:lineRule="auto"/>
              <w:ind w:firstLine="482" w:firstLineChars="200"/>
              <w:rPr>
                <w:b/>
                <w:bCs/>
                <w:color w:val="auto"/>
                <w:sz w:val="24"/>
              </w:rPr>
            </w:pPr>
            <w:r>
              <w:rPr>
                <w:rFonts w:hint="eastAsia"/>
                <w:b/>
                <w:bCs/>
                <w:color w:val="auto"/>
                <w:sz w:val="24"/>
                <w:lang w:val="en-US" w:eastAsia="zh-CN"/>
              </w:rPr>
              <w:t>3</w:t>
            </w:r>
            <w:r>
              <w:rPr>
                <w:rFonts w:hint="eastAsia"/>
                <w:b/>
                <w:bCs/>
                <w:color w:val="auto"/>
                <w:sz w:val="24"/>
              </w:rPr>
              <w:t>、生态</w:t>
            </w:r>
            <w:r>
              <w:rPr>
                <w:b/>
                <w:bCs/>
                <w:color w:val="auto"/>
                <w:sz w:val="24"/>
              </w:rPr>
              <w:t>环境质量现状</w:t>
            </w:r>
          </w:p>
          <w:p w14:paraId="4EC4D22C">
            <w:pPr>
              <w:pStyle w:val="63"/>
              <w:spacing w:line="360" w:lineRule="auto"/>
              <w:rPr>
                <w:color w:val="auto"/>
              </w:rPr>
            </w:pPr>
            <w:r>
              <w:rPr>
                <w:rFonts w:hint="eastAsia"/>
                <w:color w:val="auto"/>
              </w:rPr>
              <w:t>根据《建设项目环境影响报告表编制技术指南》，本项目位于城市建成区内，无新增用地，故不进行生态现状调查。</w:t>
            </w:r>
          </w:p>
        </w:tc>
      </w:tr>
      <w:tr w14:paraId="1A702B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0" w:type="dxa"/>
            <w:noWrap w:val="0"/>
            <w:vAlign w:val="center"/>
          </w:tcPr>
          <w:p w14:paraId="5A833FC8">
            <w:pPr>
              <w:adjustRightInd w:val="0"/>
              <w:snapToGrid w:val="0"/>
              <w:jc w:val="center"/>
              <w:rPr>
                <w:color w:val="auto"/>
                <w:kern w:val="0"/>
                <w:szCs w:val="21"/>
              </w:rPr>
            </w:pPr>
            <w:r>
              <w:rPr>
                <w:color w:val="auto"/>
                <w:kern w:val="0"/>
                <w:sz w:val="24"/>
              </w:rPr>
              <w:t>环境保护目标</w:t>
            </w:r>
          </w:p>
        </w:tc>
        <w:tc>
          <w:tcPr>
            <w:tcW w:w="8190" w:type="dxa"/>
            <w:noWrap w:val="0"/>
            <w:vAlign w:val="center"/>
          </w:tcPr>
          <w:p w14:paraId="206B08E2">
            <w:pPr>
              <w:pStyle w:val="20"/>
              <w:spacing w:before="120" w:beforeLines="50" w:after="0" w:line="360" w:lineRule="auto"/>
              <w:ind w:left="0" w:leftChars="0" w:firstLine="482" w:firstLineChars="200"/>
              <w:rPr>
                <w:rFonts w:hint="default" w:ascii="Times New Roman" w:hAnsi="Times New Roman" w:eastAsia="宋体" w:cs="Times New Roman"/>
                <w:color w:val="auto"/>
                <w:sz w:val="24"/>
                <w:lang w:val="en-US" w:eastAsia="zh-CN"/>
              </w:rPr>
            </w:pPr>
            <w:r>
              <w:rPr>
                <w:rFonts w:hint="default" w:ascii="Times New Roman" w:hAnsi="Times New Roman" w:cs="Times New Roman"/>
                <w:b/>
                <w:bCs/>
                <w:color w:val="auto"/>
                <w:sz w:val="24"/>
              </w:rPr>
              <w:t>1、大气环境保护目</w:t>
            </w:r>
            <w:r>
              <w:rPr>
                <w:rFonts w:hint="eastAsia" w:ascii="Times New Roman" w:hAnsi="Times New Roman" w:cs="Times New Roman"/>
                <w:b/>
                <w:bCs/>
                <w:color w:val="auto"/>
                <w:sz w:val="24"/>
                <w:lang w:val="en-US" w:eastAsia="zh-CN"/>
              </w:rPr>
              <w:t>标</w:t>
            </w:r>
          </w:p>
          <w:p w14:paraId="0F3A5BA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 w:val="0"/>
                <w:bCs w:val="0"/>
                <w:color w:val="auto"/>
                <w:sz w:val="24"/>
              </w:rPr>
            </w:pPr>
            <w:r>
              <w:rPr>
                <w:rFonts w:hint="default" w:ascii="Times New Roman" w:hAnsi="Times New Roman" w:cs="Times New Roman"/>
                <w:b w:val="0"/>
                <w:bCs w:val="0"/>
                <w:color w:val="auto"/>
                <w:sz w:val="24"/>
              </w:rPr>
              <w:t>项目厂界外500m范围内无大气环境保护目标。</w:t>
            </w:r>
          </w:p>
          <w:p w14:paraId="391BE0BD">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2、声环境保护目标</w:t>
            </w:r>
          </w:p>
          <w:p w14:paraId="185B95B4">
            <w:pPr>
              <w:adjustRightInd w:val="0"/>
              <w:snapToGrid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本项目厂界外50m范围内不存在声环境保护目标。</w:t>
            </w:r>
          </w:p>
          <w:p w14:paraId="54E7988B">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cs="Times New Roman"/>
                <w:b/>
                <w:bCs/>
                <w:color w:val="auto"/>
                <w:sz w:val="24"/>
              </w:rPr>
            </w:pPr>
            <w:r>
              <w:rPr>
                <w:rFonts w:hint="eastAsia" w:ascii="Times New Roman" w:hAnsi="Times New Roman" w:cs="Times New Roman"/>
                <w:b/>
                <w:bCs/>
                <w:color w:val="auto"/>
                <w:sz w:val="24"/>
                <w:lang w:val="en-US" w:eastAsia="zh-CN"/>
              </w:rPr>
              <w:t>3</w:t>
            </w:r>
            <w:r>
              <w:rPr>
                <w:rFonts w:hint="default" w:ascii="Times New Roman" w:hAnsi="Times New Roman" w:cs="Times New Roman"/>
                <w:b/>
                <w:bCs/>
                <w:color w:val="auto"/>
                <w:sz w:val="24"/>
              </w:rPr>
              <w:t>、地下水环境保护目标</w:t>
            </w:r>
          </w:p>
          <w:p w14:paraId="77E70979">
            <w:pPr>
              <w:adjustRightInd w:val="0"/>
              <w:snapToGrid w:val="0"/>
              <w:spacing w:line="360" w:lineRule="auto"/>
              <w:ind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本项目厂界外500米范围内无地下水集中式饮用水水源和热水、矿泉水、温泉等特殊地下水资源。</w:t>
            </w:r>
          </w:p>
          <w:p w14:paraId="2B5CA4BC">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cs="Times New Roman"/>
                <w:b/>
                <w:bCs/>
                <w:color w:val="auto"/>
                <w:sz w:val="24"/>
              </w:rPr>
            </w:pPr>
            <w:r>
              <w:rPr>
                <w:rFonts w:hint="eastAsia" w:ascii="Times New Roman" w:hAnsi="Times New Roman" w:cs="Times New Roman"/>
                <w:b/>
                <w:bCs/>
                <w:color w:val="auto"/>
                <w:sz w:val="24"/>
                <w:lang w:val="en-US" w:eastAsia="zh-CN"/>
              </w:rPr>
              <w:t>4</w:t>
            </w:r>
            <w:r>
              <w:rPr>
                <w:rFonts w:hint="default" w:ascii="Times New Roman" w:hAnsi="Times New Roman" w:cs="Times New Roman"/>
                <w:b/>
                <w:bCs/>
                <w:color w:val="auto"/>
                <w:sz w:val="24"/>
              </w:rPr>
              <w:t>、生态环境保护目标</w:t>
            </w:r>
          </w:p>
          <w:p w14:paraId="562A48AD">
            <w:pPr>
              <w:pStyle w:val="9"/>
              <w:ind w:firstLine="480" w:firstLineChars="200"/>
              <w:rPr>
                <w:color w:val="auto"/>
                <w:kern w:val="0"/>
                <w:szCs w:val="21"/>
              </w:rPr>
            </w:pPr>
            <w:r>
              <w:rPr>
                <w:rFonts w:hint="default" w:ascii="Times New Roman" w:hAnsi="Times New Roman" w:cs="Times New Roman"/>
                <w:color w:val="auto"/>
                <w:sz w:val="24"/>
                <w:szCs w:val="32"/>
              </w:rPr>
              <w:t>本项目用地范围内无生态环境保护目标。</w:t>
            </w:r>
          </w:p>
        </w:tc>
      </w:tr>
      <w:tr w14:paraId="071F58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0" w:type="dxa"/>
            <w:noWrap w:val="0"/>
            <w:tcMar>
              <w:left w:w="28" w:type="dxa"/>
              <w:right w:w="28" w:type="dxa"/>
            </w:tcMar>
            <w:vAlign w:val="center"/>
          </w:tcPr>
          <w:p w14:paraId="36FCA092">
            <w:pPr>
              <w:adjustRightInd w:val="0"/>
              <w:snapToGrid w:val="0"/>
              <w:jc w:val="center"/>
              <w:rPr>
                <w:color w:val="auto"/>
                <w:kern w:val="0"/>
                <w:szCs w:val="21"/>
              </w:rPr>
            </w:pPr>
            <w:r>
              <w:rPr>
                <w:color w:val="auto"/>
                <w:kern w:val="0"/>
                <w:sz w:val="24"/>
              </w:rPr>
              <w:t>污染物排放控制标准</w:t>
            </w:r>
          </w:p>
        </w:tc>
        <w:tc>
          <w:tcPr>
            <w:tcW w:w="8190" w:type="dxa"/>
            <w:noWrap w:val="0"/>
            <w:vAlign w:val="center"/>
          </w:tcPr>
          <w:p w14:paraId="243C7607">
            <w:pPr>
              <w:spacing w:before="120" w:beforeLines="50" w:line="360" w:lineRule="auto"/>
              <w:ind w:firstLine="482" w:firstLineChars="200"/>
              <w:rPr>
                <w:b/>
                <w:bCs/>
                <w:color w:val="auto"/>
                <w:sz w:val="24"/>
              </w:rPr>
            </w:pPr>
            <w:r>
              <w:rPr>
                <w:rFonts w:hint="eastAsia"/>
                <w:b/>
                <w:bCs/>
                <w:color w:val="auto"/>
                <w:sz w:val="24"/>
              </w:rPr>
              <w:t>1</w:t>
            </w:r>
            <w:r>
              <w:rPr>
                <w:b/>
                <w:bCs/>
                <w:color w:val="auto"/>
                <w:sz w:val="24"/>
              </w:rPr>
              <w:t>、废气</w:t>
            </w:r>
          </w:p>
          <w:p w14:paraId="60F1956D">
            <w:pPr>
              <w:spacing w:line="360" w:lineRule="auto"/>
              <w:ind w:firstLine="480" w:firstLineChars="200"/>
              <w:rPr>
                <w:color w:val="auto"/>
                <w:sz w:val="24"/>
              </w:rPr>
            </w:pPr>
            <w:r>
              <w:rPr>
                <w:rFonts w:hint="eastAsia"/>
                <w:color w:val="auto"/>
                <w:sz w:val="24"/>
              </w:rPr>
              <w:t>施工期扬尘执行《施工场界扬尘排放限值》（DB61/1078-2017）中的浓度限值。</w:t>
            </w:r>
          </w:p>
          <w:p w14:paraId="0485BC8C">
            <w:pPr>
              <w:spacing w:line="360" w:lineRule="auto"/>
              <w:ind w:firstLine="480" w:firstLineChars="200"/>
              <w:rPr>
                <w:rFonts w:hint="eastAsia"/>
                <w:color w:val="auto"/>
                <w:sz w:val="24"/>
              </w:rPr>
            </w:pPr>
            <w:r>
              <w:rPr>
                <w:rFonts w:hint="eastAsia"/>
                <w:color w:val="auto"/>
                <w:sz w:val="24"/>
                <w:highlight w:val="none"/>
              </w:rPr>
              <w:t>项目生产过程中产生的</w:t>
            </w:r>
            <w:r>
              <w:rPr>
                <w:rFonts w:hint="eastAsia"/>
                <w:color w:val="auto"/>
                <w:sz w:val="24"/>
                <w:highlight w:val="none"/>
                <w:lang w:val="en-US" w:eastAsia="zh-CN"/>
              </w:rPr>
              <w:t>焊接烟尘</w:t>
            </w:r>
            <w:r>
              <w:rPr>
                <w:rFonts w:hint="eastAsia"/>
                <w:color w:val="auto"/>
                <w:sz w:val="24"/>
                <w:highlight w:val="none"/>
                <w:lang w:eastAsia="zh-CN"/>
              </w:rPr>
              <w:t>，打磨抛光粉尘，</w:t>
            </w:r>
            <w:r>
              <w:rPr>
                <w:rFonts w:hint="eastAsia"/>
                <w:color w:val="auto"/>
                <w:sz w:val="24"/>
                <w:highlight w:val="none"/>
                <w:lang w:val="en-US" w:eastAsia="zh-CN"/>
              </w:rPr>
              <w:t>喷烤漆工序</w:t>
            </w:r>
            <w:r>
              <w:rPr>
                <w:rFonts w:hint="eastAsia"/>
                <w:color w:val="auto"/>
                <w:sz w:val="24"/>
                <w:highlight w:val="none"/>
              </w:rPr>
              <w:t>产生的</w:t>
            </w:r>
            <w:r>
              <w:rPr>
                <w:rFonts w:hint="eastAsia"/>
                <w:color w:val="auto"/>
                <w:sz w:val="24"/>
                <w:highlight w:val="none"/>
                <w:lang w:val="en-US" w:eastAsia="zh-CN"/>
              </w:rPr>
              <w:t>颗粒物</w:t>
            </w:r>
            <w:r>
              <w:rPr>
                <w:rFonts w:hint="eastAsia"/>
                <w:color w:val="auto"/>
                <w:sz w:val="24"/>
                <w:highlight w:val="none"/>
              </w:rPr>
              <w:t>执行</w:t>
            </w:r>
            <w:r>
              <w:rPr>
                <w:color w:val="auto"/>
                <w:sz w:val="24"/>
                <w:highlight w:val="none"/>
              </w:rPr>
              <w:t>《</w:t>
            </w:r>
            <w:r>
              <w:rPr>
                <w:rFonts w:hint="eastAsia"/>
                <w:color w:val="auto"/>
                <w:sz w:val="24"/>
                <w:highlight w:val="none"/>
              </w:rPr>
              <w:t>大气</w:t>
            </w:r>
            <w:r>
              <w:rPr>
                <w:color w:val="auto"/>
                <w:sz w:val="24"/>
                <w:highlight w:val="none"/>
              </w:rPr>
              <w:t>污染物</w:t>
            </w:r>
            <w:r>
              <w:rPr>
                <w:rFonts w:hint="eastAsia"/>
                <w:color w:val="auto"/>
                <w:sz w:val="24"/>
                <w:highlight w:val="none"/>
              </w:rPr>
              <w:t>综合</w:t>
            </w:r>
            <w:r>
              <w:rPr>
                <w:color w:val="auto"/>
                <w:sz w:val="24"/>
                <w:highlight w:val="none"/>
              </w:rPr>
              <w:t>排放标准》（GB</w:t>
            </w:r>
            <w:r>
              <w:rPr>
                <w:rFonts w:hint="eastAsia"/>
                <w:color w:val="auto"/>
                <w:sz w:val="24"/>
                <w:highlight w:val="none"/>
              </w:rPr>
              <w:t>16297-1996</w:t>
            </w:r>
            <w:r>
              <w:rPr>
                <w:color w:val="auto"/>
                <w:sz w:val="24"/>
                <w:highlight w:val="none"/>
              </w:rPr>
              <w:t>）</w:t>
            </w:r>
            <w:r>
              <w:rPr>
                <w:rFonts w:hint="eastAsia"/>
                <w:color w:val="auto"/>
                <w:sz w:val="24"/>
                <w:highlight w:val="none"/>
              </w:rPr>
              <w:t>中“表2新污染源大气污染物排放限值”要求</w:t>
            </w:r>
            <w:r>
              <w:rPr>
                <w:color w:val="auto"/>
                <w:sz w:val="24"/>
                <w:highlight w:val="none"/>
              </w:rPr>
              <w:t>；</w:t>
            </w:r>
            <w:r>
              <w:rPr>
                <w:rFonts w:hint="eastAsia"/>
                <w:color w:val="auto"/>
                <w:sz w:val="24"/>
                <w:highlight w:val="none"/>
                <w:lang w:val="en-US" w:eastAsia="zh-CN"/>
              </w:rPr>
              <w:t>调漆、喷烤漆、中涂及涂原子灰工序</w:t>
            </w:r>
            <w:r>
              <w:rPr>
                <w:rFonts w:hint="eastAsia"/>
                <w:color w:val="auto"/>
                <w:sz w:val="24"/>
                <w:highlight w:val="none"/>
              </w:rPr>
              <w:t>产生的有组织有机废气执行《挥发性有机物排放控制标准》（DB 61/T 1061-2017）表1中</w:t>
            </w:r>
            <w:r>
              <w:rPr>
                <w:rFonts w:hint="eastAsia"/>
                <w:color w:val="auto"/>
                <w:sz w:val="24"/>
                <w:highlight w:val="none"/>
                <w:lang w:val="en-US" w:eastAsia="zh-CN"/>
              </w:rPr>
              <w:t>表面涂装</w:t>
            </w:r>
            <w:r>
              <w:rPr>
                <w:rFonts w:hint="eastAsia"/>
                <w:color w:val="auto"/>
                <w:sz w:val="24"/>
                <w:highlight w:val="none"/>
              </w:rPr>
              <w:t>限值要求、厂界有机废气执行表3企业边界监控点浓度限值要求，厂区内非甲烷总烃执行《挥发性有机物无组织排放控制标准》（GB37822-2019）表 A.1厂区内无组织</w:t>
            </w:r>
            <w:r>
              <w:rPr>
                <w:rFonts w:hint="eastAsia"/>
                <w:color w:val="auto"/>
                <w:sz w:val="24"/>
                <w:highlight w:val="none"/>
                <w:lang w:val="en-US" w:eastAsia="zh-CN"/>
              </w:rPr>
              <w:t>特别</w:t>
            </w:r>
            <w:r>
              <w:rPr>
                <w:rFonts w:hint="eastAsia"/>
                <w:color w:val="auto"/>
                <w:sz w:val="24"/>
                <w:highlight w:val="none"/>
              </w:rPr>
              <w:t>排放限值要求。</w:t>
            </w:r>
          </w:p>
          <w:p w14:paraId="3DAFDACC">
            <w:pPr>
              <w:pStyle w:val="7"/>
              <w:jc w:val="center"/>
              <w:rPr>
                <w:rFonts w:ascii="Times New Roman" w:hAnsi="Times New Roman" w:eastAsia="宋体"/>
                <w:b/>
                <w:color w:val="auto"/>
                <w:sz w:val="24"/>
              </w:rPr>
            </w:pPr>
            <w:r>
              <w:rPr>
                <w:rFonts w:ascii="Times New Roman" w:hAnsi="Times New Roman" w:eastAsia="宋体"/>
                <w:b/>
                <w:color w:val="auto"/>
                <w:sz w:val="24"/>
              </w:rPr>
              <w:t>表3-</w:t>
            </w:r>
            <w:r>
              <w:rPr>
                <w:rFonts w:hint="eastAsia" w:ascii="Times New Roman" w:hAnsi="Times New Roman" w:eastAsia="宋体"/>
                <w:b/>
                <w:color w:val="auto"/>
                <w:sz w:val="24"/>
                <w:lang w:val="en-US" w:eastAsia="zh-CN"/>
              </w:rPr>
              <w:t>3</w:t>
            </w:r>
            <w:r>
              <w:rPr>
                <w:rFonts w:ascii="Times New Roman" w:hAnsi="Times New Roman" w:eastAsia="宋体"/>
                <w:b/>
                <w:color w:val="auto"/>
                <w:sz w:val="24"/>
              </w:rPr>
              <w:t xml:space="preserve">  </w:t>
            </w:r>
            <w:r>
              <w:rPr>
                <w:rFonts w:hint="eastAsia" w:ascii="Times New Roman" w:hAnsi="Times New Roman" w:eastAsia="宋体"/>
                <w:b/>
                <w:color w:val="auto"/>
                <w:sz w:val="24"/>
              </w:rPr>
              <w:t>施工期</w:t>
            </w:r>
            <w:r>
              <w:rPr>
                <w:rFonts w:ascii="Times New Roman" w:hAnsi="Times New Roman" w:eastAsia="宋体"/>
                <w:b/>
                <w:color w:val="auto"/>
                <w:sz w:val="24"/>
              </w:rPr>
              <w:t>大气污染物排放标准</w:t>
            </w:r>
          </w:p>
          <w:tbl>
            <w:tblPr>
              <w:tblStyle w:val="25"/>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92"/>
              <w:gridCol w:w="1641"/>
              <w:gridCol w:w="1612"/>
              <w:gridCol w:w="1612"/>
              <w:gridCol w:w="2197"/>
            </w:tblGrid>
            <w:tr w14:paraId="3899BB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16" w:type="pct"/>
                  <w:noWrap w:val="0"/>
                  <w:vAlign w:val="center"/>
                </w:tcPr>
                <w:p w14:paraId="2DCC097E">
                  <w:pPr>
                    <w:adjustRightInd w:val="0"/>
                    <w:snapToGrid w:val="0"/>
                    <w:ind w:left="-105" w:leftChars="-50" w:right="-105" w:rightChars="-50"/>
                    <w:jc w:val="center"/>
                    <w:rPr>
                      <w:b/>
                      <w:bCs/>
                      <w:color w:val="auto"/>
                      <w:szCs w:val="21"/>
                    </w:rPr>
                  </w:pPr>
                  <w:r>
                    <w:rPr>
                      <w:b/>
                      <w:bCs/>
                      <w:color w:val="auto"/>
                      <w:szCs w:val="21"/>
                    </w:rPr>
                    <w:t>污染物</w:t>
                  </w:r>
                </w:p>
              </w:tc>
              <w:tc>
                <w:tcPr>
                  <w:tcW w:w="1018" w:type="pct"/>
                  <w:noWrap w:val="0"/>
                  <w:vAlign w:val="center"/>
                </w:tcPr>
                <w:p w14:paraId="705DD934">
                  <w:pPr>
                    <w:adjustRightInd w:val="0"/>
                    <w:snapToGrid w:val="0"/>
                    <w:jc w:val="center"/>
                    <w:rPr>
                      <w:b/>
                      <w:bCs/>
                      <w:color w:val="auto"/>
                      <w:szCs w:val="21"/>
                    </w:rPr>
                  </w:pPr>
                  <w:r>
                    <w:rPr>
                      <w:b/>
                      <w:bCs/>
                      <w:color w:val="auto"/>
                      <w:szCs w:val="21"/>
                    </w:rPr>
                    <w:t>最高允许排放浓度（mg/m</w:t>
                  </w:r>
                  <w:r>
                    <w:rPr>
                      <w:b/>
                      <w:bCs/>
                      <w:color w:val="auto"/>
                      <w:szCs w:val="21"/>
                      <w:vertAlign w:val="superscript"/>
                    </w:rPr>
                    <w:t>3</w:t>
                  </w:r>
                  <w:r>
                    <w:rPr>
                      <w:b/>
                      <w:bCs/>
                      <w:color w:val="auto"/>
                      <w:szCs w:val="21"/>
                    </w:rPr>
                    <w:t>）</w:t>
                  </w:r>
                </w:p>
              </w:tc>
              <w:tc>
                <w:tcPr>
                  <w:tcW w:w="1000" w:type="pct"/>
                  <w:noWrap w:val="0"/>
                  <w:vAlign w:val="center"/>
                </w:tcPr>
                <w:p w14:paraId="1AF515D4">
                  <w:pPr>
                    <w:adjustRightInd w:val="0"/>
                    <w:snapToGrid w:val="0"/>
                    <w:jc w:val="center"/>
                    <w:rPr>
                      <w:b/>
                      <w:bCs/>
                      <w:color w:val="auto"/>
                      <w:szCs w:val="21"/>
                    </w:rPr>
                  </w:pPr>
                  <w:r>
                    <w:rPr>
                      <w:rFonts w:hint="eastAsia"/>
                      <w:b/>
                      <w:bCs/>
                      <w:color w:val="auto"/>
                      <w:szCs w:val="21"/>
                    </w:rPr>
                    <w:t>施工阶段</w:t>
                  </w:r>
                </w:p>
              </w:tc>
              <w:tc>
                <w:tcPr>
                  <w:tcW w:w="1000" w:type="pct"/>
                  <w:noWrap w:val="0"/>
                  <w:vAlign w:val="center"/>
                </w:tcPr>
                <w:p w14:paraId="670616FB">
                  <w:pPr>
                    <w:adjustRightInd w:val="0"/>
                    <w:snapToGrid w:val="0"/>
                    <w:jc w:val="center"/>
                    <w:rPr>
                      <w:b/>
                      <w:bCs/>
                      <w:color w:val="auto"/>
                      <w:szCs w:val="21"/>
                    </w:rPr>
                  </w:pPr>
                  <w:r>
                    <w:rPr>
                      <w:b/>
                      <w:bCs/>
                      <w:color w:val="auto"/>
                      <w:szCs w:val="21"/>
                    </w:rPr>
                    <w:t>监控点</w:t>
                  </w:r>
                </w:p>
              </w:tc>
              <w:tc>
                <w:tcPr>
                  <w:tcW w:w="1363" w:type="pct"/>
                  <w:noWrap w:val="0"/>
                  <w:vAlign w:val="center"/>
                </w:tcPr>
                <w:p w14:paraId="0378ED4A">
                  <w:pPr>
                    <w:adjustRightInd w:val="0"/>
                    <w:snapToGrid w:val="0"/>
                    <w:jc w:val="center"/>
                    <w:rPr>
                      <w:b/>
                      <w:bCs/>
                      <w:color w:val="auto"/>
                      <w:szCs w:val="21"/>
                    </w:rPr>
                  </w:pPr>
                  <w:r>
                    <w:rPr>
                      <w:b/>
                      <w:bCs/>
                      <w:color w:val="auto"/>
                      <w:szCs w:val="21"/>
                    </w:rPr>
                    <w:t>标准名称</w:t>
                  </w:r>
                </w:p>
              </w:tc>
            </w:tr>
            <w:tr w14:paraId="71D7B2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616" w:type="pct"/>
                  <w:noWrap w:val="0"/>
                  <w:vAlign w:val="center"/>
                </w:tcPr>
                <w:p w14:paraId="16132D3A">
                  <w:pPr>
                    <w:adjustRightInd w:val="0"/>
                    <w:snapToGrid w:val="0"/>
                    <w:ind w:left="-105" w:leftChars="-50" w:right="-105" w:rightChars="-50"/>
                    <w:jc w:val="center"/>
                    <w:rPr>
                      <w:color w:val="auto"/>
                      <w:szCs w:val="21"/>
                    </w:rPr>
                  </w:pPr>
                  <w:r>
                    <w:rPr>
                      <w:rFonts w:hint="eastAsia"/>
                      <w:color w:val="auto"/>
                      <w:szCs w:val="21"/>
                    </w:rPr>
                    <w:t>施工扬尘</w:t>
                  </w:r>
                </w:p>
              </w:tc>
              <w:tc>
                <w:tcPr>
                  <w:tcW w:w="1018" w:type="pct"/>
                  <w:noWrap w:val="0"/>
                  <w:vAlign w:val="center"/>
                </w:tcPr>
                <w:p w14:paraId="30C93B82">
                  <w:pPr>
                    <w:adjustRightInd w:val="0"/>
                    <w:snapToGrid w:val="0"/>
                    <w:jc w:val="center"/>
                    <w:rPr>
                      <w:color w:val="auto"/>
                      <w:szCs w:val="21"/>
                    </w:rPr>
                  </w:pPr>
                  <w:r>
                    <w:rPr>
                      <w:rFonts w:hint="eastAsia"/>
                      <w:color w:val="auto"/>
                      <w:szCs w:val="21"/>
                    </w:rPr>
                    <w:t>小时平均浓度限值≤0.7</w:t>
                  </w:r>
                </w:p>
              </w:tc>
              <w:tc>
                <w:tcPr>
                  <w:tcW w:w="1000" w:type="pct"/>
                  <w:noWrap w:val="0"/>
                  <w:vAlign w:val="center"/>
                </w:tcPr>
                <w:p w14:paraId="1BAF392B">
                  <w:pPr>
                    <w:adjustRightInd w:val="0"/>
                    <w:snapToGrid w:val="0"/>
                    <w:jc w:val="center"/>
                    <w:rPr>
                      <w:color w:val="auto"/>
                      <w:szCs w:val="21"/>
                    </w:rPr>
                  </w:pPr>
                  <w:r>
                    <w:rPr>
                      <w:rFonts w:hint="eastAsia"/>
                      <w:color w:val="auto"/>
                      <w:szCs w:val="21"/>
                    </w:rPr>
                    <w:t>基础、主体结构及装饰工程</w:t>
                  </w:r>
                </w:p>
              </w:tc>
              <w:tc>
                <w:tcPr>
                  <w:tcW w:w="1000" w:type="pct"/>
                  <w:noWrap w:val="0"/>
                  <w:vAlign w:val="center"/>
                </w:tcPr>
                <w:p w14:paraId="72F3DA6E">
                  <w:pPr>
                    <w:adjustRightInd w:val="0"/>
                    <w:snapToGrid w:val="0"/>
                    <w:jc w:val="center"/>
                    <w:rPr>
                      <w:color w:val="auto"/>
                      <w:szCs w:val="21"/>
                    </w:rPr>
                  </w:pPr>
                  <w:r>
                    <w:rPr>
                      <w:rFonts w:hint="eastAsia"/>
                      <w:color w:val="auto"/>
                      <w:szCs w:val="21"/>
                    </w:rPr>
                    <w:t>下风向周界外10m范围内</w:t>
                  </w:r>
                </w:p>
              </w:tc>
              <w:tc>
                <w:tcPr>
                  <w:tcW w:w="1363" w:type="pct"/>
                  <w:noWrap w:val="0"/>
                  <w:vAlign w:val="center"/>
                </w:tcPr>
                <w:p w14:paraId="24E85301">
                  <w:pPr>
                    <w:adjustRightInd w:val="0"/>
                    <w:snapToGrid w:val="0"/>
                    <w:jc w:val="center"/>
                    <w:rPr>
                      <w:color w:val="auto"/>
                      <w:szCs w:val="21"/>
                    </w:rPr>
                  </w:pPr>
                  <w:r>
                    <w:rPr>
                      <w:color w:val="auto"/>
                      <w:szCs w:val="21"/>
                    </w:rPr>
                    <w:t>《施工场界扬尘排放限值》（DB61/1078-2017）</w:t>
                  </w:r>
                </w:p>
              </w:tc>
            </w:tr>
          </w:tbl>
          <w:p w14:paraId="32086C8D">
            <w:pPr>
              <w:pStyle w:val="63"/>
              <w:keepNext w:val="0"/>
              <w:keepLines w:val="0"/>
              <w:pageBreakBefore w:val="0"/>
              <w:widowControl w:val="0"/>
              <w:kinsoku/>
              <w:wordWrap/>
              <w:overflowPunct/>
              <w:topLinePunct w:val="0"/>
              <w:autoSpaceDE/>
              <w:autoSpaceDN/>
              <w:bidi w:val="0"/>
              <w:adjustRightInd/>
              <w:snapToGrid/>
              <w:spacing w:before="157" w:beforeLines="50" w:line="240" w:lineRule="auto"/>
              <w:ind w:firstLine="0" w:firstLineChars="0"/>
              <w:jc w:val="center"/>
              <w:textAlignment w:val="auto"/>
              <w:rPr>
                <w:rFonts w:hint="eastAsia" w:hAnsi="Times New Roman" w:cs="Times New Roman"/>
                <w:b/>
                <w:bCs/>
                <w:color w:val="auto"/>
                <w:kern w:val="21"/>
                <w:szCs w:val="24"/>
              </w:rPr>
            </w:pPr>
            <w:r>
              <w:rPr>
                <w:rFonts w:hint="eastAsia" w:hAnsi="Times New Roman" w:cs="Times New Roman"/>
                <w:b/>
                <w:bCs/>
                <w:color w:val="auto"/>
                <w:kern w:val="21"/>
                <w:szCs w:val="24"/>
              </w:rPr>
              <w:t>表3-</w:t>
            </w:r>
            <w:r>
              <w:rPr>
                <w:rFonts w:hint="eastAsia" w:hAnsi="Times New Roman" w:cs="Times New Roman"/>
                <w:b/>
                <w:bCs/>
                <w:color w:val="auto"/>
                <w:kern w:val="21"/>
                <w:szCs w:val="24"/>
                <w:lang w:val="en-US" w:eastAsia="zh-CN"/>
              </w:rPr>
              <w:t>4</w:t>
            </w:r>
            <w:r>
              <w:rPr>
                <w:rFonts w:hint="eastAsia" w:hAnsi="Times New Roman" w:cs="Times New Roman"/>
                <w:b/>
                <w:bCs/>
                <w:color w:val="auto"/>
                <w:kern w:val="21"/>
                <w:szCs w:val="24"/>
              </w:rPr>
              <w:t xml:space="preserve">  </w:t>
            </w:r>
            <w:r>
              <w:rPr>
                <w:b/>
                <w:color w:val="auto"/>
                <w:szCs w:val="21"/>
              </w:rPr>
              <w:t>运营期</w:t>
            </w:r>
            <w:r>
              <w:rPr>
                <w:rFonts w:hint="eastAsia" w:hAnsi="Times New Roman" w:cs="Times New Roman"/>
                <w:b/>
                <w:bCs/>
                <w:color w:val="auto"/>
                <w:kern w:val="21"/>
                <w:szCs w:val="24"/>
              </w:rPr>
              <w:t>大气污染物排放标准</w:t>
            </w:r>
          </w:p>
          <w:tbl>
            <w:tblPr>
              <w:tblStyle w:val="25"/>
              <w:tblW w:w="805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65"/>
              <w:gridCol w:w="1173"/>
              <w:gridCol w:w="1256"/>
              <w:gridCol w:w="1238"/>
              <w:gridCol w:w="1409"/>
              <w:gridCol w:w="2413"/>
            </w:tblGrid>
            <w:tr w14:paraId="013C56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350" w:type="pct"/>
                  <w:noWrap w:val="0"/>
                  <w:vAlign w:val="center"/>
                </w:tcPr>
                <w:p w14:paraId="63D70A7A">
                  <w:pPr>
                    <w:adjustRightInd w:val="0"/>
                    <w:snapToGrid w:val="0"/>
                    <w:ind w:left="-105" w:leftChars="-50" w:right="-105" w:rightChars="-50"/>
                    <w:jc w:val="center"/>
                    <w:rPr>
                      <w:rFonts w:hint="eastAsia"/>
                      <w:b/>
                      <w:bCs/>
                      <w:color w:val="auto"/>
                      <w:szCs w:val="21"/>
                      <w:highlight w:val="none"/>
                    </w:rPr>
                  </w:pPr>
                  <w:r>
                    <w:rPr>
                      <w:rFonts w:hint="eastAsia"/>
                      <w:b/>
                      <w:bCs/>
                      <w:color w:val="auto"/>
                      <w:szCs w:val="21"/>
                      <w:highlight w:val="none"/>
                    </w:rPr>
                    <w:t>类别</w:t>
                  </w:r>
                </w:p>
              </w:tc>
              <w:tc>
                <w:tcPr>
                  <w:tcW w:w="728" w:type="pct"/>
                  <w:noWrap w:val="0"/>
                  <w:vAlign w:val="center"/>
                </w:tcPr>
                <w:p w14:paraId="5BC0D256">
                  <w:pPr>
                    <w:adjustRightInd w:val="0"/>
                    <w:snapToGrid w:val="0"/>
                    <w:ind w:left="-105" w:leftChars="-50" w:right="-105" w:rightChars="-50"/>
                    <w:jc w:val="center"/>
                    <w:rPr>
                      <w:b/>
                      <w:bCs/>
                      <w:color w:val="auto"/>
                      <w:szCs w:val="21"/>
                      <w:highlight w:val="none"/>
                    </w:rPr>
                  </w:pPr>
                  <w:r>
                    <w:rPr>
                      <w:b/>
                      <w:bCs/>
                      <w:color w:val="auto"/>
                      <w:szCs w:val="21"/>
                      <w:highlight w:val="none"/>
                    </w:rPr>
                    <w:t>污染物</w:t>
                  </w:r>
                </w:p>
              </w:tc>
              <w:tc>
                <w:tcPr>
                  <w:tcW w:w="779" w:type="pct"/>
                  <w:noWrap w:val="0"/>
                  <w:vAlign w:val="center"/>
                </w:tcPr>
                <w:p w14:paraId="7F32A733">
                  <w:pPr>
                    <w:adjustRightInd w:val="0"/>
                    <w:snapToGrid w:val="0"/>
                    <w:jc w:val="center"/>
                    <w:rPr>
                      <w:b/>
                      <w:bCs/>
                      <w:color w:val="auto"/>
                      <w:szCs w:val="21"/>
                      <w:highlight w:val="none"/>
                    </w:rPr>
                  </w:pPr>
                  <w:r>
                    <w:rPr>
                      <w:b/>
                      <w:bCs/>
                      <w:color w:val="auto"/>
                      <w:szCs w:val="21"/>
                      <w:highlight w:val="none"/>
                    </w:rPr>
                    <w:t>最高允许排放浓度（mg/m</w:t>
                  </w:r>
                  <w:r>
                    <w:rPr>
                      <w:b/>
                      <w:bCs/>
                      <w:color w:val="auto"/>
                      <w:szCs w:val="21"/>
                      <w:highlight w:val="none"/>
                      <w:vertAlign w:val="superscript"/>
                    </w:rPr>
                    <w:t>3</w:t>
                  </w:r>
                  <w:r>
                    <w:rPr>
                      <w:b/>
                      <w:bCs/>
                      <w:color w:val="auto"/>
                      <w:szCs w:val="21"/>
                      <w:highlight w:val="none"/>
                    </w:rPr>
                    <w:t>）</w:t>
                  </w:r>
                </w:p>
              </w:tc>
              <w:tc>
                <w:tcPr>
                  <w:tcW w:w="768" w:type="pct"/>
                  <w:noWrap w:val="0"/>
                  <w:vAlign w:val="center"/>
                </w:tcPr>
                <w:p w14:paraId="78943DBC">
                  <w:pPr>
                    <w:adjustRightInd w:val="0"/>
                    <w:snapToGrid w:val="0"/>
                    <w:jc w:val="center"/>
                    <w:rPr>
                      <w:b/>
                      <w:bCs/>
                      <w:color w:val="auto"/>
                      <w:szCs w:val="21"/>
                      <w:highlight w:val="none"/>
                    </w:rPr>
                  </w:pPr>
                  <w:r>
                    <w:rPr>
                      <w:rFonts w:hint="eastAsia"/>
                      <w:b/>
                      <w:bCs/>
                      <w:color w:val="auto"/>
                      <w:szCs w:val="21"/>
                      <w:highlight w:val="none"/>
                      <w:lang w:val="en-US" w:eastAsia="zh-CN"/>
                    </w:rPr>
                    <w:t>最高允许</w:t>
                  </w:r>
                  <w:r>
                    <w:rPr>
                      <w:rFonts w:hint="eastAsia"/>
                      <w:b/>
                      <w:bCs/>
                      <w:color w:val="auto"/>
                      <w:szCs w:val="21"/>
                      <w:highlight w:val="none"/>
                    </w:rPr>
                    <w:t>排放速率（kg/h）</w:t>
                  </w:r>
                </w:p>
              </w:tc>
              <w:tc>
                <w:tcPr>
                  <w:tcW w:w="874" w:type="pct"/>
                  <w:noWrap w:val="0"/>
                  <w:vAlign w:val="center"/>
                </w:tcPr>
                <w:p w14:paraId="67665F9D">
                  <w:pPr>
                    <w:adjustRightInd w:val="0"/>
                    <w:snapToGrid w:val="0"/>
                    <w:jc w:val="center"/>
                    <w:rPr>
                      <w:b/>
                      <w:bCs/>
                      <w:color w:val="auto"/>
                      <w:szCs w:val="21"/>
                      <w:highlight w:val="none"/>
                    </w:rPr>
                  </w:pPr>
                  <w:r>
                    <w:rPr>
                      <w:b/>
                      <w:bCs/>
                      <w:color w:val="auto"/>
                      <w:szCs w:val="21"/>
                      <w:highlight w:val="none"/>
                    </w:rPr>
                    <w:t>监控点</w:t>
                  </w:r>
                </w:p>
              </w:tc>
              <w:tc>
                <w:tcPr>
                  <w:tcW w:w="1498" w:type="pct"/>
                  <w:noWrap w:val="0"/>
                  <w:vAlign w:val="center"/>
                </w:tcPr>
                <w:p w14:paraId="6FA88FBB">
                  <w:pPr>
                    <w:adjustRightInd w:val="0"/>
                    <w:snapToGrid w:val="0"/>
                    <w:jc w:val="center"/>
                    <w:rPr>
                      <w:b/>
                      <w:bCs/>
                      <w:color w:val="auto"/>
                      <w:szCs w:val="21"/>
                      <w:highlight w:val="none"/>
                    </w:rPr>
                  </w:pPr>
                  <w:r>
                    <w:rPr>
                      <w:b/>
                      <w:bCs/>
                      <w:color w:val="auto"/>
                      <w:szCs w:val="21"/>
                      <w:highlight w:val="none"/>
                    </w:rPr>
                    <w:t>标准名称</w:t>
                  </w:r>
                </w:p>
              </w:tc>
            </w:tr>
            <w:tr w14:paraId="3443D7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350" w:type="pct"/>
                  <w:vMerge w:val="restart"/>
                  <w:noWrap w:val="0"/>
                  <w:vAlign w:val="center"/>
                </w:tcPr>
                <w:p w14:paraId="43170961">
                  <w:pPr>
                    <w:adjustRightInd w:val="0"/>
                    <w:snapToGrid w:val="0"/>
                    <w:ind w:left="-105" w:leftChars="-50" w:right="-105" w:rightChars="-50"/>
                    <w:jc w:val="center"/>
                    <w:rPr>
                      <w:color w:val="auto"/>
                      <w:szCs w:val="21"/>
                      <w:highlight w:val="none"/>
                    </w:rPr>
                  </w:pPr>
                  <w:r>
                    <w:rPr>
                      <w:rFonts w:hint="eastAsia"/>
                      <w:color w:val="auto"/>
                      <w:szCs w:val="21"/>
                      <w:highlight w:val="none"/>
                    </w:rPr>
                    <w:t>有组织</w:t>
                  </w:r>
                </w:p>
              </w:tc>
              <w:tc>
                <w:tcPr>
                  <w:tcW w:w="728" w:type="pct"/>
                  <w:noWrap w:val="0"/>
                  <w:vAlign w:val="center"/>
                </w:tcPr>
                <w:p w14:paraId="3FA2839C">
                  <w:pPr>
                    <w:adjustRightInd w:val="0"/>
                    <w:snapToGrid w:val="0"/>
                    <w:ind w:left="-105" w:leftChars="-50" w:right="-105" w:rightChars="-50"/>
                    <w:jc w:val="center"/>
                    <w:rPr>
                      <w:color w:val="auto"/>
                      <w:szCs w:val="21"/>
                      <w:highlight w:val="none"/>
                    </w:rPr>
                  </w:pPr>
                  <w:r>
                    <w:rPr>
                      <w:rFonts w:hint="eastAsia"/>
                      <w:color w:val="auto"/>
                      <w:szCs w:val="21"/>
                      <w:highlight w:val="none"/>
                    </w:rPr>
                    <w:t>颗粒物</w:t>
                  </w:r>
                </w:p>
              </w:tc>
              <w:tc>
                <w:tcPr>
                  <w:tcW w:w="779" w:type="pct"/>
                  <w:noWrap w:val="0"/>
                  <w:vAlign w:val="center"/>
                </w:tcPr>
                <w:p w14:paraId="624B977A">
                  <w:pPr>
                    <w:adjustRightInd w:val="0"/>
                    <w:snapToGrid w:val="0"/>
                    <w:jc w:val="center"/>
                    <w:rPr>
                      <w:color w:val="auto"/>
                      <w:szCs w:val="21"/>
                      <w:highlight w:val="none"/>
                    </w:rPr>
                  </w:pPr>
                  <w:r>
                    <w:rPr>
                      <w:rFonts w:hint="eastAsia"/>
                      <w:color w:val="auto"/>
                      <w:szCs w:val="21"/>
                      <w:highlight w:val="none"/>
                    </w:rPr>
                    <w:t>120</w:t>
                  </w:r>
                </w:p>
              </w:tc>
              <w:tc>
                <w:tcPr>
                  <w:tcW w:w="768" w:type="pct"/>
                  <w:noWrap w:val="0"/>
                  <w:vAlign w:val="center"/>
                </w:tcPr>
                <w:p w14:paraId="053C1E52">
                  <w:pPr>
                    <w:adjustRightInd w:val="0"/>
                    <w:snapToGrid w:val="0"/>
                    <w:jc w:val="center"/>
                    <w:rPr>
                      <w:rFonts w:hint="default" w:eastAsia="宋体"/>
                      <w:color w:val="auto"/>
                      <w:szCs w:val="21"/>
                      <w:highlight w:val="none"/>
                      <w:lang w:val="en-US" w:eastAsia="zh-CN"/>
                    </w:rPr>
                  </w:pPr>
                  <w:r>
                    <w:rPr>
                      <w:rFonts w:hint="eastAsia"/>
                      <w:color w:val="auto"/>
                      <w:szCs w:val="21"/>
                      <w:highlight w:val="none"/>
                      <w:lang w:val="en-US" w:eastAsia="zh-CN"/>
                    </w:rPr>
                    <w:t>3.98（16m）</w:t>
                  </w:r>
                </w:p>
              </w:tc>
              <w:tc>
                <w:tcPr>
                  <w:tcW w:w="874" w:type="pct"/>
                  <w:noWrap w:val="0"/>
                  <w:vAlign w:val="center"/>
                </w:tcPr>
                <w:p w14:paraId="1FC8928C">
                  <w:pPr>
                    <w:adjustRightInd w:val="0"/>
                    <w:snapToGrid w:val="0"/>
                    <w:jc w:val="center"/>
                    <w:rPr>
                      <w:color w:val="auto"/>
                      <w:szCs w:val="21"/>
                      <w:highlight w:val="none"/>
                    </w:rPr>
                  </w:pPr>
                  <w:r>
                    <w:rPr>
                      <w:color w:val="auto"/>
                      <w:szCs w:val="21"/>
                      <w:highlight w:val="none"/>
                    </w:rPr>
                    <w:t>排气筒</w:t>
                  </w:r>
                </w:p>
              </w:tc>
              <w:tc>
                <w:tcPr>
                  <w:tcW w:w="1498" w:type="pct"/>
                  <w:noWrap w:val="0"/>
                  <w:vAlign w:val="center"/>
                </w:tcPr>
                <w:p w14:paraId="73C96D46">
                  <w:pPr>
                    <w:adjustRightInd w:val="0"/>
                    <w:snapToGrid w:val="0"/>
                    <w:jc w:val="center"/>
                    <w:rPr>
                      <w:color w:val="auto"/>
                      <w:szCs w:val="21"/>
                      <w:highlight w:val="none"/>
                    </w:rPr>
                  </w:pPr>
                  <w:r>
                    <w:rPr>
                      <w:color w:val="auto"/>
                      <w:szCs w:val="21"/>
                      <w:highlight w:val="none"/>
                    </w:rPr>
                    <w:t>《大气污染物综合排放标准》（GB16297-1996）</w:t>
                  </w:r>
                  <w:r>
                    <w:rPr>
                      <w:rFonts w:hint="eastAsia"/>
                      <w:color w:val="auto"/>
                      <w:szCs w:val="21"/>
                      <w:highlight w:val="none"/>
                    </w:rPr>
                    <w:t>二级标准</w:t>
                  </w:r>
                </w:p>
              </w:tc>
            </w:tr>
            <w:tr w14:paraId="54EDEE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0" w:type="pct"/>
                  <w:vMerge w:val="continue"/>
                  <w:noWrap w:val="0"/>
                  <w:vAlign w:val="center"/>
                </w:tcPr>
                <w:p w14:paraId="44F38179">
                  <w:pPr>
                    <w:adjustRightInd w:val="0"/>
                    <w:snapToGrid w:val="0"/>
                    <w:ind w:left="-105" w:leftChars="-50" w:right="-105" w:rightChars="-50"/>
                    <w:jc w:val="center"/>
                    <w:rPr>
                      <w:color w:val="auto"/>
                      <w:szCs w:val="21"/>
                      <w:highlight w:val="none"/>
                    </w:rPr>
                  </w:pPr>
                </w:p>
              </w:tc>
              <w:tc>
                <w:tcPr>
                  <w:tcW w:w="728" w:type="pct"/>
                  <w:noWrap w:val="0"/>
                  <w:vAlign w:val="center"/>
                </w:tcPr>
                <w:p w14:paraId="4BCC05A8">
                  <w:pPr>
                    <w:adjustRightInd w:val="0"/>
                    <w:snapToGrid w:val="0"/>
                    <w:ind w:left="-105" w:leftChars="-50" w:right="-105" w:rightChars="-50"/>
                    <w:jc w:val="center"/>
                    <w:rPr>
                      <w:color w:val="auto"/>
                      <w:szCs w:val="21"/>
                      <w:highlight w:val="none"/>
                    </w:rPr>
                  </w:pPr>
                  <w:r>
                    <w:rPr>
                      <w:color w:val="auto"/>
                      <w:szCs w:val="21"/>
                      <w:highlight w:val="none"/>
                    </w:rPr>
                    <w:t>非甲烷总烃</w:t>
                  </w:r>
                </w:p>
              </w:tc>
              <w:tc>
                <w:tcPr>
                  <w:tcW w:w="779" w:type="pct"/>
                  <w:noWrap w:val="0"/>
                  <w:vAlign w:val="center"/>
                </w:tcPr>
                <w:p w14:paraId="688BCAE6">
                  <w:pPr>
                    <w:adjustRightInd w:val="0"/>
                    <w:snapToGrid w:val="0"/>
                    <w:jc w:val="center"/>
                    <w:rPr>
                      <w:rFonts w:hint="default" w:eastAsia="宋体"/>
                      <w:color w:val="auto"/>
                      <w:szCs w:val="21"/>
                      <w:highlight w:val="none"/>
                      <w:lang w:val="en-US" w:eastAsia="zh-CN"/>
                    </w:rPr>
                  </w:pPr>
                  <w:r>
                    <w:rPr>
                      <w:rFonts w:hint="eastAsia"/>
                      <w:color w:val="auto"/>
                      <w:szCs w:val="21"/>
                      <w:highlight w:val="none"/>
                      <w:lang w:val="en-US" w:eastAsia="zh-CN"/>
                    </w:rPr>
                    <w:t>50</w:t>
                  </w:r>
                </w:p>
              </w:tc>
              <w:tc>
                <w:tcPr>
                  <w:tcW w:w="768" w:type="pct"/>
                  <w:noWrap w:val="0"/>
                  <w:vAlign w:val="center"/>
                </w:tcPr>
                <w:p w14:paraId="3281FDC4">
                  <w:pPr>
                    <w:adjustRightInd w:val="0"/>
                    <w:snapToGrid w:val="0"/>
                    <w:jc w:val="center"/>
                    <w:rPr>
                      <w:color w:val="auto"/>
                      <w:szCs w:val="21"/>
                      <w:highlight w:val="none"/>
                    </w:rPr>
                  </w:pPr>
                  <w:r>
                    <w:rPr>
                      <w:rFonts w:hint="eastAsia"/>
                      <w:color w:val="auto"/>
                      <w:szCs w:val="21"/>
                      <w:highlight w:val="none"/>
                    </w:rPr>
                    <w:t>/</w:t>
                  </w:r>
                </w:p>
              </w:tc>
              <w:tc>
                <w:tcPr>
                  <w:tcW w:w="874" w:type="pct"/>
                  <w:vMerge w:val="restart"/>
                  <w:noWrap w:val="0"/>
                  <w:vAlign w:val="center"/>
                </w:tcPr>
                <w:p w14:paraId="2EB737DB">
                  <w:pPr>
                    <w:adjustRightInd w:val="0"/>
                    <w:snapToGrid w:val="0"/>
                    <w:jc w:val="center"/>
                    <w:rPr>
                      <w:color w:val="auto"/>
                      <w:szCs w:val="21"/>
                      <w:highlight w:val="none"/>
                    </w:rPr>
                  </w:pPr>
                  <w:r>
                    <w:rPr>
                      <w:color w:val="auto"/>
                      <w:szCs w:val="21"/>
                      <w:highlight w:val="none"/>
                    </w:rPr>
                    <w:t>车间或生产设施排气筒</w:t>
                  </w:r>
                </w:p>
              </w:tc>
              <w:tc>
                <w:tcPr>
                  <w:tcW w:w="1498" w:type="pct"/>
                  <w:vMerge w:val="restart"/>
                  <w:noWrap w:val="0"/>
                  <w:vAlign w:val="center"/>
                </w:tcPr>
                <w:p w14:paraId="5F782AC7">
                  <w:pPr>
                    <w:adjustRightInd w:val="0"/>
                    <w:snapToGrid w:val="0"/>
                    <w:jc w:val="center"/>
                    <w:rPr>
                      <w:color w:val="auto"/>
                      <w:szCs w:val="21"/>
                      <w:highlight w:val="none"/>
                    </w:rPr>
                  </w:pPr>
                  <w:r>
                    <w:rPr>
                      <w:color w:val="auto"/>
                      <w:szCs w:val="21"/>
                      <w:highlight w:val="none"/>
                    </w:rPr>
                    <w:t>《挥发性有机物排放控制标准》</w:t>
                  </w:r>
                </w:p>
                <w:p w14:paraId="57249D18">
                  <w:pPr>
                    <w:adjustRightInd w:val="0"/>
                    <w:snapToGrid w:val="0"/>
                    <w:jc w:val="center"/>
                    <w:rPr>
                      <w:color w:val="auto"/>
                      <w:szCs w:val="21"/>
                      <w:highlight w:val="none"/>
                    </w:rPr>
                  </w:pPr>
                  <w:r>
                    <w:rPr>
                      <w:rFonts w:hint="eastAsia"/>
                      <w:color w:val="auto"/>
                      <w:szCs w:val="21"/>
                      <w:highlight w:val="none"/>
                      <w:lang w:eastAsia="zh-CN"/>
                    </w:rPr>
                    <w:t>（</w:t>
                  </w:r>
                  <w:r>
                    <w:rPr>
                      <w:color w:val="auto"/>
                      <w:szCs w:val="21"/>
                      <w:highlight w:val="none"/>
                    </w:rPr>
                    <w:t>DB 61/T 1061-2017</w:t>
                  </w:r>
                  <w:r>
                    <w:rPr>
                      <w:rFonts w:hint="eastAsia"/>
                      <w:color w:val="auto"/>
                      <w:szCs w:val="21"/>
                      <w:highlight w:val="none"/>
                      <w:lang w:eastAsia="zh-CN"/>
                    </w:rPr>
                    <w:t>）</w:t>
                  </w:r>
                </w:p>
              </w:tc>
            </w:tr>
            <w:tr w14:paraId="02539F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0" w:type="pct"/>
                  <w:vMerge w:val="continue"/>
                  <w:noWrap w:val="0"/>
                  <w:vAlign w:val="center"/>
                </w:tcPr>
                <w:p w14:paraId="1B984647">
                  <w:pPr>
                    <w:adjustRightInd w:val="0"/>
                    <w:snapToGrid w:val="0"/>
                    <w:ind w:left="-105" w:leftChars="-50" w:right="-105" w:rightChars="-50"/>
                    <w:jc w:val="center"/>
                    <w:rPr>
                      <w:rFonts w:hint="eastAsia"/>
                      <w:color w:val="auto"/>
                      <w:szCs w:val="21"/>
                      <w:highlight w:val="none"/>
                    </w:rPr>
                  </w:pPr>
                </w:p>
              </w:tc>
              <w:tc>
                <w:tcPr>
                  <w:tcW w:w="728" w:type="pct"/>
                  <w:noWrap w:val="0"/>
                  <w:vAlign w:val="center"/>
                </w:tcPr>
                <w:p w14:paraId="7DBA27FD">
                  <w:pPr>
                    <w:adjustRightInd w:val="0"/>
                    <w:snapToGrid w:val="0"/>
                    <w:ind w:left="-105" w:leftChars="-50" w:right="-105" w:rightChars="-50"/>
                    <w:jc w:val="center"/>
                    <w:rPr>
                      <w:color w:val="auto"/>
                      <w:szCs w:val="21"/>
                      <w:highlight w:val="none"/>
                    </w:rPr>
                  </w:pPr>
                  <w:r>
                    <w:rPr>
                      <w:rFonts w:hint="eastAsia"/>
                      <w:color w:val="auto"/>
                      <w:szCs w:val="21"/>
                      <w:highlight w:val="none"/>
                    </w:rPr>
                    <w:t>甲苯</w:t>
                  </w:r>
                </w:p>
              </w:tc>
              <w:tc>
                <w:tcPr>
                  <w:tcW w:w="779" w:type="pct"/>
                  <w:noWrap w:val="0"/>
                  <w:vAlign w:val="center"/>
                </w:tcPr>
                <w:p w14:paraId="32AB50EE">
                  <w:pPr>
                    <w:adjustRightInd w:val="0"/>
                    <w:snapToGrid w:val="0"/>
                    <w:jc w:val="center"/>
                    <w:rPr>
                      <w:rFonts w:hint="eastAsia" w:eastAsia="宋体"/>
                      <w:color w:val="auto"/>
                      <w:szCs w:val="21"/>
                      <w:highlight w:val="none"/>
                      <w:lang w:val="en-US" w:eastAsia="zh-CN"/>
                    </w:rPr>
                  </w:pPr>
                  <w:r>
                    <w:rPr>
                      <w:rFonts w:hint="eastAsia"/>
                      <w:color w:val="auto"/>
                      <w:szCs w:val="21"/>
                      <w:highlight w:val="none"/>
                      <w:lang w:val="en-US" w:eastAsia="zh-CN"/>
                    </w:rPr>
                    <w:t>5</w:t>
                  </w:r>
                </w:p>
              </w:tc>
              <w:tc>
                <w:tcPr>
                  <w:tcW w:w="768" w:type="pct"/>
                  <w:noWrap w:val="0"/>
                  <w:vAlign w:val="center"/>
                </w:tcPr>
                <w:p w14:paraId="792F3160">
                  <w:pPr>
                    <w:adjustRightInd w:val="0"/>
                    <w:snapToGrid w:val="0"/>
                    <w:jc w:val="center"/>
                    <w:rPr>
                      <w:color w:val="auto"/>
                      <w:szCs w:val="21"/>
                      <w:highlight w:val="none"/>
                    </w:rPr>
                  </w:pPr>
                  <w:r>
                    <w:rPr>
                      <w:rFonts w:hint="eastAsia"/>
                      <w:color w:val="auto"/>
                      <w:szCs w:val="21"/>
                      <w:highlight w:val="none"/>
                    </w:rPr>
                    <w:t>/</w:t>
                  </w:r>
                </w:p>
              </w:tc>
              <w:tc>
                <w:tcPr>
                  <w:tcW w:w="874" w:type="pct"/>
                  <w:vMerge w:val="continue"/>
                  <w:noWrap w:val="0"/>
                  <w:vAlign w:val="center"/>
                </w:tcPr>
                <w:p w14:paraId="622607D9">
                  <w:pPr>
                    <w:adjustRightInd w:val="0"/>
                    <w:snapToGrid w:val="0"/>
                    <w:jc w:val="center"/>
                    <w:rPr>
                      <w:color w:val="auto"/>
                      <w:szCs w:val="21"/>
                      <w:highlight w:val="none"/>
                    </w:rPr>
                  </w:pPr>
                </w:p>
              </w:tc>
              <w:tc>
                <w:tcPr>
                  <w:tcW w:w="1498" w:type="pct"/>
                  <w:vMerge w:val="continue"/>
                  <w:noWrap w:val="0"/>
                  <w:vAlign w:val="center"/>
                </w:tcPr>
                <w:p w14:paraId="442DDED8">
                  <w:pPr>
                    <w:adjustRightInd w:val="0"/>
                    <w:snapToGrid w:val="0"/>
                    <w:jc w:val="center"/>
                    <w:rPr>
                      <w:color w:val="auto"/>
                      <w:szCs w:val="21"/>
                      <w:highlight w:val="none"/>
                    </w:rPr>
                  </w:pPr>
                </w:p>
              </w:tc>
            </w:tr>
            <w:tr w14:paraId="3C594D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0" w:type="pct"/>
                  <w:vMerge w:val="continue"/>
                  <w:noWrap w:val="0"/>
                  <w:vAlign w:val="center"/>
                </w:tcPr>
                <w:p w14:paraId="6A6A736F">
                  <w:pPr>
                    <w:adjustRightInd w:val="0"/>
                    <w:snapToGrid w:val="0"/>
                    <w:ind w:left="-105" w:leftChars="-50" w:right="-105" w:rightChars="-50"/>
                    <w:jc w:val="center"/>
                    <w:rPr>
                      <w:rFonts w:hint="eastAsia"/>
                      <w:color w:val="auto"/>
                      <w:szCs w:val="21"/>
                      <w:highlight w:val="none"/>
                    </w:rPr>
                  </w:pPr>
                </w:p>
              </w:tc>
              <w:tc>
                <w:tcPr>
                  <w:tcW w:w="728" w:type="pct"/>
                  <w:noWrap w:val="0"/>
                  <w:vAlign w:val="center"/>
                </w:tcPr>
                <w:p w14:paraId="299EB7F6">
                  <w:pPr>
                    <w:adjustRightInd w:val="0"/>
                    <w:snapToGrid w:val="0"/>
                    <w:ind w:left="-105" w:leftChars="-50" w:right="-105" w:rightChars="-50"/>
                    <w:jc w:val="center"/>
                    <w:rPr>
                      <w:rFonts w:hint="eastAsia"/>
                      <w:color w:val="auto"/>
                      <w:szCs w:val="21"/>
                      <w:highlight w:val="none"/>
                    </w:rPr>
                  </w:pPr>
                  <w:r>
                    <w:rPr>
                      <w:rFonts w:hint="eastAsia"/>
                      <w:color w:val="auto"/>
                      <w:szCs w:val="21"/>
                      <w:highlight w:val="none"/>
                    </w:rPr>
                    <w:t>二甲苯</w:t>
                  </w:r>
                </w:p>
              </w:tc>
              <w:tc>
                <w:tcPr>
                  <w:tcW w:w="779" w:type="pct"/>
                  <w:noWrap w:val="0"/>
                  <w:vAlign w:val="center"/>
                </w:tcPr>
                <w:p w14:paraId="63CAD1D8">
                  <w:pPr>
                    <w:adjustRightInd w:val="0"/>
                    <w:snapToGrid w:val="0"/>
                    <w:jc w:val="center"/>
                    <w:rPr>
                      <w:rFonts w:hint="default" w:eastAsia="宋体"/>
                      <w:color w:val="auto"/>
                      <w:szCs w:val="21"/>
                      <w:highlight w:val="none"/>
                      <w:lang w:val="en-US" w:eastAsia="zh-CN"/>
                    </w:rPr>
                  </w:pPr>
                  <w:r>
                    <w:rPr>
                      <w:rFonts w:hint="eastAsia"/>
                      <w:color w:val="auto"/>
                      <w:szCs w:val="21"/>
                      <w:highlight w:val="none"/>
                      <w:lang w:val="en-US" w:eastAsia="zh-CN"/>
                    </w:rPr>
                    <w:t>15</w:t>
                  </w:r>
                </w:p>
              </w:tc>
              <w:tc>
                <w:tcPr>
                  <w:tcW w:w="768" w:type="pct"/>
                  <w:noWrap w:val="0"/>
                  <w:vAlign w:val="center"/>
                </w:tcPr>
                <w:p w14:paraId="45228DC0">
                  <w:pPr>
                    <w:adjustRightInd w:val="0"/>
                    <w:snapToGrid w:val="0"/>
                    <w:jc w:val="center"/>
                    <w:rPr>
                      <w:rFonts w:hint="eastAsia" w:eastAsia="宋体"/>
                      <w:color w:val="auto"/>
                      <w:szCs w:val="21"/>
                      <w:highlight w:val="none"/>
                      <w:lang w:val="en-US" w:eastAsia="zh-CN"/>
                    </w:rPr>
                  </w:pPr>
                  <w:r>
                    <w:rPr>
                      <w:rFonts w:hint="eastAsia"/>
                      <w:color w:val="auto"/>
                      <w:szCs w:val="21"/>
                      <w:highlight w:val="none"/>
                      <w:lang w:val="en-US" w:eastAsia="zh-CN"/>
                    </w:rPr>
                    <w:t>/</w:t>
                  </w:r>
                </w:p>
              </w:tc>
              <w:tc>
                <w:tcPr>
                  <w:tcW w:w="874" w:type="pct"/>
                  <w:vMerge w:val="continue"/>
                  <w:noWrap w:val="0"/>
                  <w:vAlign w:val="center"/>
                </w:tcPr>
                <w:p w14:paraId="4F115060">
                  <w:pPr>
                    <w:adjustRightInd w:val="0"/>
                    <w:snapToGrid w:val="0"/>
                    <w:jc w:val="center"/>
                    <w:rPr>
                      <w:color w:val="auto"/>
                      <w:szCs w:val="21"/>
                      <w:highlight w:val="none"/>
                    </w:rPr>
                  </w:pPr>
                </w:p>
              </w:tc>
              <w:tc>
                <w:tcPr>
                  <w:tcW w:w="1498" w:type="pct"/>
                  <w:vMerge w:val="continue"/>
                  <w:noWrap w:val="0"/>
                  <w:vAlign w:val="center"/>
                </w:tcPr>
                <w:p w14:paraId="78629AC7">
                  <w:pPr>
                    <w:adjustRightInd w:val="0"/>
                    <w:snapToGrid w:val="0"/>
                    <w:jc w:val="center"/>
                    <w:rPr>
                      <w:color w:val="auto"/>
                      <w:szCs w:val="21"/>
                      <w:highlight w:val="none"/>
                    </w:rPr>
                  </w:pPr>
                </w:p>
              </w:tc>
            </w:tr>
            <w:tr w14:paraId="6DD002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0" w:type="pct"/>
                  <w:vMerge w:val="restart"/>
                  <w:noWrap w:val="0"/>
                  <w:vAlign w:val="center"/>
                </w:tcPr>
                <w:p w14:paraId="44BCCEE3">
                  <w:pPr>
                    <w:adjustRightInd w:val="0"/>
                    <w:snapToGrid w:val="0"/>
                    <w:ind w:left="-105" w:leftChars="-50" w:right="-105" w:rightChars="-50"/>
                    <w:jc w:val="center"/>
                    <w:rPr>
                      <w:rFonts w:hint="eastAsia"/>
                      <w:color w:val="auto"/>
                      <w:szCs w:val="21"/>
                      <w:highlight w:val="none"/>
                    </w:rPr>
                  </w:pPr>
                  <w:r>
                    <w:rPr>
                      <w:rFonts w:hint="eastAsia"/>
                      <w:color w:val="auto"/>
                      <w:szCs w:val="21"/>
                      <w:highlight w:val="none"/>
                    </w:rPr>
                    <w:t>无组织</w:t>
                  </w:r>
                </w:p>
              </w:tc>
              <w:tc>
                <w:tcPr>
                  <w:tcW w:w="728" w:type="pct"/>
                  <w:noWrap w:val="0"/>
                  <w:vAlign w:val="center"/>
                </w:tcPr>
                <w:p w14:paraId="2D123AA0">
                  <w:pPr>
                    <w:adjustRightInd w:val="0"/>
                    <w:snapToGrid w:val="0"/>
                    <w:ind w:left="-105" w:leftChars="-50" w:right="-105" w:rightChars="-50"/>
                    <w:jc w:val="center"/>
                    <w:rPr>
                      <w:rFonts w:hint="eastAsia"/>
                      <w:color w:val="auto"/>
                      <w:szCs w:val="21"/>
                      <w:highlight w:val="none"/>
                    </w:rPr>
                  </w:pPr>
                  <w:r>
                    <w:rPr>
                      <w:rFonts w:hint="eastAsia"/>
                      <w:color w:val="auto"/>
                      <w:szCs w:val="21"/>
                      <w:highlight w:val="none"/>
                    </w:rPr>
                    <w:t>非甲烷总烃</w:t>
                  </w:r>
                </w:p>
              </w:tc>
              <w:tc>
                <w:tcPr>
                  <w:tcW w:w="779" w:type="pct"/>
                  <w:noWrap w:val="0"/>
                  <w:vAlign w:val="center"/>
                </w:tcPr>
                <w:p w14:paraId="42A2DD98">
                  <w:pPr>
                    <w:adjustRightInd w:val="0"/>
                    <w:snapToGrid w:val="0"/>
                    <w:jc w:val="center"/>
                    <w:rPr>
                      <w:rFonts w:hint="eastAsia"/>
                      <w:color w:val="auto"/>
                      <w:szCs w:val="21"/>
                      <w:highlight w:val="none"/>
                    </w:rPr>
                  </w:pPr>
                  <w:r>
                    <w:rPr>
                      <w:rFonts w:hint="eastAsia"/>
                      <w:color w:val="auto"/>
                      <w:szCs w:val="21"/>
                      <w:highlight w:val="none"/>
                    </w:rPr>
                    <w:t>3.0</w:t>
                  </w:r>
                </w:p>
              </w:tc>
              <w:tc>
                <w:tcPr>
                  <w:tcW w:w="768" w:type="pct"/>
                  <w:noWrap w:val="0"/>
                  <w:vAlign w:val="center"/>
                </w:tcPr>
                <w:p w14:paraId="0EE95CE2">
                  <w:pPr>
                    <w:adjustRightInd w:val="0"/>
                    <w:snapToGrid w:val="0"/>
                    <w:jc w:val="center"/>
                    <w:rPr>
                      <w:color w:val="auto"/>
                      <w:szCs w:val="21"/>
                      <w:highlight w:val="none"/>
                    </w:rPr>
                  </w:pPr>
                  <w:r>
                    <w:rPr>
                      <w:rFonts w:hint="eastAsia"/>
                      <w:color w:val="auto"/>
                      <w:szCs w:val="21"/>
                      <w:highlight w:val="none"/>
                    </w:rPr>
                    <w:t>/</w:t>
                  </w:r>
                </w:p>
              </w:tc>
              <w:tc>
                <w:tcPr>
                  <w:tcW w:w="874" w:type="pct"/>
                  <w:vMerge w:val="restart"/>
                  <w:noWrap w:val="0"/>
                  <w:vAlign w:val="center"/>
                </w:tcPr>
                <w:p w14:paraId="2A1B7F5C">
                  <w:pPr>
                    <w:adjustRightInd w:val="0"/>
                    <w:snapToGrid w:val="0"/>
                    <w:jc w:val="center"/>
                    <w:rPr>
                      <w:rFonts w:hint="eastAsia"/>
                      <w:color w:val="auto"/>
                      <w:szCs w:val="21"/>
                      <w:highlight w:val="none"/>
                    </w:rPr>
                  </w:pPr>
                  <w:r>
                    <w:rPr>
                      <w:rFonts w:hint="eastAsia"/>
                      <w:color w:val="auto"/>
                      <w:szCs w:val="21"/>
                      <w:highlight w:val="none"/>
                    </w:rPr>
                    <w:t>企业边界</w:t>
                  </w:r>
                </w:p>
              </w:tc>
              <w:tc>
                <w:tcPr>
                  <w:tcW w:w="1498" w:type="pct"/>
                  <w:vMerge w:val="continue"/>
                  <w:noWrap w:val="0"/>
                  <w:vAlign w:val="center"/>
                </w:tcPr>
                <w:p w14:paraId="2661EB3A">
                  <w:pPr>
                    <w:adjustRightInd w:val="0"/>
                    <w:snapToGrid w:val="0"/>
                    <w:jc w:val="center"/>
                    <w:rPr>
                      <w:color w:val="auto"/>
                      <w:szCs w:val="21"/>
                      <w:highlight w:val="none"/>
                    </w:rPr>
                  </w:pPr>
                </w:p>
              </w:tc>
            </w:tr>
            <w:tr w14:paraId="38ADE1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0" w:type="pct"/>
                  <w:vMerge w:val="continue"/>
                  <w:noWrap w:val="0"/>
                  <w:vAlign w:val="center"/>
                </w:tcPr>
                <w:p w14:paraId="72EE21EC">
                  <w:pPr>
                    <w:adjustRightInd w:val="0"/>
                    <w:snapToGrid w:val="0"/>
                    <w:ind w:left="-105" w:leftChars="-50" w:right="-105" w:rightChars="-50"/>
                    <w:jc w:val="center"/>
                    <w:rPr>
                      <w:rFonts w:hint="eastAsia"/>
                      <w:color w:val="auto"/>
                      <w:szCs w:val="21"/>
                      <w:highlight w:val="none"/>
                    </w:rPr>
                  </w:pPr>
                </w:p>
              </w:tc>
              <w:tc>
                <w:tcPr>
                  <w:tcW w:w="728" w:type="pct"/>
                  <w:noWrap w:val="0"/>
                  <w:vAlign w:val="center"/>
                </w:tcPr>
                <w:p w14:paraId="103EC291">
                  <w:pPr>
                    <w:adjustRightInd w:val="0"/>
                    <w:snapToGrid w:val="0"/>
                    <w:ind w:left="-105" w:leftChars="-50" w:right="-105" w:rightChars="-50"/>
                    <w:jc w:val="center"/>
                    <w:rPr>
                      <w:color w:val="auto"/>
                      <w:szCs w:val="21"/>
                      <w:highlight w:val="none"/>
                    </w:rPr>
                  </w:pPr>
                  <w:r>
                    <w:rPr>
                      <w:rFonts w:hint="eastAsia"/>
                      <w:color w:val="auto"/>
                      <w:szCs w:val="21"/>
                      <w:highlight w:val="none"/>
                    </w:rPr>
                    <w:t>甲苯</w:t>
                  </w:r>
                </w:p>
              </w:tc>
              <w:tc>
                <w:tcPr>
                  <w:tcW w:w="779" w:type="pct"/>
                  <w:noWrap w:val="0"/>
                  <w:vAlign w:val="center"/>
                </w:tcPr>
                <w:p w14:paraId="4248097F">
                  <w:pPr>
                    <w:adjustRightInd w:val="0"/>
                    <w:snapToGrid w:val="0"/>
                    <w:jc w:val="center"/>
                    <w:rPr>
                      <w:color w:val="auto"/>
                      <w:szCs w:val="21"/>
                      <w:highlight w:val="none"/>
                    </w:rPr>
                  </w:pPr>
                  <w:r>
                    <w:rPr>
                      <w:rFonts w:hint="eastAsia"/>
                      <w:color w:val="auto"/>
                      <w:szCs w:val="21"/>
                      <w:highlight w:val="none"/>
                    </w:rPr>
                    <w:t>0.3</w:t>
                  </w:r>
                </w:p>
              </w:tc>
              <w:tc>
                <w:tcPr>
                  <w:tcW w:w="768" w:type="pct"/>
                  <w:noWrap w:val="0"/>
                  <w:vAlign w:val="center"/>
                </w:tcPr>
                <w:p w14:paraId="7C0950B4">
                  <w:pPr>
                    <w:adjustRightInd w:val="0"/>
                    <w:snapToGrid w:val="0"/>
                    <w:jc w:val="center"/>
                    <w:rPr>
                      <w:color w:val="auto"/>
                      <w:szCs w:val="21"/>
                      <w:highlight w:val="none"/>
                    </w:rPr>
                  </w:pPr>
                  <w:r>
                    <w:rPr>
                      <w:rFonts w:hint="eastAsia"/>
                      <w:color w:val="auto"/>
                      <w:szCs w:val="21"/>
                      <w:highlight w:val="none"/>
                    </w:rPr>
                    <w:t>/</w:t>
                  </w:r>
                </w:p>
              </w:tc>
              <w:tc>
                <w:tcPr>
                  <w:tcW w:w="874" w:type="pct"/>
                  <w:vMerge w:val="continue"/>
                  <w:noWrap w:val="0"/>
                  <w:vAlign w:val="center"/>
                </w:tcPr>
                <w:p w14:paraId="53821507">
                  <w:pPr>
                    <w:adjustRightInd w:val="0"/>
                    <w:snapToGrid w:val="0"/>
                    <w:jc w:val="center"/>
                    <w:rPr>
                      <w:rFonts w:hint="eastAsia"/>
                      <w:color w:val="auto"/>
                      <w:szCs w:val="21"/>
                      <w:highlight w:val="none"/>
                    </w:rPr>
                  </w:pPr>
                </w:p>
              </w:tc>
              <w:tc>
                <w:tcPr>
                  <w:tcW w:w="1498" w:type="pct"/>
                  <w:vMerge w:val="continue"/>
                  <w:noWrap w:val="0"/>
                  <w:vAlign w:val="center"/>
                </w:tcPr>
                <w:p w14:paraId="64FFB95B">
                  <w:pPr>
                    <w:adjustRightInd w:val="0"/>
                    <w:snapToGrid w:val="0"/>
                    <w:jc w:val="center"/>
                    <w:rPr>
                      <w:color w:val="auto"/>
                      <w:szCs w:val="21"/>
                      <w:highlight w:val="none"/>
                    </w:rPr>
                  </w:pPr>
                </w:p>
              </w:tc>
            </w:tr>
            <w:tr w14:paraId="088B75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0" w:type="pct"/>
                  <w:vMerge w:val="continue"/>
                  <w:noWrap w:val="0"/>
                  <w:vAlign w:val="center"/>
                </w:tcPr>
                <w:p w14:paraId="1747B0E0">
                  <w:pPr>
                    <w:adjustRightInd w:val="0"/>
                    <w:snapToGrid w:val="0"/>
                    <w:ind w:left="-105" w:leftChars="-50" w:right="-105" w:rightChars="-50"/>
                    <w:jc w:val="center"/>
                    <w:rPr>
                      <w:rFonts w:hint="eastAsia"/>
                      <w:color w:val="auto"/>
                      <w:szCs w:val="21"/>
                      <w:highlight w:val="none"/>
                    </w:rPr>
                  </w:pPr>
                </w:p>
              </w:tc>
              <w:tc>
                <w:tcPr>
                  <w:tcW w:w="728" w:type="pct"/>
                  <w:noWrap w:val="0"/>
                  <w:vAlign w:val="center"/>
                </w:tcPr>
                <w:p w14:paraId="59E27FAA">
                  <w:pPr>
                    <w:adjustRightInd w:val="0"/>
                    <w:snapToGrid w:val="0"/>
                    <w:ind w:left="-105" w:leftChars="-50" w:right="-105" w:rightChars="-50"/>
                    <w:jc w:val="center"/>
                    <w:rPr>
                      <w:color w:val="auto"/>
                      <w:szCs w:val="21"/>
                      <w:highlight w:val="none"/>
                    </w:rPr>
                  </w:pPr>
                  <w:r>
                    <w:rPr>
                      <w:rFonts w:hint="eastAsia"/>
                      <w:color w:val="auto"/>
                      <w:szCs w:val="21"/>
                      <w:highlight w:val="none"/>
                    </w:rPr>
                    <w:t>二甲苯</w:t>
                  </w:r>
                </w:p>
              </w:tc>
              <w:tc>
                <w:tcPr>
                  <w:tcW w:w="779" w:type="pct"/>
                  <w:noWrap w:val="0"/>
                  <w:vAlign w:val="center"/>
                </w:tcPr>
                <w:p w14:paraId="51D338AF">
                  <w:pPr>
                    <w:adjustRightInd w:val="0"/>
                    <w:snapToGrid w:val="0"/>
                    <w:jc w:val="center"/>
                    <w:rPr>
                      <w:color w:val="auto"/>
                      <w:szCs w:val="21"/>
                      <w:highlight w:val="none"/>
                    </w:rPr>
                  </w:pPr>
                  <w:r>
                    <w:rPr>
                      <w:rFonts w:hint="eastAsia"/>
                      <w:color w:val="auto"/>
                      <w:szCs w:val="21"/>
                      <w:highlight w:val="none"/>
                    </w:rPr>
                    <w:t>0.3</w:t>
                  </w:r>
                </w:p>
              </w:tc>
              <w:tc>
                <w:tcPr>
                  <w:tcW w:w="768" w:type="pct"/>
                  <w:noWrap w:val="0"/>
                  <w:vAlign w:val="center"/>
                </w:tcPr>
                <w:p w14:paraId="213D4DEC">
                  <w:pPr>
                    <w:adjustRightInd w:val="0"/>
                    <w:snapToGrid w:val="0"/>
                    <w:jc w:val="center"/>
                    <w:rPr>
                      <w:color w:val="auto"/>
                      <w:szCs w:val="21"/>
                      <w:highlight w:val="none"/>
                    </w:rPr>
                  </w:pPr>
                  <w:r>
                    <w:rPr>
                      <w:rFonts w:hint="eastAsia"/>
                      <w:color w:val="auto"/>
                      <w:szCs w:val="21"/>
                      <w:highlight w:val="none"/>
                    </w:rPr>
                    <w:t>/</w:t>
                  </w:r>
                </w:p>
              </w:tc>
              <w:tc>
                <w:tcPr>
                  <w:tcW w:w="874" w:type="pct"/>
                  <w:vMerge w:val="continue"/>
                  <w:noWrap w:val="0"/>
                  <w:vAlign w:val="center"/>
                </w:tcPr>
                <w:p w14:paraId="05E2B40A">
                  <w:pPr>
                    <w:adjustRightInd w:val="0"/>
                    <w:snapToGrid w:val="0"/>
                    <w:jc w:val="center"/>
                    <w:rPr>
                      <w:color w:val="auto"/>
                      <w:szCs w:val="21"/>
                      <w:highlight w:val="none"/>
                    </w:rPr>
                  </w:pPr>
                </w:p>
              </w:tc>
              <w:tc>
                <w:tcPr>
                  <w:tcW w:w="1498" w:type="pct"/>
                  <w:vMerge w:val="continue"/>
                  <w:noWrap w:val="0"/>
                  <w:vAlign w:val="center"/>
                </w:tcPr>
                <w:p w14:paraId="62960157">
                  <w:pPr>
                    <w:adjustRightInd w:val="0"/>
                    <w:snapToGrid w:val="0"/>
                    <w:jc w:val="center"/>
                    <w:rPr>
                      <w:color w:val="auto"/>
                      <w:szCs w:val="21"/>
                      <w:highlight w:val="none"/>
                    </w:rPr>
                  </w:pPr>
                </w:p>
              </w:tc>
            </w:tr>
            <w:tr w14:paraId="0A2B3F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50" w:type="pct"/>
                  <w:vMerge w:val="continue"/>
                  <w:noWrap w:val="0"/>
                  <w:vAlign w:val="center"/>
                </w:tcPr>
                <w:p w14:paraId="57D97B22">
                  <w:pPr>
                    <w:adjustRightInd w:val="0"/>
                    <w:snapToGrid w:val="0"/>
                    <w:ind w:left="-105" w:leftChars="-50" w:right="-105" w:rightChars="-50"/>
                    <w:jc w:val="center"/>
                    <w:rPr>
                      <w:rFonts w:hint="eastAsia"/>
                      <w:color w:val="auto"/>
                      <w:szCs w:val="21"/>
                      <w:highlight w:val="none"/>
                    </w:rPr>
                  </w:pPr>
                </w:p>
              </w:tc>
              <w:tc>
                <w:tcPr>
                  <w:tcW w:w="728" w:type="pct"/>
                  <w:vMerge w:val="restart"/>
                  <w:noWrap w:val="0"/>
                  <w:vAlign w:val="center"/>
                </w:tcPr>
                <w:p w14:paraId="08B81C45">
                  <w:pPr>
                    <w:adjustRightInd w:val="0"/>
                    <w:snapToGrid w:val="0"/>
                    <w:jc w:val="center"/>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厂区内</w:t>
                  </w:r>
                  <w:r>
                    <w:rPr>
                      <w:rFonts w:hint="eastAsia" w:ascii="Times New Roman" w:hAnsi="Times New Roman" w:eastAsia="宋体" w:cs="Times New Roman"/>
                      <w:color w:val="auto"/>
                      <w:szCs w:val="21"/>
                      <w:highlight w:val="none"/>
                    </w:rPr>
                    <w:t>非甲烷总烃</w:t>
                  </w:r>
                </w:p>
              </w:tc>
              <w:tc>
                <w:tcPr>
                  <w:tcW w:w="779" w:type="pct"/>
                  <w:noWrap w:val="0"/>
                  <w:vAlign w:val="center"/>
                </w:tcPr>
                <w:p w14:paraId="656FD524">
                  <w:pPr>
                    <w:adjustRightInd w:val="0"/>
                    <w:snapToGrid w:val="0"/>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6</w:t>
                  </w:r>
                </w:p>
              </w:tc>
              <w:tc>
                <w:tcPr>
                  <w:tcW w:w="768" w:type="pct"/>
                  <w:noWrap w:val="0"/>
                  <w:vAlign w:val="center"/>
                </w:tcPr>
                <w:p w14:paraId="05CC32B5">
                  <w:pPr>
                    <w:adjustRightInd w:val="0"/>
                    <w:snapToGrid w:val="0"/>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w:t>
                  </w:r>
                </w:p>
              </w:tc>
              <w:tc>
                <w:tcPr>
                  <w:tcW w:w="874" w:type="pct"/>
                  <w:noWrap w:val="0"/>
                  <w:vAlign w:val="center"/>
                </w:tcPr>
                <w:p w14:paraId="4C3B0A16">
                  <w:pPr>
                    <w:adjustRightInd w:val="0"/>
                    <w:snapToGrid w:val="0"/>
                    <w:jc w:val="center"/>
                    <w:rPr>
                      <w:rFonts w:ascii="Times New Roman" w:hAnsi="Times New Roman" w:eastAsia="宋体" w:cs="Times New Roman"/>
                      <w:color w:val="auto"/>
                      <w:szCs w:val="21"/>
                      <w:highlight w:val="none"/>
                      <w:lang w:val="en-US" w:eastAsia="zh-CN"/>
                    </w:rPr>
                  </w:pPr>
                  <w:r>
                    <w:rPr>
                      <w:rFonts w:ascii="Times New Roman" w:hAnsi="Times New Roman" w:eastAsia="宋体" w:cs="Times New Roman"/>
                      <w:color w:val="auto"/>
                      <w:szCs w:val="21"/>
                      <w:highlight w:val="none"/>
                    </w:rPr>
                    <w:t>监控点处1h平均值</w:t>
                  </w:r>
                </w:p>
              </w:tc>
              <w:tc>
                <w:tcPr>
                  <w:tcW w:w="1498" w:type="pct"/>
                  <w:vMerge w:val="restart"/>
                  <w:noWrap w:val="0"/>
                  <w:vAlign w:val="center"/>
                </w:tcPr>
                <w:p w14:paraId="586A95D1">
                  <w:pPr>
                    <w:adjustRightInd w:val="0"/>
                    <w:snapToGrid w:val="0"/>
                    <w:jc w:val="center"/>
                    <w:rPr>
                      <w:rFonts w:ascii="Times New Roman" w:hAnsi="Times New Roman" w:eastAsia="宋体" w:cs="Times New Roman"/>
                      <w:color w:val="auto"/>
                      <w:szCs w:val="21"/>
                      <w:highlight w:val="none"/>
                    </w:rPr>
                  </w:pPr>
                  <w:r>
                    <w:rPr>
                      <w:color w:val="auto"/>
                      <w:szCs w:val="21"/>
                      <w:highlight w:val="none"/>
                    </w:rPr>
                    <w:t>《挥发性有机物无组织排放控制标准》（GB37822-2019）</w:t>
                  </w:r>
                </w:p>
              </w:tc>
            </w:tr>
            <w:tr w14:paraId="4A1456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50" w:type="pct"/>
                  <w:vMerge w:val="continue"/>
                  <w:noWrap w:val="0"/>
                  <w:vAlign w:val="center"/>
                </w:tcPr>
                <w:p w14:paraId="66236D2D">
                  <w:pPr>
                    <w:adjustRightInd w:val="0"/>
                    <w:snapToGrid w:val="0"/>
                    <w:ind w:left="-105" w:leftChars="-50" w:right="-105" w:rightChars="-50"/>
                    <w:jc w:val="center"/>
                    <w:rPr>
                      <w:rFonts w:hint="eastAsia"/>
                      <w:color w:val="auto"/>
                      <w:szCs w:val="21"/>
                      <w:highlight w:val="none"/>
                    </w:rPr>
                  </w:pPr>
                </w:p>
              </w:tc>
              <w:tc>
                <w:tcPr>
                  <w:tcW w:w="728" w:type="pct"/>
                  <w:vMerge w:val="continue"/>
                  <w:noWrap w:val="0"/>
                  <w:vAlign w:val="center"/>
                </w:tcPr>
                <w:p w14:paraId="1936119B">
                  <w:pPr>
                    <w:adjustRightInd w:val="0"/>
                    <w:snapToGrid w:val="0"/>
                    <w:jc w:val="center"/>
                    <w:rPr>
                      <w:rFonts w:hint="eastAsia" w:ascii="Times New Roman" w:hAnsi="Times New Roman" w:eastAsia="宋体" w:cs="Times New Roman"/>
                      <w:color w:val="auto"/>
                      <w:szCs w:val="21"/>
                      <w:highlight w:val="none"/>
                    </w:rPr>
                  </w:pPr>
                </w:p>
              </w:tc>
              <w:tc>
                <w:tcPr>
                  <w:tcW w:w="779" w:type="pct"/>
                  <w:noWrap w:val="0"/>
                  <w:vAlign w:val="center"/>
                </w:tcPr>
                <w:p w14:paraId="646F8886">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20</w:t>
                  </w:r>
                </w:p>
              </w:tc>
              <w:tc>
                <w:tcPr>
                  <w:tcW w:w="768" w:type="pct"/>
                  <w:noWrap w:val="0"/>
                  <w:vAlign w:val="center"/>
                </w:tcPr>
                <w:p w14:paraId="05755997">
                  <w:pPr>
                    <w:adjustRightInd w:val="0"/>
                    <w:snapToGrid w:val="0"/>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rPr>
                    <w:t>/</w:t>
                  </w:r>
                </w:p>
              </w:tc>
              <w:tc>
                <w:tcPr>
                  <w:tcW w:w="874" w:type="pct"/>
                  <w:noWrap w:val="0"/>
                  <w:vAlign w:val="center"/>
                </w:tcPr>
                <w:p w14:paraId="613865A3">
                  <w:pPr>
                    <w:adjustRightInd w:val="0"/>
                    <w:snapToGrid w:val="0"/>
                    <w:jc w:val="center"/>
                    <w:rPr>
                      <w:rFonts w:hint="eastAsia" w:ascii="Times New Roman" w:hAnsi="Times New Roman" w:eastAsia="宋体" w:cs="Times New Roman"/>
                      <w:color w:val="auto"/>
                      <w:szCs w:val="21"/>
                      <w:highlight w:val="none"/>
                      <w:lang w:val="en-US" w:eastAsia="zh-CN"/>
                    </w:rPr>
                  </w:pPr>
                  <w:r>
                    <w:rPr>
                      <w:rFonts w:ascii="Times New Roman" w:hAnsi="Times New Roman" w:eastAsia="宋体" w:cs="Times New Roman"/>
                      <w:color w:val="auto"/>
                      <w:szCs w:val="21"/>
                      <w:highlight w:val="none"/>
                    </w:rPr>
                    <w:t>监控点处任意一次浓度值</w:t>
                  </w:r>
                </w:p>
              </w:tc>
              <w:tc>
                <w:tcPr>
                  <w:tcW w:w="1498" w:type="pct"/>
                  <w:vMerge w:val="continue"/>
                  <w:noWrap w:val="0"/>
                  <w:vAlign w:val="center"/>
                </w:tcPr>
                <w:p w14:paraId="3BD81627">
                  <w:pPr>
                    <w:adjustRightInd w:val="0"/>
                    <w:snapToGrid w:val="0"/>
                    <w:jc w:val="center"/>
                    <w:rPr>
                      <w:rFonts w:ascii="Times New Roman" w:hAnsi="Times New Roman" w:eastAsia="宋体" w:cs="Times New Roman"/>
                      <w:color w:val="auto"/>
                      <w:szCs w:val="21"/>
                      <w:highlight w:val="none"/>
                    </w:rPr>
                  </w:pPr>
                </w:p>
              </w:tc>
            </w:tr>
            <w:tr w14:paraId="52A499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50" w:type="pct"/>
                  <w:vMerge w:val="continue"/>
                  <w:noWrap w:val="0"/>
                  <w:vAlign w:val="center"/>
                </w:tcPr>
                <w:p w14:paraId="4BFE9252">
                  <w:pPr>
                    <w:adjustRightInd w:val="0"/>
                    <w:snapToGrid w:val="0"/>
                    <w:ind w:left="-105" w:leftChars="-50" w:right="-105" w:rightChars="-50"/>
                    <w:jc w:val="center"/>
                    <w:rPr>
                      <w:rFonts w:hint="eastAsia"/>
                      <w:color w:val="auto"/>
                      <w:szCs w:val="21"/>
                      <w:highlight w:val="none"/>
                    </w:rPr>
                  </w:pPr>
                </w:p>
              </w:tc>
              <w:tc>
                <w:tcPr>
                  <w:tcW w:w="728" w:type="pct"/>
                  <w:noWrap w:val="0"/>
                  <w:vAlign w:val="center"/>
                </w:tcPr>
                <w:p w14:paraId="2EAFA1B3">
                  <w:pPr>
                    <w:adjustRightInd w:val="0"/>
                    <w:snapToGrid w:val="0"/>
                    <w:ind w:left="-105" w:leftChars="-50" w:right="-105" w:rightChars="-50"/>
                    <w:jc w:val="center"/>
                    <w:rPr>
                      <w:rFonts w:hint="eastAsia"/>
                      <w:color w:val="auto"/>
                      <w:szCs w:val="21"/>
                      <w:highlight w:val="none"/>
                    </w:rPr>
                  </w:pPr>
                  <w:r>
                    <w:rPr>
                      <w:color w:val="auto"/>
                      <w:szCs w:val="21"/>
                      <w:highlight w:val="none"/>
                    </w:rPr>
                    <w:t>颗粒物</w:t>
                  </w:r>
                </w:p>
              </w:tc>
              <w:tc>
                <w:tcPr>
                  <w:tcW w:w="779" w:type="pct"/>
                  <w:noWrap w:val="0"/>
                  <w:vAlign w:val="center"/>
                </w:tcPr>
                <w:p w14:paraId="5203A2F1">
                  <w:pPr>
                    <w:adjustRightInd w:val="0"/>
                    <w:snapToGrid w:val="0"/>
                    <w:jc w:val="center"/>
                    <w:rPr>
                      <w:rFonts w:hint="eastAsia"/>
                      <w:color w:val="auto"/>
                      <w:szCs w:val="21"/>
                      <w:highlight w:val="none"/>
                    </w:rPr>
                  </w:pPr>
                  <w:r>
                    <w:rPr>
                      <w:color w:val="auto"/>
                      <w:szCs w:val="21"/>
                      <w:highlight w:val="none"/>
                    </w:rPr>
                    <w:t>1.0</w:t>
                  </w:r>
                </w:p>
              </w:tc>
              <w:tc>
                <w:tcPr>
                  <w:tcW w:w="768" w:type="pct"/>
                  <w:noWrap w:val="0"/>
                  <w:vAlign w:val="center"/>
                </w:tcPr>
                <w:p w14:paraId="0098BFB4">
                  <w:pPr>
                    <w:adjustRightInd w:val="0"/>
                    <w:snapToGrid w:val="0"/>
                    <w:jc w:val="center"/>
                    <w:rPr>
                      <w:color w:val="auto"/>
                      <w:szCs w:val="21"/>
                      <w:highlight w:val="none"/>
                    </w:rPr>
                  </w:pPr>
                  <w:r>
                    <w:rPr>
                      <w:rFonts w:hint="eastAsia"/>
                      <w:color w:val="auto"/>
                      <w:szCs w:val="21"/>
                      <w:highlight w:val="none"/>
                    </w:rPr>
                    <w:t>/</w:t>
                  </w:r>
                </w:p>
              </w:tc>
              <w:tc>
                <w:tcPr>
                  <w:tcW w:w="874" w:type="pct"/>
                  <w:noWrap w:val="0"/>
                  <w:vAlign w:val="center"/>
                </w:tcPr>
                <w:p w14:paraId="302A220B">
                  <w:pPr>
                    <w:adjustRightInd w:val="0"/>
                    <w:snapToGrid w:val="0"/>
                    <w:jc w:val="center"/>
                    <w:rPr>
                      <w:color w:val="auto"/>
                      <w:szCs w:val="21"/>
                      <w:highlight w:val="none"/>
                    </w:rPr>
                  </w:pPr>
                  <w:r>
                    <w:rPr>
                      <w:rFonts w:hint="eastAsia"/>
                      <w:color w:val="auto"/>
                      <w:szCs w:val="21"/>
                      <w:highlight w:val="none"/>
                    </w:rPr>
                    <w:t>周界外浓度最高点</w:t>
                  </w:r>
                </w:p>
              </w:tc>
              <w:tc>
                <w:tcPr>
                  <w:tcW w:w="1498" w:type="pct"/>
                  <w:noWrap w:val="0"/>
                  <w:vAlign w:val="center"/>
                </w:tcPr>
                <w:p w14:paraId="7D6AF8D2">
                  <w:pPr>
                    <w:adjustRightInd w:val="0"/>
                    <w:snapToGrid w:val="0"/>
                    <w:jc w:val="center"/>
                    <w:rPr>
                      <w:color w:val="auto"/>
                      <w:szCs w:val="21"/>
                      <w:highlight w:val="none"/>
                    </w:rPr>
                  </w:pPr>
                  <w:r>
                    <w:rPr>
                      <w:color w:val="auto"/>
                      <w:szCs w:val="21"/>
                      <w:highlight w:val="none"/>
                    </w:rPr>
                    <w:t>《大气污染物综合排放标准》（GB16297-1996）</w:t>
                  </w:r>
                </w:p>
              </w:tc>
            </w:tr>
          </w:tbl>
          <w:p w14:paraId="695ECDC7">
            <w:pPr>
              <w:spacing w:before="120" w:beforeLines="50" w:line="360" w:lineRule="auto"/>
              <w:ind w:firstLine="482" w:firstLineChars="200"/>
              <w:rPr>
                <w:b/>
                <w:bCs/>
                <w:color w:val="auto"/>
                <w:sz w:val="24"/>
              </w:rPr>
            </w:pPr>
            <w:r>
              <w:rPr>
                <w:rFonts w:hint="eastAsia"/>
                <w:b/>
                <w:bCs/>
                <w:color w:val="auto"/>
                <w:sz w:val="24"/>
              </w:rPr>
              <w:t>2、</w:t>
            </w:r>
            <w:r>
              <w:rPr>
                <w:b/>
                <w:bCs/>
                <w:color w:val="auto"/>
                <w:sz w:val="24"/>
              </w:rPr>
              <w:t>废水</w:t>
            </w:r>
          </w:p>
          <w:p w14:paraId="65C0F535">
            <w:pPr>
              <w:spacing w:line="360" w:lineRule="auto"/>
              <w:ind w:firstLine="480" w:firstLineChars="200"/>
              <w:rPr>
                <w:color w:val="auto"/>
                <w:sz w:val="24"/>
              </w:rPr>
            </w:pPr>
            <w:r>
              <w:rPr>
                <w:rFonts w:hint="default" w:ascii="Times New Roman" w:hAnsi="Times New Roman" w:eastAsia="宋体" w:cs="Times New Roman"/>
                <w:color w:val="auto"/>
                <w:sz w:val="24"/>
                <w:lang w:val="en-US" w:eastAsia="zh-CN"/>
              </w:rPr>
              <w:t>厂区废水排放执行《</w:t>
            </w:r>
            <w:r>
              <w:rPr>
                <w:rFonts w:hint="eastAsia" w:ascii="Times New Roman" w:hAnsi="Times New Roman" w:eastAsia="宋体" w:cs="Times New Roman"/>
                <w:color w:val="auto"/>
                <w:sz w:val="24"/>
                <w:lang w:val="en-US" w:eastAsia="zh-CN"/>
              </w:rPr>
              <w:t>汽车维修业水污染物</w:t>
            </w:r>
            <w:r>
              <w:rPr>
                <w:rFonts w:hint="default" w:ascii="Times New Roman" w:hAnsi="Times New Roman" w:eastAsia="宋体" w:cs="Times New Roman"/>
                <w:color w:val="auto"/>
                <w:sz w:val="24"/>
                <w:lang w:val="en-US" w:eastAsia="zh-CN"/>
              </w:rPr>
              <w:t>排放标准》（GB</w:t>
            </w:r>
            <w:r>
              <w:rPr>
                <w:rFonts w:hint="eastAsia" w:ascii="Times New Roman" w:hAnsi="Times New Roman" w:eastAsia="宋体" w:cs="Times New Roman"/>
                <w:color w:val="auto"/>
                <w:sz w:val="24"/>
                <w:lang w:val="en-US" w:eastAsia="zh-CN"/>
              </w:rPr>
              <w:t>26877</w:t>
            </w:r>
            <w:r>
              <w:rPr>
                <w:rFonts w:hint="default" w:ascii="Times New Roman" w:hAnsi="Times New Roman" w:eastAsia="宋体" w:cs="Times New Roman"/>
                <w:color w:val="auto"/>
                <w:sz w:val="24"/>
                <w:lang w:val="en-US" w:eastAsia="zh-CN"/>
              </w:rPr>
              <w:t>-</w:t>
            </w:r>
            <w:r>
              <w:rPr>
                <w:rFonts w:hint="eastAsia" w:ascii="Times New Roman" w:hAnsi="Times New Roman" w:eastAsia="宋体" w:cs="Times New Roman"/>
                <w:color w:val="auto"/>
                <w:sz w:val="24"/>
                <w:lang w:val="en-US" w:eastAsia="zh-CN"/>
              </w:rPr>
              <w:t>2011</w:t>
            </w:r>
            <w:r>
              <w:rPr>
                <w:rFonts w:hint="default" w:ascii="Times New Roman" w:hAnsi="Times New Roman" w:eastAsia="宋体" w:cs="Times New Roman"/>
                <w:color w:val="auto"/>
                <w:sz w:val="24"/>
                <w:lang w:val="en-US" w:eastAsia="zh-CN"/>
              </w:rPr>
              <w:t>）表</w:t>
            </w:r>
            <w:r>
              <w:rPr>
                <w:rFonts w:hint="eastAsia"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lang w:val="en-US" w:eastAsia="zh-CN"/>
              </w:rPr>
              <w:t>中</w:t>
            </w:r>
            <w:r>
              <w:rPr>
                <w:rFonts w:hint="eastAsia" w:ascii="Times New Roman" w:hAnsi="Times New Roman" w:eastAsia="宋体" w:cs="Times New Roman"/>
                <w:color w:val="auto"/>
                <w:sz w:val="24"/>
                <w:lang w:val="en-US" w:eastAsia="zh-CN"/>
              </w:rPr>
              <w:t>间接排放</w:t>
            </w:r>
            <w:r>
              <w:rPr>
                <w:rFonts w:hint="default" w:ascii="Times New Roman" w:hAnsi="Times New Roman" w:eastAsia="宋体" w:cs="Times New Roman"/>
                <w:color w:val="auto"/>
                <w:sz w:val="24"/>
                <w:lang w:val="en-US" w:eastAsia="zh-CN"/>
              </w:rPr>
              <w:t>标准，同时符合</w:t>
            </w:r>
            <w:r>
              <w:rPr>
                <w:rFonts w:hint="eastAsia" w:ascii="Times New Roman" w:hAnsi="Times New Roman" w:eastAsia="宋体" w:cs="Times New Roman"/>
                <w:color w:val="auto"/>
                <w:sz w:val="24"/>
                <w:lang w:val="en-US" w:eastAsia="zh-CN"/>
              </w:rPr>
              <w:t>西安净水处理有限责任公司第六再生水厂</w:t>
            </w:r>
            <w:r>
              <w:rPr>
                <w:rFonts w:hint="default" w:ascii="Times New Roman" w:hAnsi="Times New Roman" w:eastAsia="宋体" w:cs="Times New Roman"/>
                <w:color w:val="auto"/>
                <w:sz w:val="24"/>
                <w:lang w:val="en-US" w:eastAsia="zh-CN"/>
              </w:rPr>
              <w:t>进水接纳标准后进入</w:t>
            </w:r>
            <w:r>
              <w:rPr>
                <w:rFonts w:hint="eastAsia" w:ascii="Times New Roman" w:hAnsi="Times New Roman" w:eastAsia="宋体" w:cs="Times New Roman"/>
                <w:color w:val="auto"/>
                <w:sz w:val="24"/>
                <w:lang w:val="en-US" w:eastAsia="zh-CN"/>
              </w:rPr>
              <w:t>西安净水处理有限责任公司第六再生水厂</w:t>
            </w:r>
            <w:r>
              <w:rPr>
                <w:rFonts w:hint="default" w:ascii="Times New Roman" w:hAnsi="Times New Roman" w:eastAsia="宋体" w:cs="Times New Roman"/>
                <w:color w:val="auto"/>
                <w:sz w:val="24"/>
                <w:lang w:val="en-US" w:eastAsia="zh-CN"/>
              </w:rPr>
              <w:t>。</w:t>
            </w:r>
          </w:p>
          <w:p w14:paraId="12F0BB0E">
            <w:pPr>
              <w:adjustRightInd w:val="0"/>
              <w:snapToGrid w:val="0"/>
              <w:jc w:val="center"/>
              <w:rPr>
                <w:rFonts w:hint="default" w:eastAsia="宋体"/>
                <w:b/>
                <w:color w:val="auto"/>
                <w:sz w:val="24"/>
                <w:lang w:val="en-US" w:eastAsia="zh-CN"/>
              </w:rPr>
            </w:pPr>
            <w:r>
              <w:rPr>
                <w:rFonts w:hint="eastAsia"/>
                <w:b/>
                <w:color w:val="auto"/>
                <w:sz w:val="24"/>
              </w:rPr>
              <w:t>表3-</w:t>
            </w:r>
            <w:r>
              <w:rPr>
                <w:rFonts w:hint="eastAsia"/>
                <w:b/>
                <w:color w:val="auto"/>
                <w:sz w:val="24"/>
                <w:lang w:val="en-US" w:eastAsia="zh-CN"/>
              </w:rPr>
              <w:t>5</w:t>
            </w:r>
            <w:r>
              <w:rPr>
                <w:rFonts w:hint="eastAsia"/>
                <w:b/>
                <w:color w:val="auto"/>
                <w:sz w:val="24"/>
              </w:rPr>
              <w:t xml:space="preserve">  </w:t>
            </w:r>
            <w:r>
              <w:rPr>
                <w:b/>
                <w:color w:val="auto"/>
                <w:sz w:val="24"/>
              </w:rPr>
              <w:t xml:space="preserve">污水排放标准限值     </w:t>
            </w:r>
            <w:r>
              <w:rPr>
                <w:rFonts w:hint="eastAsia"/>
                <w:b/>
                <w:color w:val="auto"/>
                <w:sz w:val="24"/>
              </w:rPr>
              <w:t xml:space="preserve"> </w:t>
            </w:r>
            <w:r>
              <w:rPr>
                <w:b/>
                <w:color w:val="auto"/>
                <w:sz w:val="24"/>
              </w:rPr>
              <w:t>单位mg/L</w:t>
            </w:r>
            <w:r>
              <w:rPr>
                <w:rFonts w:hint="eastAsia"/>
                <w:b/>
                <w:color w:val="auto"/>
                <w:sz w:val="24"/>
                <w:lang w:eastAsia="zh-CN"/>
              </w:rPr>
              <w:t>，</w:t>
            </w:r>
            <w:r>
              <w:rPr>
                <w:rFonts w:hint="eastAsia"/>
                <w:b/>
                <w:color w:val="auto"/>
                <w:sz w:val="24"/>
                <w:lang w:val="en-US" w:eastAsia="zh-CN"/>
              </w:rPr>
              <w:t>pH无量纲</w:t>
            </w:r>
          </w:p>
          <w:tbl>
            <w:tblPr>
              <w:tblStyle w:val="25"/>
              <w:tblW w:w="805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107"/>
              <w:gridCol w:w="604"/>
              <w:gridCol w:w="709"/>
              <w:gridCol w:w="777"/>
              <w:gridCol w:w="585"/>
              <w:gridCol w:w="627"/>
              <w:gridCol w:w="655"/>
              <w:gridCol w:w="560"/>
              <w:gridCol w:w="572"/>
              <w:gridCol w:w="858"/>
            </w:tblGrid>
            <w:tr w14:paraId="2521FD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08" w:type="pct"/>
                  <w:noWrap w:val="0"/>
                  <w:vAlign w:val="center"/>
                </w:tcPr>
                <w:p w14:paraId="60C5FDC0">
                  <w:pPr>
                    <w:jc w:val="center"/>
                    <w:rPr>
                      <w:b/>
                      <w:color w:val="auto"/>
                      <w:szCs w:val="21"/>
                    </w:rPr>
                  </w:pPr>
                  <w:r>
                    <w:rPr>
                      <w:b/>
                      <w:color w:val="auto"/>
                      <w:szCs w:val="21"/>
                    </w:rPr>
                    <w:t>污染因子</w:t>
                  </w:r>
                </w:p>
              </w:tc>
              <w:tc>
                <w:tcPr>
                  <w:tcW w:w="374" w:type="pct"/>
                  <w:noWrap w:val="0"/>
                  <w:vAlign w:val="center"/>
                </w:tcPr>
                <w:p w14:paraId="65D6F01B">
                  <w:pPr>
                    <w:jc w:val="center"/>
                    <w:rPr>
                      <w:rFonts w:hint="default" w:eastAsia="宋体"/>
                      <w:b/>
                      <w:color w:val="auto"/>
                      <w:szCs w:val="21"/>
                      <w:lang w:val="en-US" w:eastAsia="zh-CN"/>
                    </w:rPr>
                  </w:pPr>
                  <w:r>
                    <w:rPr>
                      <w:rFonts w:hint="eastAsia"/>
                      <w:b/>
                      <w:color w:val="auto"/>
                      <w:szCs w:val="21"/>
                      <w:lang w:val="en-US" w:eastAsia="zh-CN"/>
                    </w:rPr>
                    <w:t>pH</w:t>
                  </w:r>
                </w:p>
              </w:tc>
              <w:tc>
                <w:tcPr>
                  <w:tcW w:w="440" w:type="pct"/>
                  <w:noWrap w:val="0"/>
                  <w:vAlign w:val="center"/>
                </w:tcPr>
                <w:p w14:paraId="1FFA1724">
                  <w:pPr>
                    <w:jc w:val="center"/>
                    <w:rPr>
                      <w:b/>
                      <w:color w:val="auto"/>
                      <w:szCs w:val="21"/>
                    </w:rPr>
                  </w:pPr>
                  <w:r>
                    <w:rPr>
                      <w:b/>
                      <w:color w:val="auto"/>
                      <w:szCs w:val="21"/>
                    </w:rPr>
                    <w:t>COD</w:t>
                  </w:r>
                </w:p>
              </w:tc>
              <w:tc>
                <w:tcPr>
                  <w:tcW w:w="482" w:type="pct"/>
                  <w:noWrap w:val="0"/>
                  <w:vAlign w:val="center"/>
                </w:tcPr>
                <w:p w14:paraId="23685E18">
                  <w:pPr>
                    <w:jc w:val="center"/>
                    <w:rPr>
                      <w:b/>
                      <w:color w:val="auto"/>
                      <w:szCs w:val="21"/>
                    </w:rPr>
                  </w:pPr>
                  <w:r>
                    <w:rPr>
                      <w:b/>
                      <w:color w:val="auto"/>
                      <w:szCs w:val="21"/>
                    </w:rPr>
                    <w:t>BOD</w:t>
                  </w:r>
                  <w:r>
                    <w:rPr>
                      <w:b/>
                      <w:color w:val="auto"/>
                      <w:szCs w:val="21"/>
                      <w:vertAlign w:val="subscript"/>
                    </w:rPr>
                    <w:t>5</w:t>
                  </w:r>
                </w:p>
              </w:tc>
              <w:tc>
                <w:tcPr>
                  <w:tcW w:w="363" w:type="pct"/>
                  <w:noWrap w:val="0"/>
                  <w:vAlign w:val="center"/>
                </w:tcPr>
                <w:p w14:paraId="72A48047">
                  <w:pPr>
                    <w:jc w:val="center"/>
                    <w:rPr>
                      <w:b/>
                      <w:color w:val="auto"/>
                      <w:szCs w:val="21"/>
                    </w:rPr>
                  </w:pPr>
                  <w:r>
                    <w:rPr>
                      <w:b/>
                      <w:color w:val="auto"/>
                      <w:szCs w:val="21"/>
                    </w:rPr>
                    <w:t>SS</w:t>
                  </w:r>
                </w:p>
              </w:tc>
              <w:tc>
                <w:tcPr>
                  <w:tcW w:w="389" w:type="pct"/>
                  <w:noWrap w:val="0"/>
                  <w:vAlign w:val="center"/>
                </w:tcPr>
                <w:p w14:paraId="1AF06548">
                  <w:pPr>
                    <w:jc w:val="center"/>
                    <w:rPr>
                      <w:rFonts w:hint="default" w:eastAsia="宋体"/>
                      <w:b/>
                      <w:color w:val="auto"/>
                      <w:kern w:val="2"/>
                      <w:sz w:val="21"/>
                      <w:szCs w:val="21"/>
                      <w:lang w:val="en-US" w:eastAsia="zh-CN" w:bidi="ar-SA"/>
                    </w:rPr>
                  </w:pPr>
                  <w:r>
                    <w:rPr>
                      <w:rFonts w:hint="eastAsia"/>
                      <w:b/>
                      <w:color w:val="auto"/>
                      <w:szCs w:val="21"/>
                      <w:lang w:val="en-US" w:eastAsia="zh-CN"/>
                    </w:rPr>
                    <w:t>LAS</w:t>
                  </w:r>
                </w:p>
              </w:tc>
              <w:tc>
                <w:tcPr>
                  <w:tcW w:w="406" w:type="pct"/>
                  <w:noWrap w:val="0"/>
                  <w:vAlign w:val="center"/>
                </w:tcPr>
                <w:p w14:paraId="49E88096">
                  <w:pPr>
                    <w:jc w:val="center"/>
                    <w:rPr>
                      <w:b/>
                      <w:color w:val="auto"/>
                      <w:szCs w:val="21"/>
                    </w:rPr>
                  </w:pPr>
                  <w:r>
                    <w:rPr>
                      <w:b/>
                      <w:color w:val="auto"/>
                      <w:szCs w:val="21"/>
                    </w:rPr>
                    <w:t>氨氮</w:t>
                  </w:r>
                </w:p>
              </w:tc>
              <w:tc>
                <w:tcPr>
                  <w:tcW w:w="347" w:type="pct"/>
                  <w:noWrap w:val="0"/>
                  <w:vAlign w:val="center"/>
                </w:tcPr>
                <w:p w14:paraId="1496F065">
                  <w:pPr>
                    <w:jc w:val="center"/>
                    <w:rPr>
                      <w:b/>
                      <w:color w:val="auto"/>
                      <w:szCs w:val="21"/>
                    </w:rPr>
                  </w:pPr>
                  <w:r>
                    <w:rPr>
                      <w:rFonts w:hint="eastAsia"/>
                      <w:b/>
                      <w:color w:val="auto"/>
                      <w:szCs w:val="21"/>
                    </w:rPr>
                    <w:t>TP</w:t>
                  </w:r>
                </w:p>
              </w:tc>
              <w:tc>
                <w:tcPr>
                  <w:tcW w:w="355" w:type="pct"/>
                  <w:noWrap w:val="0"/>
                  <w:vAlign w:val="center"/>
                </w:tcPr>
                <w:p w14:paraId="0159787C">
                  <w:pPr>
                    <w:jc w:val="center"/>
                    <w:rPr>
                      <w:b/>
                      <w:color w:val="auto"/>
                      <w:szCs w:val="21"/>
                    </w:rPr>
                  </w:pPr>
                  <w:r>
                    <w:rPr>
                      <w:rFonts w:hint="eastAsia"/>
                      <w:b/>
                      <w:color w:val="auto"/>
                      <w:szCs w:val="21"/>
                    </w:rPr>
                    <w:t>TN</w:t>
                  </w:r>
                </w:p>
              </w:tc>
              <w:tc>
                <w:tcPr>
                  <w:tcW w:w="532" w:type="pct"/>
                  <w:noWrap w:val="0"/>
                  <w:vAlign w:val="center"/>
                </w:tcPr>
                <w:p w14:paraId="7919FA00">
                  <w:pPr>
                    <w:jc w:val="center"/>
                    <w:rPr>
                      <w:rFonts w:hint="eastAsia" w:eastAsia="宋体"/>
                      <w:b/>
                      <w:color w:val="auto"/>
                      <w:szCs w:val="21"/>
                      <w:lang w:val="en-US" w:eastAsia="zh-CN"/>
                    </w:rPr>
                  </w:pPr>
                  <w:r>
                    <w:rPr>
                      <w:rFonts w:hint="eastAsia"/>
                      <w:b/>
                      <w:color w:val="auto"/>
                      <w:szCs w:val="21"/>
                      <w:lang w:val="en-US" w:eastAsia="zh-CN"/>
                    </w:rPr>
                    <w:t>石油类</w:t>
                  </w:r>
                </w:p>
              </w:tc>
            </w:tr>
            <w:tr w14:paraId="3508C6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308" w:type="pct"/>
                  <w:noWrap w:val="0"/>
                  <w:vAlign w:val="center"/>
                </w:tcPr>
                <w:p w14:paraId="1E990321">
                  <w:pPr>
                    <w:jc w:val="center"/>
                    <w:rPr>
                      <w:color w:val="auto"/>
                      <w:szCs w:val="21"/>
                    </w:rPr>
                  </w:pPr>
                  <w:r>
                    <w:rPr>
                      <w:rFonts w:hint="eastAsia"/>
                      <w:color w:val="auto"/>
                      <w:szCs w:val="21"/>
                    </w:rPr>
                    <w:t>《汽车维修业水污染物排放标准》（GB26877-2011）表2中间接排放标准</w:t>
                  </w:r>
                </w:p>
              </w:tc>
              <w:tc>
                <w:tcPr>
                  <w:tcW w:w="374" w:type="pct"/>
                  <w:noWrap w:val="0"/>
                  <w:vAlign w:val="center"/>
                </w:tcPr>
                <w:p w14:paraId="682DBA43">
                  <w:pPr>
                    <w:jc w:val="center"/>
                    <w:rPr>
                      <w:rFonts w:hint="eastAsia"/>
                      <w:color w:val="auto"/>
                      <w:szCs w:val="21"/>
                      <w:lang w:val="en-US" w:eastAsia="zh-CN"/>
                    </w:rPr>
                  </w:pPr>
                  <w:r>
                    <w:rPr>
                      <w:rFonts w:hint="eastAsia"/>
                      <w:color w:val="auto"/>
                      <w:szCs w:val="21"/>
                      <w:lang w:val="en-US" w:eastAsia="zh-CN"/>
                    </w:rPr>
                    <w:t>6~9</w:t>
                  </w:r>
                </w:p>
              </w:tc>
              <w:tc>
                <w:tcPr>
                  <w:tcW w:w="440" w:type="pct"/>
                  <w:noWrap w:val="0"/>
                  <w:vAlign w:val="center"/>
                </w:tcPr>
                <w:p w14:paraId="06D0C98C">
                  <w:pPr>
                    <w:jc w:val="center"/>
                    <w:rPr>
                      <w:rFonts w:hint="default" w:eastAsia="宋体"/>
                      <w:color w:val="auto"/>
                      <w:szCs w:val="21"/>
                      <w:lang w:val="en-US" w:eastAsia="zh-CN"/>
                    </w:rPr>
                  </w:pPr>
                  <w:r>
                    <w:rPr>
                      <w:rFonts w:hint="eastAsia"/>
                      <w:color w:val="auto"/>
                      <w:szCs w:val="21"/>
                      <w:lang w:val="en-US" w:eastAsia="zh-CN"/>
                    </w:rPr>
                    <w:t>300</w:t>
                  </w:r>
                </w:p>
              </w:tc>
              <w:tc>
                <w:tcPr>
                  <w:tcW w:w="482" w:type="pct"/>
                  <w:noWrap w:val="0"/>
                  <w:vAlign w:val="center"/>
                </w:tcPr>
                <w:p w14:paraId="66431CC4">
                  <w:pPr>
                    <w:jc w:val="center"/>
                    <w:rPr>
                      <w:rFonts w:hint="default" w:eastAsia="宋体"/>
                      <w:color w:val="auto"/>
                      <w:szCs w:val="21"/>
                      <w:lang w:val="en-US" w:eastAsia="zh-CN"/>
                    </w:rPr>
                  </w:pPr>
                  <w:r>
                    <w:rPr>
                      <w:rFonts w:hint="eastAsia"/>
                      <w:color w:val="auto"/>
                      <w:szCs w:val="21"/>
                      <w:lang w:val="en-US" w:eastAsia="zh-CN"/>
                    </w:rPr>
                    <w:t>150</w:t>
                  </w:r>
                </w:p>
              </w:tc>
              <w:tc>
                <w:tcPr>
                  <w:tcW w:w="363" w:type="pct"/>
                  <w:noWrap w:val="0"/>
                  <w:vAlign w:val="center"/>
                </w:tcPr>
                <w:p w14:paraId="757ABB27">
                  <w:pPr>
                    <w:jc w:val="center"/>
                    <w:rPr>
                      <w:rFonts w:hint="default" w:eastAsia="宋体"/>
                      <w:color w:val="auto"/>
                      <w:szCs w:val="21"/>
                      <w:lang w:val="en-US" w:eastAsia="zh-CN"/>
                    </w:rPr>
                  </w:pPr>
                  <w:r>
                    <w:rPr>
                      <w:rFonts w:hint="eastAsia"/>
                      <w:color w:val="auto"/>
                      <w:szCs w:val="21"/>
                      <w:lang w:val="en-US" w:eastAsia="zh-CN"/>
                    </w:rPr>
                    <w:t>100</w:t>
                  </w:r>
                </w:p>
              </w:tc>
              <w:tc>
                <w:tcPr>
                  <w:tcW w:w="389" w:type="pct"/>
                  <w:noWrap w:val="0"/>
                  <w:vAlign w:val="center"/>
                </w:tcPr>
                <w:p w14:paraId="4A85CE7A">
                  <w:pPr>
                    <w:jc w:val="center"/>
                    <w:rPr>
                      <w:rFonts w:hint="default"/>
                      <w:color w:val="auto"/>
                      <w:szCs w:val="21"/>
                      <w:lang w:val="en-US" w:eastAsia="zh-CN"/>
                    </w:rPr>
                  </w:pPr>
                  <w:r>
                    <w:rPr>
                      <w:rFonts w:hint="eastAsia"/>
                      <w:color w:val="auto"/>
                      <w:szCs w:val="21"/>
                      <w:lang w:val="en-US" w:eastAsia="zh-CN"/>
                    </w:rPr>
                    <w:t>10</w:t>
                  </w:r>
                </w:p>
              </w:tc>
              <w:tc>
                <w:tcPr>
                  <w:tcW w:w="406" w:type="pct"/>
                  <w:noWrap w:val="0"/>
                  <w:vAlign w:val="center"/>
                </w:tcPr>
                <w:p w14:paraId="06CA317E">
                  <w:pPr>
                    <w:jc w:val="center"/>
                    <w:rPr>
                      <w:rFonts w:hint="default" w:eastAsia="宋体"/>
                      <w:color w:val="auto"/>
                      <w:szCs w:val="21"/>
                      <w:lang w:val="en-US" w:eastAsia="zh-CN"/>
                    </w:rPr>
                  </w:pPr>
                  <w:r>
                    <w:rPr>
                      <w:rFonts w:hint="eastAsia"/>
                      <w:color w:val="auto"/>
                      <w:szCs w:val="21"/>
                      <w:lang w:val="en-US" w:eastAsia="zh-CN"/>
                    </w:rPr>
                    <w:t>25</w:t>
                  </w:r>
                </w:p>
              </w:tc>
              <w:tc>
                <w:tcPr>
                  <w:tcW w:w="347" w:type="pct"/>
                  <w:noWrap w:val="0"/>
                  <w:vAlign w:val="center"/>
                </w:tcPr>
                <w:p w14:paraId="6E0317D1">
                  <w:pPr>
                    <w:jc w:val="center"/>
                    <w:rPr>
                      <w:rFonts w:hint="eastAsia" w:eastAsia="宋体"/>
                      <w:color w:val="auto"/>
                      <w:szCs w:val="21"/>
                      <w:lang w:val="en-US" w:eastAsia="zh-CN"/>
                    </w:rPr>
                  </w:pPr>
                  <w:r>
                    <w:rPr>
                      <w:rFonts w:hint="eastAsia"/>
                      <w:color w:val="auto"/>
                      <w:szCs w:val="21"/>
                      <w:lang w:val="en-US" w:eastAsia="zh-CN"/>
                    </w:rPr>
                    <w:t>3</w:t>
                  </w:r>
                </w:p>
              </w:tc>
              <w:tc>
                <w:tcPr>
                  <w:tcW w:w="355" w:type="pct"/>
                  <w:noWrap w:val="0"/>
                  <w:vAlign w:val="center"/>
                </w:tcPr>
                <w:p w14:paraId="66E86F42">
                  <w:pPr>
                    <w:jc w:val="center"/>
                    <w:rPr>
                      <w:rFonts w:hint="default" w:eastAsia="宋体"/>
                      <w:color w:val="auto"/>
                      <w:szCs w:val="21"/>
                      <w:lang w:val="en-US" w:eastAsia="zh-CN"/>
                    </w:rPr>
                  </w:pPr>
                  <w:r>
                    <w:rPr>
                      <w:rFonts w:hint="eastAsia"/>
                      <w:color w:val="auto"/>
                      <w:szCs w:val="21"/>
                      <w:lang w:val="en-US" w:eastAsia="zh-CN"/>
                    </w:rPr>
                    <w:t>30</w:t>
                  </w:r>
                </w:p>
              </w:tc>
              <w:tc>
                <w:tcPr>
                  <w:tcW w:w="532" w:type="pct"/>
                  <w:noWrap w:val="0"/>
                  <w:vAlign w:val="center"/>
                </w:tcPr>
                <w:p w14:paraId="60575C85">
                  <w:pPr>
                    <w:jc w:val="center"/>
                    <w:rPr>
                      <w:rFonts w:hint="default"/>
                      <w:color w:val="auto"/>
                      <w:szCs w:val="21"/>
                      <w:lang w:val="en-US" w:eastAsia="zh-CN"/>
                    </w:rPr>
                  </w:pPr>
                  <w:r>
                    <w:rPr>
                      <w:rFonts w:hint="eastAsia"/>
                      <w:color w:val="auto"/>
                      <w:szCs w:val="21"/>
                      <w:lang w:val="en-US" w:eastAsia="zh-CN"/>
                    </w:rPr>
                    <w:t>10</w:t>
                  </w:r>
                </w:p>
              </w:tc>
            </w:tr>
          </w:tbl>
          <w:p w14:paraId="4AEBBF72">
            <w:pPr>
              <w:spacing w:before="120" w:beforeLines="50" w:line="360" w:lineRule="auto"/>
              <w:ind w:firstLine="482" w:firstLineChars="200"/>
              <w:rPr>
                <w:b/>
                <w:bCs/>
                <w:color w:val="auto"/>
                <w:sz w:val="24"/>
              </w:rPr>
            </w:pPr>
            <w:r>
              <w:rPr>
                <w:rFonts w:hint="eastAsia"/>
                <w:b/>
                <w:bCs/>
                <w:color w:val="auto"/>
                <w:sz w:val="24"/>
              </w:rPr>
              <w:t>3</w:t>
            </w:r>
            <w:r>
              <w:rPr>
                <w:b/>
                <w:bCs/>
                <w:color w:val="auto"/>
                <w:sz w:val="24"/>
              </w:rPr>
              <w:t>、噪声</w:t>
            </w:r>
          </w:p>
          <w:p w14:paraId="28AC450F">
            <w:pPr>
              <w:spacing w:line="360" w:lineRule="auto"/>
              <w:ind w:firstLine="480" w:firstLineChars="200"/>
              <w:rPr>
                <w:bCs/>
                <w:color w:val="auto"/>
                <w:sz w:val="24"/>
              </w:rPr>
            </w:pPr>
            <w:r>
              <w:rPr>
                <w:rFonts w:hint="eastAsia"/>
                <w:bCs/>
                <w:color w:val="auto"/>
                <w:sz w:val="24"/>
              </w:rPr>
              <w:t>施工期噪声执行《建筑施工场界环境噪声排放标准》（GB12523-2011）中的相关要求；</w:t>
            </w:r>
            <w:r>
              <w:rPr>
                <w:bCs/>
                <w:color w:val="auto"/>
                <w:sz w:val="24"/>
              </w:rPr>
              <w:t>运营期厂界噪声执行《工业企业厂界环境噪声排放标准》（GB 12348-2008）</w:t>
            </w:r>
            <w:r>
              <w:rPr>
                <w:rFonts w:hint="eastAsia"/>
                <w:bCs/>
                <w:color w:val="auto"/>
                <w:sz w:val="24"/>
                <w:lang w:val="en-US" w:eastAsia="zh-CN"/>
              </w:rPr>
              <w:t>3</w:t>
            </w:r>
            <w:r>
              <w:rPr>
                <w:bCs/>
                <w:color w:val="auto"/>
                <w:sz w:val="24"/>
              </w:rPr>
              <w:t>类标准。</w:t>
            </w:r>
          </w:p>
          <w:p w14:paraId="067DD9ED">
            <w:pPr>
              <w:pStyle w:val="63"/>
              <w:spacing w:line="240" w:lineRule="auto"/>
              <w:ind w:firstLine="0" w:firstLineChars="0"/>
              <w:jc w:val="center"/>
              <w:rPr>
                <w:rFonts w:hAnsi="Times New Roman" w:cs="Times New Roman"/>
                <w:b/>
                <w:bCs/>
                <w:color w:val="auto"/>
                <w:kern w:val="21"/>
                <w:szCs w:val="24"/>
              </w:rPr>
            </w:pPr>
            <w:r>
              <w:rPr>
                <w:rFonts w:hAnsi="Times New Roman" w:cs="Times New Roman"/>
                <w:b/>
                <w:bCs/>
                <w:color w:val="auto"/>
                <w:kern w:val="21"/>
                <w:szCs w:val="24"/>
              </w:rPr>
              <w:t>表</w:t>
            </w:r>
            <w:r>
              <w:rPr>
                <w:rFonts w:hint="eastAsia" w:hAnsi="Times New Roman" w:cs="Times New Roman"/>
                <w:b/>
                <w:bCs/>
                <w:color w:val="auto"/>
                <w:kern w:val="21"/>
                <w:szCs w:val="24"/>
              </w:rPr>
              <w:t>3-</w:t>
            </w:r>
            <w:r>
              <w:rPr>
                <w:rFonts w:hint="eastAsia" w:hAnsi="Times New Roman" w:cs="Times New Roman"/>
                <w:b/>
                <w:bCs/>
                <w:color w:val="auto"/>
                <w:kern w:val="21"/>
                <w:szCs w:val="24"/>
                <w:lang w:val="en-US" w:eastAsia="zh-CN"/>
              </w:rPr>
              <w:t>6</w:t>
            </w:r>
            <w:r>
              <w:rPr>
                <w:rFonts w:hAnsi="Times New Roman" w:cs="Times New Roman"/>
                <w:b/>
                <w:bCs/>
                <w:color w:val="auto"/>
                <w:kern w:val="21"/>
                <w:szCs w:val="24"/>
              </w:rPr>
              <w:t xml:space="preserve"> </w:t>
            </w:r>
            <w:r>
              <w:rPr>
                <w:rFonts w:hint="eastAsia" w:hAnsi="Times New Roman" w:cs="Times New Roman"/>
                <w:b/>
                <w:bCs/>
                <w:color w:val="auto"/>
                <w:kern w:val="21"/>
                <w:szCs w:val="24"/>
              </w:rPr>
              <w:t xml:space="preserve"> </w:t>
            </w:r>
            <w:r>
              <w:rPr>
                <w:rFonts w:hAnsi="Times New Roman" w:cs="Times New Roman"/>
                <w:b/>
                <w:bCs/>
                <w:color w:val="auto"/>
                <w:kern w:val="21"/>
                <w:szCs w:val="24"/>
              </w:rPr>
              <w:t>噪声排放标准</w:t>
            </w:r>
          </w:p>
          <w:tbl>
            <w:tblPr>
              <w:tblStyle w:val="25"/>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17"/>
              <w:gridCol w:w="2701"/>
              <w:gridCol w:w="2316"/>
              <w:gridCol w:w="1620"/>
            </w:tblGrid>
            <w:tr w14:paraId="049CBC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879" w:type="pct"/>
                  <w:vMerge w:val="restart"/>
                  <w:noWrap w:val="0"/>
                  <w:tcMar>
                    <w:top w:w="0" w:type="dxa"/>
                    <w:left w:w="57" w:type="dxa"/>
                    <w:bottom w:w="0" w:type="dxa"/>
                    <w:right w:w="57" w:type="dxa"/>
                  </w:tcMar>
                  <w:vAlign w:val="center"/>
                </w:tcPr>
                <w:p w14:paraId="4ED485A6">
                  <w:pPr>
                    <w:adjustRightInd w:val="0"/>
                    <w:snapToGrid w:val="0"/>
                    <w:jc w:val="center"/>
                    <w:rPr>
                      <w:b/>
                      <w:color w:val="auto"/>
                      <w:kern w:val="0"/>
                      <w:szCs w:val="21"/>
                    </w:rPr>
                  </w:pPr>
                  <w:r>
                    <w:rPr>
                      <w:b/>
                      <w:color w:val="auto"/>
                      <w:kern w:val="0"/>
                      <w:szCs w:val="21"/>
                    </w:rPr>
                    <w:t>项目阶段</w:t>
                  </w:r>
                </w:p>
              </w:tc>
              <w:tc>
                <w:tcPr>
                  <w:tcW w:w="1676" w:type="pct"/>
                  <w:vMerge w:val="restart"/>
                  <w:noWrap w:val="0"/>
                  <w:vAlign w:val="center"/>
                </w:tcPr>
                <w:p w14:paraId="685B22E7">
                  <w:pPr>
                    <w:adjustRightInd w:val="0"/>
                    <w:snapToGrid w:val="0"/>
                    <w:jc w:val="center"/>
                    <w:rPr>
                      <w:b/>
                      <w:color w:val="auto"/>
                      <w:kern w:val="0"/>
                      <w:szCs w:val="21"/>
                    </w:rPr>
                  </w:pPr>
                  <w:r>
                    <w:rPr>
                      <w:b/>
                      <w:color w:val="auto"/>
                      <w:kern w:val="0"/>
                      <w:szCs w:val="21"/>
                    </w:rPr>
                    <w:t>功能类别</w:t>
                  </w:r>
                </w:p>
              </w:tc>
              <w:tc>
                <w:tcPr>
                  <w:tcW w:w="2443" w:type="pct"/>
                  <w:gridSpan w:val="2"/>
                  <w:noWrap w:val="0"/>
                  <w:vAlign w:val="center"/>
                </w:tcPr>
                <w:p w14:paraId="5F202A2A">
                  <w:pPr>
                    <w:adjustRightInd w:val="0"/>
                    <w:snapToGrid w:val="0"/>
                    <w:jc w:val="center"/>
                    <w:rPr>
                      <w:b/>
                      <w:color w:val="auto"/>
                      <w:kern w:val="0"/>
                      <w:szCs w:val="21"/>
                    </w:rPr>
                  </w:pPr>
                  <w:r>
                    <w:rPr>
                      <w:b/>
                      <w:color w:val="auto"/>
                      <w:kern w:val="0"/>
                      <w:szCs w:val="21"/>
                    </w:rPr>
                    <w:t>限值</w:t>
                  </w:r>
                  <w:r>
                    <w:rPr>
                      <w:b/>
                      <w:bCs/>
                      <w:color w:val="auto"/>
                      <w:kern w:val="0"/>
                      <w:szCs w:val="21"/>
                    </w:rPr>
                    <w:t>dB(A)</w:t>
                  </w:r>
                </w:p>
              </w:tc>
            </w:tr>
            <w:tr w14:paraId="511448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879" w:type="pct"/>
                  <w:vMerge w:val="continue"/>
                  <w:noWrap w:val="0"/>
                  <w:tcMar>
                    <w:top w:w="0" w:type="dxa"/>
                    <w:left w:w="57" w:type="dxa"/>
                    <w:bottom w:w="0" w:type="dxa"/>
                    <w:right w:w="57" w:type="dxa"/>
                  </w:tcMar>
                  <w:vAlign w:val="center"/>
                </w:tcPr>
                <w:p w14:paraId="08DC8E89">
                  <w:pPr>
                    <w:adjustRightInd w:val="0"/>
                    <w:snapToGrid w:val="0"/>
                    <w:jc w:val="center"/>
                    <w:rPr>
                      <w:b/>
                      <w:color w:val="auto"/>
                      <w:kern w:val="0"/>
                      <w:szCs w:val="21"/>
                    </w:rPr>
                  </w:pPr>
                </w:p>
              </w:tc>
              <w:tc>
                <w:tcPr>
                  <w:tcW w:w="1676" w:type="pct"/>
                  <w:vMerge w:val="continue"/>
                  <w:noWrap w:val="0"/>
                  <w:vAlign w:val="center"/>
                </w:tcPr>
                <w:p w14:paraId="63F7D6A6">
                  <w:pPr>
                    <w:adjustRightInd w:val="0"/>
                    <w:snapToGrid w:val="0"/>
                    <w:jc w:val="center"/>
                    <w:rPr>
                      <w:b/>
                      <w:color w:val="auto"/>
                      <w:kern w:val="0"/>
                      <w:szCs w:val="21"/>
                    </w:rPr>
                  </w:pPr>
                </w:p>
              </w:tc>
              <w:tc>
                <w:tcPr>
                  <w:tcW w:w="1437" w:type="pct"/>
                  <w:noWrap w:val="0"/>
                  <w:vAlign w:val="center"/>
                </w:tcPr>
                <w:p w14:paraId="740A1B62">
                  <w:pPr>
                    <w:adjustRightInd w:val="0"/>
                    <w:snapToGrid w:val="0"/>
                    <w:jc w:val="center"/>
                    <w:rPr>
                      <w:b/>
                      <w:bCs/>
                      <w:color w:val="auto"/>
                      <w:kern w:val="0"/>
                      <w:szCs w:val="21"/>
                    </w:rPr>
                  </w:pPr>
                  <w:r>
                    <w:rPr>
                      <w:b/>
                      <w:bCs/>
                      <w:color w:val="auto"/>
                      <w:kern w:val="0"/>
                      <w:szCs w:val="21"/>
                    </w:rPr>
                    <w:t>昼间</w:t>
                  </w:r>
                </w:p>
              </w:tc>
              <w:tc>
                <w:tcPr>
                  <w:tcW w:w="1005" w:type="pct"/>
                  <w:noWrap w:val="0"/>
                  <w:vAlign w:val="center"/>
                </w:tcPr>
                <w:p w14:paraId="5C1739AF">
                  <w:pPr>
                    <w:adjustRightInd w:val="0"/>
                    <w:snapToGrid w:val="0"/>
                    <w:jc w:val="center"/>
                    <w:rPr>
                      <w:b/>
                      <w:bCs/>
                      <w:color w:val="auto"/>
                      <w:kern w:val="0"/>
                      <w:szCs w:val="21"/>
                    </w:rPr>
                  </w:pPr>
                  <w:r>
                    <w:rPr>
                      <w:b/>
                      <w:bCs/>
                      <w:color w:val="auto"/>
                      <w:kern w:val="0"/>
                      <w:szCs w:val="21"/>
                    </w:rPr>
                    <w:t>夜间</w:t>
                  </w:r>
                </w:p>
              </w:tc>
            </w:tr>
            <w:tr w14:paraId="14E66A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9" w:type="pct"/>
                  <w:noWrap w:val="0"/>
                  <w:tcMar>
                    <w:top w:w="0" w:type="dxa"/>
                    <w:left w:w="57" w:type="dxa"/>
                    <w:bottom w:w="0" w:type="dxa"/>
                    <w:right w:w="57" w:type="dxa"/>
                  </w:tcMar>
                  <w:vAlign w:val="center"/>
                </w:tcPr>
                <w:p w14:paraId="1EABA570">
                  <w:pPr>
                    <w:adjustRightInd w:val="0"/>
                    <w:snapToGrid w:val="0"/>
                    <w:jc w:val="center"/>
                    <w:rPr>
                      <w:color w:val="auto"/>
                      <w:kern w:val="0"/>
                      <w:sz w:val="21"/>
                      <w:szCs w:val="21"/>
                      <w:lang w:val="en-US" w:eastAsia="zh-CN" w:bidi="ar-SA"/>
                    </w:rPr>
                  </w:pPr>
                  <w:r>
                    <w:rPr>
                      <w:rFonts w:hint="eastAsia"/>
                      <w:color w:val="auto"/>
                      <w:kern w:val="0"/>
                      <w:szCs w:val="21"/>
                    </w:rPr>
                    <w:t>施工期</w:t>
                  </w:r>
                </w:p>
              </w:tc>
              <w:tc>
                <w:tcPr>
                  <w:tcW w:w="1676" w:type="pct"/>
                  <w:noWrap w:val="0"/>
                  <w:vAlign w:val="center"/>
                </w:tcPr>
                <w:p w14:paraId="62AE20E2">
                  <w:pPr>
                    <w:adjustRightInd w:val="0"/>
                    <w:snapToGrid w:val="0"/>
                    <w:jc w:val="center"/>
                    <w:rPr>
                      <w:rFonts w:hint="eastAsia"/>
                      <w:color w:val="auto"/>
                      <w:kern w:val="0"/>
                      <w:sz w:val="21"/>
                      <w:szCs w:val="21"/>
                      <w:lang w:val="en-US" w:eastAsia="zh-CN" w:bidi="ar-SA"/>
                    </w:rPr>
                  </w:pPr>
                  <w:r>
                    <w:rPr>
                      <w:rFonts w:hint="eastAsia"/>
                      <w:color w:val="auto"/>
                      <w:kern w:val="0"/>
                      <w:szCs w:val="21"/>
                    </w:rPr>
                    <w:t>/</w:t>
                  </w:r>
                </w:p>
              </w:tc>
              <w:tc>
                <w:tcPr>
                  <w:tcW w:w="1437" w:type="pct"/>
                  <w:noWrap w:val="0"/>
                  <w:vAlign w:val="center"/>
                </w:tcPr>
                <w:p w14:paraId="3619F984">
                  <w:pPr>
                    <w:adjustRightInd w:val="0"/>
                    <w:snapToGrid w:val="0"/>
                    <w:jc w:val="center"/>
                    <w:rPr>
                      <w:rFonts w:hint="eastAsia"/>
                      <w:color w:val="auto"/>
                      <w:kern w:val="0"/>
                      <w:sz w:val="21"/>
                      <w:szCs w:val="21"/>
                      <w:lang w:val="en-US" w:eastAsia="zh-CN" w:bidi="ar-SA"/>
                    </w:rPr>
                  </w:pPr>
                  <w:r>
                    <w:rPr>
                      <w:rFonts w:hint="eastAsia"/>
                      <w:color w:val="auto"/>
                      <w:kern w:val="0"/>
                      <w:szCs w:val="21"/>
                    </w:rPr>
                    <w:t>70</w:t>
                  </w:r>
                </w:p>
              </w:tc>
              <w:tc>
                <w:tcPr>
                  <w:tcW w:w="1005" w:type="pct"/>
                  <w:noWrap w:val="0"/>
                  <w:vAlign w:val="center"/>
                </w:tcPr>
                <w:p w14:paraId="782D0855">
                  <w:pPr>
                    <w:adjustRightInd w:val="0"/>
                    <w:snapToGrid w:val="0"/>
                    <w:jc w:val="center"/>
                    <w:rPr>
                      <w:rFonts w:hint="eastAsia"/>
                      <w:color w:val="auto"/>
                      <w:kern w:val="0"/>
                      <w:sz w:val="21"/>
                      <w:szCs w:val="21"/>
                      <w:lang w:val="en-US" w:eastAsia="zh-CN" w:bidi="ar-SA"/>
                    </w:rPr>
                  </w:pPr>
                  <w:r>
                    <w:rPr>
                      <w:rFonts w:hint="eastAsia"/>
                      <w:color w:val="auto"/>
                      <w:kern w:val="0"/>
                      <w:szCs w:val="21"/>
                    </w:rPr>
                    <w:t>55</w:t>
                  </w:r>
                </w:p>
              </w:tc>
            </w:tr>
            <w:tr w14:paraId="71172D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9" w:type="pct"/>
                  <w:noWrap w:val="0"/>
                  <w:tcMar>
                    <w:top w:w="0" w:type="dxa"/>
                    <w:left w:w="57" w:type="dxa"/>
                    <w:bottom w:w="0" w:type="dxa"/>
                    <w:right w:w="57" w:type="dxa"/>
                  </w:tcMar>
                  <w:vAlign w:val="center"/>
                </w:tcPr>
                <w:p w14:paraId="1D94FD6E">
                  <w:pPr>
                    <w:adjustRightInd w:val="0"/>
                    <w:snapToGrid w:val="0"/>
                    <w:jc w:val="center"/>
                    <w:rPr>
                      <w:color w:val="auto"/>
                      <w:kern w:val="0"/>
                      <w:szCs w:val="21"/>
                    </w:rPr>
                  </w:pPr>
                  <w:r>
                    <w:rPr>
                      <w:color w:val="auto"/>
                      <w:kern w:val="0"/>
                      <w:szCs w:val="21"/>
                    </w:rPr>
                    <w:t>运营期</w:t>
                  </w:r>
                </w:p>
              </w:tc>
              <w:tc>
                <w:tcPr>
                  <w:tcW w:w="1676" w:type="pct"/>
                  <w:noWrap w:val="0"/>
                  <w:vAlign w:val="center"/>
                </w:tcPr>
                <w:p w14:paraId="311B09F1">
                  <w:pPr>
                    <w:adjustRightInd w:val="0"/>
                    <w:snapToGrid w:val="0"/>
                    <w:jc w:val="center"/>
                    <w:rPr>
                      <w:rFonts w:hint="eastAsia"/>
                      <w:color w:val="auto"/>
                      <w:kern w:val="0"/>
                      <w:szCs w:val="21"/>
                    </w:rPr>
                  </w:pPr>
                  <w:r>
                    <w:rPr>
                      <w:rFonts w:hint="eastAsia"/>
                      <w:color w:val="auto"/>
                      <w:kern w:val="0"/>
                      <w:szCs w:val="21"/>
                      <w:lang w:val="en-US" w:eastAsia="zh-CN"/>
                    </w:rPr>
                    <w:t>3</w:t>
                  </w:r>
                  <w:r>
                    <w:rPr>
                      <w:color w:val="auto"/>
                      <w:kern w:val="0"/>
                      <w:szCs w:val="21"/>
                    </w:rPr>
                    <w:t>类</w:t>
                  </w:r>
                </w:p>
              </w:tc>
              <w:tc>
                <w:tcPr>
                  <w:tcW w:w="1437" w:type="pct"/>
                  <w:noWrap w:val="0"/>
                  <w:vAlign w:val="center"/>
                </w:tcPr>
                <w:p w14:paraId="57D9297C">
                  <w:pPr>
                    <w:adjustRightInd w:val="0"/>
                    <w:snapToGrid w:val="0"/>
                    <w:jc w:val="center"/>
                    <w:rPr>
                      <w:rFonts w:hint="eastAsia" w:eastAsia="宋体"/>
                      <w:color w:val="auto"/>
                      <w:kern w:val="0"/>
                      <w:szCs w:val="21"/>
                      <w:lang w:eastAsia="zh-CN"/>
                    </w:rPr>
                  </w:pPr>
                  <w:r>
                    <w:rPr>
                      <w:rFonts w:hint="eastAsia"/>
                      <w:color w:val="auto"/>
                      <w:kern w:val="0"/>
                      <w:szCs w:val="21"/>
                    </w:rPr>
                    <w:t>6</w:t>
                  </w:r>
                  <w:r>
                    <w:rPr>
                      <w:rFonts w:hint="eastAsia"/>
                      <w:color w:val="auto"/>
                      <w:kern w:val="0"/>
                      <w:szCs w:val="21"/>
                      <w:lang w:val="en-US" w:eastAsia="zh-CN"/>
                    </w:rPr>
                    <w:t>5</w:t>
                  </w:r>
                </w:p>
              </w:tc>
              <w:tc>
                <w:tcPr>
                  <w:tcW w:w="1005" w:type="pct"/>
                  <w:noWrap w:val="0"/>
                  <w:vAlign w:val="center"/>
                </w:tcPr>
                <w:p w14:paraId="709D93F9">
                  <w:pPr>
                    <w:adjustRightInd w:val="0"/>
                    <w:snapToGrid w:val="0"/>
                    <w:jc w:val="center"/>
                    <w:rPr>
                      <w:rFonts w:hint="eastAsia" w:eastAsia="宋体"/>
                      <w:color w:val="auto"/>
                      <w:kern w:val="0"/>
                      <w:szCs w:val="21"/>
                      <w:lang w:eastAsia="zh-CN"/>
                    </w:rPr>
                  </w:pPr>
                  <w:r>
                    <w:rPr>
                      <w:rFonts w:hint="eastAsia"/>
                      <w:color w:val="auto"/>
                      <w:kern w:val="0"/>
                      <w:szCs w:val="21"/>
                    </w:rPr>
                    <w:t>5</w:t>
                  </w:r>
                  <w:r>
                    <w:rPr>
                      <w:rFonts w:hint="eastAsia"/>
                      <w:color w:val="auto"/>
                      <w:kern w:val="0"/>
                      <w:szCs w:val="21"/>
                      <w:lang w:val="en-US" w:eastAsia="zh-CN"/>
                    </w:rPr>
                    <w:t>5</w:t>
                  </w:r>
                </w:p>
              </w:tc>
            </w:tr>
          </w:tbl>
          <w:p w14:paraId="4BC7DD71">
            <w:pPr>
              <w:spacing w:line="480" w:lineRule="exact"/>
              <w:ind w:firstLine="482" w:firstLineChars="200"/>
              <w:rPr>
                <w:b/>
                <w:bCs/>
                <w:color w:val="auto"/>
                <w:sz w:val="24"/>
              </w:rPr>
            </w:pPr>
            <w:r>
              <w:rPr>
                <w:rFonts w:hint="eastAsia"/>
                <w:b/>
                <w:bCs/>
                <w:color w:val="auto"/>
                <w:sz w:val="24"/>
              </w:rPr>
              <w:t>4</w:t>
            </w:r>
            <w:r>
              <w:rPr>
                <w:b/>
                <w:bCs/>
                <w:color w:val="auto"/>
                <w:sz w:val="24"/>
              </w:rPr>
              <w:t>、固废</w:t>
            </w:r>
          </w:p>
          <w:p w14:paraId="117C43BC">
            <w:pPr>
              <w:spacing w:line="480" w:lineRule="exact"/>
              <w:ind w:firstLine="480" w:firstLineChars="200"/>
              <w:rPr>
                <w:rFonts w:hint="eastAsia"/>
                <w:color w:val="auto"/>
                <w:kern w:val="0"/>
                <w:szCs w:val="21"/>
              </w:rPr>
            </w:pPr>
            <w:r>
              <w:rPr>
                <w:color w:val="auto"/>
                <w:sz w:val="24"/>
              </w:rPr>
              <w:t>危险废物执行《危险废物贮存污染控制标准》（GB18597-2023）中相关规定</w:t>
            </w:r>
            <w:r>
              <w:rPr>
                <w:rFonts w:hint="eastAsia"/>
                <w:color w:val="auto"/>
                <w:sz w:val="24"/>
              </w:rPr>
              <w:t>。</w:t>
            </w:r>
          </w:p>
        </w:tc>
      </w:tr>
      <w:tr w14:paraId="213DBF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0" w:type="dxa"/>
            <w:noWrap w:val="0"/>
            <w:vAlign w:val="center"/>
          </w:tcPr>
          <w:p w14:paraId="11B13C1C">
            <w:pPr>
              <w:adjustRightInd w:val="0"/>
              <w:snapToGrid w:val="0"/>
              <w:jc w:val="center"/>
              <w:rPr>
                <w:color w:val="auto"/>
                <w:kern w:val="0"/>
                <w:szCs w:val="21"/>
              </w:rPr>
            </w:pPr>
            <w:r>
              <w:rPr>
                <w:color w:val="auto"/>
                <w:kern w:val="0"/>
                <w:sz w:val="24"/>
              </w:rPr>
              <w:t>总量控制指标</w:t>
            </w:r>
          </w:p>
        </w:tc>
        <w:tc>
          <w:tcPr>
            <w:tcW w:w="8190" w:type="dxa"/>
            <w:noWrap w:val="0"/>
            <w:vAlign w:val="center"/>
          </w:tcPr>
          <w:p w14:paraId="316CE1CA">
            <w:pPr>
              <w:pStyle w:val="63"/>
              <w:keepNext w:val="0"/>
              <w:keepLines w:val="0"/>
              <w:pageBreakBefore w:val="0"/>
              <w:widowControl w:val="0"/>
              <w:kinsoku/>
              <w:wordWrap/>
              <w:overflowPunct/>
              <w:topLinePunct w:val="0"/>
              <w:autoSpaceDE/>
              <w:autoSpaceDN/>
              <w:bidi w:val="0"/>
              <w:adjustRightInd w:val="0"/>
              <w:snapToGrid w:val="0"/>
              <w:spacing w:before="157" w:beforeLines="50" w:line="360" w:lineRule="auto"/>
              <w:textAlignment w:val="auto"/>
              <w:rPr>
                <w:rFonts w:hAnsi="Times New Roman" w:cs="Times New Roman"/>
                <w:color w:val="auto"/>
                <w:kern w:val="0"/>
              </w:rPr>
            </w:pPr>
            <w:r>
              <w:rPr>
                <w:rFonts w:hAnsi="Times New Roman" w:cs="Times New Roman"/>
                <w:color w:val="auto"/>
                <w:kern w:val="0"/>
              </w:rPr>
              <w:t>根据</w:t>
            </w:r>
            <w:r>
              <w:rPr>
                <w:rFonts w:hint="eastAsia" w:hAnsi="Times New Roman" w:cs="Times New Roman"/>
                <w:color w:val="auto"/>
                <w:kern w:val="0"/>
              </w:rPr>
              <w:t>“</w:t>
            </w:r>
            <w:r>
              <w:rPr>
                <w:rFonts w:hAnsi="Times New Roman" w:cs="Times New Roman"/>
                <w:color w:val="auto"/>
                <w:kern w:val="0"/>
              </w:rPr>
              <w:t>十四五</w:t>
            </w:r>
            <w:r>
              <w:rPr>
                <w:rFonts w:hint="eastAsia" w:hAnsi="Times New Roman" w:cs="Times New Roman"/>
                <w:color w:val="auto"/>
                <w:kern w:val="0"/>
              </w:rPr>
              <w:t>”</w:t>
            </w:r>
            <w:r>
              <w:rPr>
                <w:rFonts w:hAnsi="Times New Roman" w:cs="Times New Roman"/>
                <w:color w:val="auto"/>
                <w:kern w:val="0"/>
              </w:rPr>
              <w:t>全国主要污染物排放总量控制中提出的全国主要污染物排放总量控制项目，结合本项目工艺特征和排污特点，确定本项目污染物总量控制因子为：</w:t>
            </w:r>
            <w:r>
              <w:rPr>
                <w:rFonts w:hint="eastAsia" w:hAnsi="Times New Roman" w:cs="Times New Roman"/>
                <w:color w:val="auto"/>
                <w:kern w:val="0"/>
              </w:rPr>
              <w:t>COD、</w:t>
            </w:r>
            <w:r>
              <w:rPr>
                <w:rFonts w:hAnsi="Times New Roman" w:cs="Times New Roman"/>
                <w:color w:val="auto"/>
                <w:kern w:val="0"/>
              </w:rPr>
              <w:t>NH</w:t>
            </w:r>
            <w:r>
              <w:rPr>
                <w:rFonts w:hAnsi="Times New Roman" w:cs="Times New Roman"/>
                <w:color w:val="auto"/>
                <w:kern w:val="0"/>
                <w:vertAlign w:val="subscript"/>
              </w:rPr>
              <w:t>3</w:t>
            </w:r>
            <w:r>
              <w:rPr>
                <w:rFonts w:hAnsi="Times New Roman" w:cs="Times New Roman"/>
                <w:color w:val="auto"/>
                <w:kern w:val="0"/>
              </w:rPr>
              <w:t>-N</w:t>
            </w:r>
            <w:r>
              <w:rPr>
                <w:rFonts w:hint="eastAsia" w:hAnsi="Times New Roman" w:cs="Times New Roman"/>
                <w:color w:val="auto"/>
                <w:kern w:val="0"/>
              </w:rPr>
              <w:t>、</w:t>
            </w:r>
            <w:r>
              <w:rPr>
                <w:rFonts w:hint="eastAsia"/>
                <w:color w:val="auto"/>
                <w:highlight w:val="none"/>
                <w:lang w:val="en-US" w:eastAsia="zh-CN"/>
              </w:rPr>
              <w:t>VOCs</w:t>
            </w:r>
            <w:r>
              <w:rPr>
                <w:rFonts w:hAnsi="Times New Roman" w:cs="Times New Roman"/>
                <w:color w:val="auto"/>
                <w:kern w:val="0"/>
              </w:rPr>
              <w:t>。</w:t>
            </w:r>
          </w:p>
          <w:p w14:paraId="666BE2E4">
            <w:pPr>
              <w:pStyle w:val="63"/>
              <w:adjustRightInd w:val="0"/>
              <w:snapToGrid w:val="0"/>
              <w:spacing w:line="360" w:lineRule="auto"/>
              <w:rPr>
                <w:rFonts w:hAnsi="Times New Roman" w:cs="Times New Roman"/>
                <w:color w:val="auto"/>
                <w:kern w:val="0"/>
              </w:rPr>
            </w:pPr>
            <w:r>
              <w:rPr>
                <w:rFonts w:hAnsi="Times New Roman" w:cs="Times New Roman"/>
                <w:color w:val="auto"/>
                <w:kern w:val="0"/>
              </w:rPr>
              <w:t>本项目</w:t>
            </w:r>
            <w:r>
              <w:rPr>
                <w:rFonts w:hAnsi="Times New Roman" w:cs="Times New Roman"/>
                <w:color w:val="auto"/>
                <w:kern w:val="0"/>
                <w:highlight w:val="none"/>
              </w:rPr>
              <w:t>污染物总量为：</w:t>
            </w:r>
            <w:r>
              <w:rPr>
                <w:rFonts w:hAnsi="Times New Roman" w:cs="Times New Roman"/>
                <w:color w:val="auto"/>
                <w:kern w:val="0"/>
              </w:rPr>
              <w:t>NH</w:t>
            </w:r>
            <w:r>
              <w:rPr>
                <w:rFonts w:hAnsi="Times New Roman" w:cs="Times New Roman"/>
                <w:color w:val="auto"/>
                <w:kern w:val="0"/>
                <w:vertAlign w:val="subscript"/>
              </w:rPr>
              <w:t>3</w:t>
            </w:r>
            <w:r>
              <w:rPr>
                <w:rFonts w:hAnsi="Times New Roman" w:cs="Times New Roman"/>
                <w:color w:val="auto"/>
                <w:kern w:val="0"/>
              </w:rPr>
              <w:t>-N：</w:t>
            </w:r>
            <w:r>
              <w:rPr>
                <w:rFonts w:hint="eastAsia" w:hAnsi="Times New Roman" w:cs="Times New Roman"/>
                <w:color w:val="auto"/>
                <w:kern w:val="0"/>
              </w:rPr>
              <w:t>0.0</w:t>
            </w:r>
            <w:r>
              <w:rPr>
                <w:rFonts w:hint="eastAsia" w:hAnsi="Times New Roman" w:cs="Times New Roman"/>
                <w:color w:val="auto"/>
                <w:kern w:val="0"/>
                <w:lang w:val="en-US" w:eastAsia="zh-CN"/>
              </w:rPr>
              <w:t>36</w:t>
            </w:r>
            <w:r>
              <w:rPr>
                <w:rFonts w:hint="eastAsia" w:hAnsi="Times New Roman" w:cs="Times New Roman"/>
                <w:color w:val="auto"/>
                <w:kern w:val="0"/>
              </w:rPr>
              <w:t>t</w:t>
            </w:r>
            <w:r>
              <w:rPr>
                <w:rFonts w:hAnsi="Times New Roman" w:cs="Times New Roman"/>
                <w:color w:val="auto"/>
                <w:kern w:val="0"/>
              </w:rPr>
              <w:t>/a</w:t>
            </w:r>
            <w:r>
              <w:rPr>
                <w:rFonts w:hint="eastAsia" w:hAnsi="Times New Roman" w:cs="Times New Roman"/>
                <w:color w:val="auto"/>
                <w:kern w:val="0"/>
              </w:rPr>
              <w:t>、COD</w:t>
            </w:r>
            <w:r>
              <w:rPr>
                <w:rFonts w:hAnsi="Times New Roman" w:cs="Times New Roman"/>
                <w:color w:val="auto"/>
                <w:kern w:val="0"/>
              </w:rPr>
              <w:t>：</w:t>
            </w:r>
            <w:r>
              <w:rPr>
                <w:rFonts w:hint="eastAsia" w:hAnsi="Times New Roman" w:cs="Times New Roman"/>
                <w:color w:val="auto"/>
                <w:kern w:val="0"/>
                <w:lang w:eastAsia="zh-CN"/>
              </w:rPr>
              <w:t>0.</w:t>
            </w:r>
            <w:r>
              <w:rPr>
                <w:rFonts w:hint="eastAsia" w:hAnsi="Times New Roman" w:cs="Times New Roman"/>
                <w:color w:val="auto"/>
                <w:kern w:val="0"/>
                <w:lang w:val="en-US" w:eastAsia="zh-CN"/>
              </w:rPr>
              <w:t>429</w:t>
            </w:r>
            <w:r>
              <w:rPr>
                <w:rFonts w:hint="eastAsia" w:hAnsi="Times New Roman" w:cs="Times New Roman"/>
                <w:color w:val="auto"/>
                <w:kern w:val="0"/>
              </w:rPr>
              <w:t>t</w:t>
            </w:r>
            <w:r>
              <w:rPr>
                <w:rFonts w:hAnsi="Times New Roman" w:cs="Times New Roman"/>
                <w:color w:val="auto"/>
                <w:kern w:val="0"/>
              </w:rPr>
              <w:t>/a</w:t>
            </w:r>
            <w:r>
              <w:rPr>
                <w:rFonts w:hint="eastAsia" w:hAnsi="Times New Roman" w:cs="Times New Roman"/>
                <w:color w:val="auto"/>
                <w:kern w:val="0"/>
              </w:rPr>
              <w:t>、</w:t>
            </w:r>
            <w:r>
              <w:rPr>
                <w:rFonts w:hint="eastAsia"/>
                <w:color w:val="auto"/>
                <w:highlight w:val="none"/>
                <w:lang w:val="en-US" w:eastAsia="zh-CN"/>
              </w:rPr>
              <w:t>VOCs</w:t>
            </w:r>
            <w:r>
              <w:rPr>
                <w:rFonts w:hint="eastAsia"/>
                <w:color w:val="auto"/>
              </w:rPr>
              <w:t>：</w:t>
            </w:r>
            <w:r>
              <w:rPr>
                <w:rFonts w:hint="eastAsia" w:hAnsi="Times New Roman" w:cs="Times New Roman"/>
                <w:color w:val="auto"/>
                <w:kern w:val="0"/>
                <w:lang w:val="en-US" w:eastAsia="zh-CN"/>
              </w:rPr>
              <w:t>1.232</w:t>
            </w:r>
            <w:r>
              <w:rPr>
                <w:rFonts w:hAnsi="Times New Roman" w:cs="Times New Roman"/>
                <w:color w:val="auto"/>
                <w:kern w:val="0"/>
              </w:rPr>
              <w:t>t/a。</w:t>
            </w:r>
          </w:p>
          <w:p w14:paraId="7129A737">
            <w:pPr>
              <w:pStyle w:val="63"/>
              <w:adjustRightInd w:val="0"/>
              <w:snapToGrid w:val="0"/>
              <w:spacing w:line="360" w:lineRule="auto"/>
              <w:rPr>
                <w:rFonts w:hAnsi="Times New Roman" w:cs="Times New Roman"/>
                <w:color w:val="auto"/>
                <w:kern w:val="0"/>
              </w:rPr>
            </w:pPr>
            <w:r>
              <w:rPr>
                <w:rFonts w:hAnsi="Times New Roman" w:cs="Times New Roman"/>
                <w:color w:val="auto"/>
                <w:kern w:val="0"/>
              </w:rPr>
              <w:t>项目具体总量指标最后以当地</w:t>
            </w:r>
            <w:r>
              <w:rPr>
                <w:rFonts w:hint="eastAsia" w:hAnsi="Times New Roman" w:cs="Times New Roman"/>
                <w:color w:val="auto"/>
                <w:kern w:val="0"/>
                <w:lang w:val="en-US" w:eastAsia="zh-CN"/>
              </w:rPr>
              <w:t>生态环境保护</w:t>
            </w:r>
            <w:r>
              <w:rPr>
                <w:rFonts w:hAnsi="Times New Roman" w:cs="Times New Roman"/>
                <w:color w:val="auto"/>
                <w:kern w:val="0"/>
              </w:rPr>
              <w:t>部门核定的总量为准。</w:t>
            </w:r>
          </w:p>
          <w:p w14:paraId="7156B228">
            <w:pPr>
              <w:pStyle w:val="63"/>
              <w:adjustRightInd w:val="0"/>
              <w:snapToGrid w:val="0"/>
              <w:spacing w:line="360" w:lineRule="auto"/>
              <w:rPr>
                <w:rFonts w:hAnsi="Times New Roman" w:cs="Times New Roman"/>
                <w:color w:val="auto"/>
                <w:kern w:val="0"/>
              </w:rPr>
            </w:pPr>
          </w:p>
          <w:p w14:paraId="09748F61">
            <w:pPr>
              <w:pStyle w:val="63"/>
              <w:adjustRightInd w:val="0"/>
              <w:snapToGrid w:val="0"/>
              <w:spacing w:line="360" w:lineRule="auto"/>
              <w:rPr>
                <w:rFonts w:hAnsi="Times New Roman" w:cs="Times New Roman"/>
                <w:color w:val="auto"/>
                <w:kern w:val="0"/>
              </w:rPr>
            </w:pPr>
          </w:p>
          <w:p w14:paraId="60ABA508">
            <w:pPr>
              <w:pStyle w:val="63"/>
              <w:adjustRightInd w:val="0"/>
              <w:snapToGrid w:val="0"/>
              <w:spacing w:line="360" w:lineRule="auto"/>
              <w:rPr>
                <w:rFonts w:hint="eastAsia"/>
                <w:color w:val="auto"/>
              </w:rPr>
            </w:pPr>
          </w:p>
        </w:tc>
      </w:tr>
    </w:tbl>
    <w:p w14:paraId="44B7EA34">
      <w:pPr>
        <w:pStyle w:val="22"/>
        <w:jc w:val="both"/>
        <w:outlineLvl w:val="0"/>
        <w:rPr>
          <w:rFonts w:ascii="黑体" w:hAnsi="黑体" w:eastAsia="黑体"/>
          <w:snapToGrid w:val="0"/>
          <w:color w:val="auto"/>
          <w:sz w:val="36"/>
          <w:szCs w:val="36"/>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p w14:paraId="49BF9905">
      <w:pPr>
        <w:pStyle w:val="22"/>
        <w:jc w:val="center"/>
        <w:outlineLvl w:val="0"/>
        <w:rPr>
          <w:rFonts w:ascii="黑体" w:hAnsi="黑体" w:eastAsia="黑体"/>
          <w:snapToGrid w:val="0"/>
          <w:color w:val="auto"/>
          <w:sz w:val="30"/>
          <w:szCs w:val="30"/>
        </w:rPr>
      </w:pPr>
      <w:r>
        <w:rPr>
          <w:rFonts w:hint="eastAsia" w:ascii="黑体" w:hAnsi="黑体" w:eastAsia="黑体"/>
          <w:snapToGrid w:val="0"/>
          <w:color w:val="auto"/>
          <w:sz w:val="30"/>
          <w:szCs w:val="30"/>
        </w:rPr>
        <w:t>四、主要环境影响和保护措施</w:t>
      </w:r>
    </w:p>
    <w:tbl>
      <w:tblPr>
        <w:tblStyle w:val="25"/>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46"/>
        <w:gridCol w:w="8162"/>
      </w:tblGrid>
      <w:tr w14:paraId="567FAB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49" w:hRule="atLeast"/>
          <w:jc w:val="center"/>
        </w:trPr>
        <w:tc>
          <w:tcPr>
            <w:tcW w:w="746" w:type="dxa"/>
            <w:noWrap w:val="0"/>
            <w:tcMar>
              <w:left w:w="28" w:type="dxa"/>
              <w:right w:w="28" w:type="dxa"/>
            </w:tcMar>
            <w:vAlign w:val="center"/>
          </w:tcPr>
          <w:p w14:paraId="5B84867D">
            <w:pPr>
              <w:pStyle w:val="22"/>
              <w:adjustRightInd w:val="0"/>
              <w:snapToGrid w:val="0"/>
              <w:spacing w:before="0" w:beforeAutospacing="0" w:after="0" w:afterAutospacing="0"/>
              <w:jc w:val="center"/>
              <w:rPr>
                <w:rFonts w:ascii="Times New Roman" w:hAnsi="Times New Roman"/>
                <w:bCs/>
                <w:color w:val="auto"/>
                <w:kern w:val="2"/>
                <w:szCs w:val="24"/>
              </w:rPr>
            </w:pPr>
            <w:r>
              <w:rPr>
                <w:rFonts w:ascii="Times New Roman" w:hAnsi="Times New Roman"/>
                <w:color w:val="auto"/>
                <w:kern w:val="2"/>
                <w:szCs w:val="24"/>
              </w:rPr>
              <w:t>施工期环境保护措施</w:t>
            </w:r>
          </w:p>
        </w:tc>
        <w:tc>
          <w:tcPr>
            <w:tcW w:w="8162" w:type="dxa"/>
            <w:noWrap w:val="0"/>
            <w:vAlign w:val="center"/>
          </w:tcPr>
          <w:p w14:paraId="7813222C">
            <w:pPr>
              <w:tabs>
                <w:tab w:val="left" w:pos="8607"/>
              </w:tabs>
              <w:adjustRightInd w:val="0"/>
              <w:snapToGrid w:val="0"/>
              <w:spacing w:before="240" w:beforeLines="100" w:line="360" w:lineRule="auto"/>
              <w:ind w:firstLine="480" w:firstLineChars="200"/>
              <w:rPr>
                <w:rFonts w:ascii="Times New Roman" w:hAnsi="Times New Roman" w:cs="Times New Roman"/>
                <w:color w:val="auto"/>
                <w:sz w:val="24"/>
              </w:rPr>
            </w:pPr>
            <w:r>
              <w:rPr>
                <w:rFonts w:hint="eastAsia" w:ascii="Times New Roman" w:hAnsi="Times New Roman" w:cs="Times New Roman"/>
                <w:color w:val="auto"/>
                <w:sz w:val="24"/>
                <w:lang w:val="en-US" w:eastAsia="zh-CN"/>
              </w:rPr>
              <w:t>本项目</w:t>
            </w:r>
            <w:r>
              <w:rPr>
                <w:rFonts w:hint="eastAsia" w:ascii="Times New Roman" w:hAnsi="Times New Roman" w:cs="Times New Roman"/>
                <w:color w:val="auto"/>
                <w:sz w:val="24"/>
              </w:rPr>
              <w:t>在租赁的已建建筑内进行建设，服务中心和钣喷中心已建成，洗车房未建设，施工期不进行土建施工</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rPr>
              <w:t>本项目施工期包含洗车房运行设备及环保设备的安装与调试</w:t>
            </w:r>
            <w:r>
              <w:rPr>
                <w:rFonts w:hint="eastAsia" w:cs="Times New Roman"/>
                <w:color w:val="auto"/>
                <w:sz w:val="24"/>
                <w:lang w:eastAsia="zh-CN"/>
              </w:rPr>
              <w:t>、</w:t>
            </w:r>
            <w:r>
              <w:rPr>
                <w:rFonts w:hint="eastAsia" w:cs="Times New Roman"/>
                <w:color w:val="auto"/>
                <w:sz w:val="24"/>
                <w:lang w:val="en-US" w:eastAsia="zh-CN"/>
              </w:rPr>
              <w:t>喷烤漆房3#设备安装及废气处理设施的改造</w:t>
            </w:r>
            <w:r>
              <w:rPr>
                <w:rFonts w:hint="eastAsia" w:ascii="Times New Roman" w:hAnsi="Times New Roman" w:cs="Times New Roman"/>
                <w:color w:val="auto"/>
                <w:sz w:val="24"/>
                <w:lang w:eastAsia="zh-CN"/>
              </w:rPr>
              <w:t>，</w:t>
            </w:r>
            <w:r>
              <w:rPr>
                <w:rFonts w:ascii="Times New Roman" w:hAnsi="Times New Roman" w:cs="Times New Roman"/>
                <w:color w:val="auto"/>
                <w:sz w:val="24"/>
              </w:rPr>
              <w:t>工程量少，施工期短。</w:t>
            </w:r>
          </w:p>
          <w:p w14:paraId="29FA53E0">
            <w:pPr>
              <w:tabs>
                <w:tab w:val="left" w:pos="8607"/>
              </w:tabs>
              <w:adjustRightInd w:val="0"/>
              <w:snapToGrid w:val="0"/>
              <w:spacing w:line="360" w:lineRule="auto"/>
              <w:ind w:firstLine="482" w:firstLineChars="200"/>
              <w:rPr>
                <w:rFonts w:ascii="Times New Roman" w:hAnsi="Times New Roman" w:cs="Times New Roman"/>
                <w:b/>
                <w:bCs/>
                <w:color w:val="auto"/>
                <w:sz w:val="24"/>
              </w:rPr>
            </w:pPr>
            <w:r>
              <w:rPr>
                <w:rFonts w:ascii="Times New Roman" w:hAnsi="Times New Roman" w:cs="Times New Roman"/>
                <w:b/>
                <w:bCs/>
                <w:color w:val="auto"/>
                <w:sz w:val="24"/>
              </w:rPr>
              <w:t>1、施工期大气污染保护措施</w:t>
            </w:r>
          </w:p>
          <w:p w14:paraId="4191205F">
            <w:pPr>
              <w:tabs>
                <w:tab w:val="left" w:pos="8607"/>
              </w:tabs>
              <w:adjustRightInd w:val="0"/>
              <w:snapToGrid w:val="0"/>
              <w:spacing w:line="360" w:lineRule="auto"/>
              <w:ind w:firstLine="480" w:firstLineChars="200"/>
              <w:rPr>
                <w:rFonts w:ascii="Times New Roman" w:hAnsi="Times New Roman" w:cs="Times New Roman"/>
                <w:color w:val="auto"/>
                <w:sz w:val="24"/>
              </w:rPr>
            </w:pPr>
            <w:r>
              <w:rPr>
                <w:rFonts w:ascii="Times New Roman" w:hAnsi="Times New Roman" w:cs="Times New Roman"/>
                <w:color w:val="auto"/>
                <w:sz w:val="24"/>
              </w:rPr>
              <w:t>本项目施工期对</w:t>
            </w:r>
            <w:r>
              <w:rPr>
                <w:rFonts w:hint="eastAsia" w:ascii="Times New Roman" w:hAnsi="Times New Roman" w:cs="Times New Roman"/>
                <w:color w:val="auto"/>
                <w:sz w:val="24"/>
              </w:rPr>
              <w:t>洗车房</w:t>
            </w:r>
            <w:r>
              <w:rPr>
                <w:rFonts w:hint="eastAsia" w:cs="Times New Roman"/>
                <w:color w:val="auto"/>
                <w:sz w:val="24"/>
                <w:lang w:eastAsia="zh-CN"/>
              </w:rPr>
              <w:t>、</w:t>
            </w:r>
            <w:r>
              <w:rPr>
                <w:rFonts w:hint="eastAsia" w:cs="Times New Roman"/>
                <w:color w:val="auto"/>
                <w:sz w:val="24"/>
                <w:lang w:val="en-US" w:eastAsia="zh-CN"/>
              </w:rPr>
              <w:t>喷烤漆房</w:t>
            </w:r>
            <w:r>
              <w:rPr>
                <w:rFonts w:hint="eastAsia" w:ascii="Times New Roman" w:hAnsi="Times New Roman" w:cs="Times New Roman"/>
                <w:color w:val="auto"/>
                <w:sz w:val="24"/>
              </w:rPr>
              <w:t>设备及环保设备的安装</w:t>
            </w:r>
            <w:r>
              <w:rPr>
                <w:rFonts w:hint="eastAsia" w:cs="Times New Roman"/>
                <w:color w:val="auto"/>
                <w:sz w:val="24"/>
                <w:lang w:val="en-US" w:eastAsia="zh-CN"/>
              </w:rPr>
              <w:t>和废气处理设施的改造</w:t>
            </w:r>
            <w:r>
              <w:rPr>
                <w:rFonts w:ascii="Times New Roman" w:hAnsi="Times New Roman" w:cs="Times New Roman"/>
                <w:color w:val="auto"/>
                <w:sz w:val="24"/>
              </w:rPr>
              <w:t>过程中可能产生</w:t>
            </w:r>
            <w:r>
              <w:rPr>
                <w:rFonts w:hint="eastAsia" w:cs="Times New Roman"/>
                <w:color w:val="auto"/>
                <w:sz w:val="24"/>
                <w:lang w:val="en-US" w:eastAsia="zh-CN"/>
              </w:rPr>
              <w:t>粉尘</w:t>
            </w:r>
            <w:r>
              <w:rPr>
                <w:rFonts w:ascii="Times New Roman" w:hAnsi="Times New Roman" w:cs="Times New Roman"/>
                <w:color w:val="auto"/>
                <w:sz w:val="24"/>
              </w:rPr>
              <w:t>，建议采取以下污染防治措施：</w:t>
            </w:r>
          </w:p>
          <w:p w14:paraId="42E422EC">
            <w:pPr>
              <w:tabs>
                <w:tab w:val="left" w:pos="8607"/>
              </w:tabs>
              <w:adjustRightInd w:val="0"/>
              <w:snapToGrid w:val="0"/>
              <w:spacing w:line="360" w:lineRule="auto"/>
              <w:ind w:firstLine="480" w:firstLineChars="200"/>
              <w:rPr>
                <w:rFonts w:hint="eastAsia" w:ascii="Times New Roman" w:hAnsi="Times New Roman" w:eastAsia="宋体" w:cs="Times New Roman"/>
                <w:color w:val="auto"/>
                <w:sz w:val="24"/>
                <w:lang w:eastAsia="zh-CN"/>
              </w:rPr>
            </w:pPr>
            <w:r>
              <w:rPr>
                <w:rFonts w:ascii="Times New Roman" w:hAnsi="Times New Roman" w:cs="Times New Roman"/>
                <w:color w:val="auto"/>
                <w:sz w:val="24"/>
              </w:rPr>
              <w:t>合理安排进场安装、调试设备等工作车辆的防尘措施、运输路线和时间等；设备运输时应注意清洁运输，防止在装卸、运输过程中造成扬尘</w:t>
            </w:r>
            <w:r>
              <w:rPr>
                <w:rFonts w:hint="eastAsia" w:ascii="Times New Roman" w:hAnsi="Times New Roman" w:cs="Times New Roman"/>
                <w:color w:val="auto"/>
                <w:sz w:val="24"/>
                <w:lang w:eastAsia="zh-CN"/>
              </w:rPr>
              <w:t>；</w:t>
            </w:r>
            <w:r>
              <w:rPr>
                <w:rFonts w:ascii="Times New Roman" w:hAnsi="Times New Roman" w:cs="Times New Roman"/>
                <w:color w:val="auto"/>
                <w:sz w:val="24"/>
              </w:rPr>
              <w:t>本项目施工期短，会有少量</w:t>
            </w:r>
            <w:r>
              <w:rPr>
                <w:rFonts w:hint="eastAsia" w:cs="Times New Roman"/>
                <w:color w:val="auto"/>
                <w:sz w:val="24"/>
                <w:lang w:val="en-US" w:eastAsia="zh-CN"/>
              </w:rPr>
              <w:t>粉尘</w:t>
            </w:r>
            <w:r>
              <w:rPr>
                <w:rFonts w:ascii="Times New Roman" w:hAnsi="Times New Roman" w:cs="Times New Roman"/>
                <w:color w:val="auto"/>
                <w:sz w:val="24"/>
              </w:rPr>
              <w:t>飘散到大气环境中，采取现场洒水抑尘</w:t>
            </w:r>
            <w:r>
              <w:rPr>
                <w:rFonts w:hint="eastAsia" w:ascii="Times New Roman" w:hAnsi="Times New Roman" w:cs="Times New Roman"/>
                <w:color w:val="auto"/>
                <w:sz w:val="24"/>
                <w:lang w:eastAsia="zh-CN"/>
              </w:rPr>
              <w:t>。</w:t>
            </w:r>
          </w:p>
          <w:p w14:paraId="738517B8">
            <w:pPr>
              <w:tabs>
                <w:tab w:val="left" w:pos="8607"/>
              </w:tabs>
              <w:adjustRightInd w:val="0"/>
              <w:snapToGrid w:val="0"/>
              <w:spacing w:line="360" w:lineRule="auto"/>
              <w:ind w:firstLine="482" w:firstLineChars="200"/>
              <w:rPr>
                <w:rFonts w:ascii="Times New Roman" w:hAnsi="Times New Roman" w:cs="Times New Roman"/>
                <w:b/>
                <w:bCs/>
                <w:color w:val="auto"/>
                <w:sz w:val="24"/>
              </w:rPr>
            </w:pPr>
            <w:r>
              <w:rPr>
                <w:rFonts w:ascii="Times New Roman" w:hAnsi="Times New Roman" w:cs="Times New Roman"/>
                <w:b/>
                <w:bCs/>
                <w:color w:val="auto"/>
                <w:sz w:val="24"/>
              </w:rPr>
              <w:t>2、施工期声环境污染保护措施</w:t>
            </w:r>
          </w:p>
          <w:p w14:paraId="41104191">
            <w:pPr>
              <w:tabs>
                <w:tab w:val="left" w:pos="8607"/>
              </w:tabs>
              <w:adjustRightInd w:val="0"/>
              <w:snapToGrid w:val="0"/>
              <w:spacing w:line="360" w:lineRule="auto"/>
              <w:ind w:firstLine="480" w:firstLineChars="200"/>
              <w:rPr>
                <w:rFonts w:ascii="Times New Roman" w:hAnsi="Times New Roman" w:cs="Times New Roman"/>
                <w:color w:val="auto"/>
                <w:sz w:val="24"/>
              </w:rPr>
            </w:pPr>
            <w:r>
              <w:rPr>
                <w:rFonts w:ascii="Times New Roman" w:hAnsi="Times New Roman" w:cs="Times New Roman"/>
                <w:color w:val="auto"/>
                <w:sz w:val="24"/>
              </w:rPr>
              <w:t>本项目施工期无大型噪声设备运行，建议施工期采取以下噪声防治措施，以减少噪声对环境的影响：</w:t>
            </w:r>
          </w:p>
          <w:p w14:paraId="528EB9A9">
            <w:pPr>
              <w:tabs>
                <w:tab w:val="left" w:pos="8607"/>
              </w:tabs>
              <w:adjustRightInd w:val="0"/>
              <w:snapToGrid w:val="0"/>
              <w:spacing w:line="360" w:lineRule="auto"/>
              <w:ind w:firstLine="480" w:firstLineChars="200"/>
              <w:rPr>
                <w:rFonts w:hint="eastAsia" w:ascii="Times New Roman" w:hAnsi="Times New Roman" w:eastAsia="宋体" w:cs="Times New Roman"/>
                <w:color w:val="auto"/>
                <w:sz w:val="24"/>
                <w:lang w:eastAsia="zh-CN"/>
              </w:rPr>
            </w:pPr>
            <w:r>
              <w:rPr>
                <w:rFonts w:ascii="Times New Roman" w:hAnsi="Times New Roman" w:cs="Times New Roman"/>
                <w:color w:val="auto"/>
                <w:sz w:val="24"/>
              </w:rPr>
              <w:t>严格执行《建筑施工场界环境噪声排放标准》（GB12523-2011）相关规定，合理安排施工计划和施工机械设备组合以及施工时间，禁止在中午（12:00-14:00）和夜间（22:00-6:00）施工</w:t>
            </w:r>
            <w:r>
              <w:rPr>
                <w:rFonts w:hint="eastAsia" w:cs="Times New Roman"/>
                <w:color w:val="auto"/>
                <w:sz w:val="24"/>
                <w:lang w:eastAsia="zh-CN"/>
              </w:rPr>
              <w:t>。</w:t>
            </w:r>
          </w:p>
          <w:p w14:paraId="39160AAF">
            <w:pPr>
              <w:tabs>
                <w:tab w:val="left" w:pos="8607"/>
              </w:tabs>
              <w:adjustRightInd w:val="0"/>
              <w:snapToGrid w:val="0"/>
              <w:spacing w:line="360" w:lineRule="auto"/>
              <w:ind w:firstLine="482" w:firstLineChars="200"/>
              <w:rPr>
                <w:rFonts w:ascii="Times New Roman" w:hAnsi="Times New Roman" w:cs="Times New Roman"/>
                <w:b/>
                <w:bCs/>
                <w:color w:val="auto"/>
                <w:sz w:val="24"/>
              </w:rPr>
            </w:pPr>
            <w:r>
              <w:rPr>
                <w:rFonts w:ascii="Times New Roman" w:hAnsi="Times New Roman" w:cs="Times New Roman"/>
                <w:b/>
                <w:bCs/>
                <w:color w:val="auto"/>
                <w:sz w:val="24"/>
              </w:rPr>
              <w:t>3、施工期水污染保护措施</w:t>
            </w:r>
          </w:p>
          <w:p w14:paraId="07D5E6B4">
            <w:pPr>
              <w:tabs>
                <w:tab w:val="left" w:pos="8607"/>
              </w:tabs>
              <w:adjustRightInd w:val="0"/>
              <w:snapToGrid w:val="0"/>
              <w:spacing w:line="360" w:lineRule="auto"/>
              <w:ind w:firstLine="480" w:firstLineChars="200"/>
              <w:rPr>
                <w:rFonts w:ascii="Times New Roman" w:hAnsi="Times New Roman" w:cs="Times New Roman"/>
                <w:color w:val="auto"/>
                <w:sz w:val="24"/>
              </w:rPr>
            </w:pPr>
            <w:r>
              <w:rPr>
                <w:rFonts w:ascii="Times New Roman" w:hAnsi="Times New Roman" w:cs="Times New Roman"/>
                <w:color w:val="auto"/>
                <w:sz w:val="24"/>
              </w:rPr>
              <w:t>施工过程中产生的废水主要为施工人员的生活污水。</w:t>
            </w:r>
          </w:p>
          <w:p w14:paraId="3AF30A3C">
            <w:pPr>
              <w:tabs>
                <w:tab w:val="left" w:pos="8607"/>
              </w:tabs>
              <w:adjustRightInd w:val="0"/>
              <w:snapToGrid w:val="0"/>
              <w:spacing w:line="360" w:lineRule="auto"/>
              <w:ind w:firstLine="480" w:firstLineChars="200"/>
              <w:rPr>
                <w:rFonts w:ascii="Times New Roman" w:hAnsi="Times New Roman" w:cs="Times New Roman"/>
                <w:color w:val="auto"/>
                <w:sz w:val="24"/>
              </w:rPr>
            </w:pPr>
            <w:r>
              <w:rPr>
                <w:rFonts w:ascii="Times New Roman" w:hAnsi="Times New Roman" w:cs="Times New Roman"/>
                <w:color w:val="auto"/>
                <w:sz w:val="24"/>
              </w:rPr>
              <w:t>施工人员产生</w:t>
            </w:r>
            <w:r>
              <w:rPr>
                <w:rFonts w:hint="eastAsia" w:ascii="Times New Roman" w:hAnsi="Times New Roman" w:cs="Times New Roman"/>
                <w:color w:val="auto"/>
                <w:sz w:val="24"/>
                <w:lang w:val="en-US" w:eastAsia="zh-CN"/>
              </w:rPr>
              <w:t>的</w:t>
            </w:r>
            <w:r>
              <w:rPr>
                <w:rFonts w:hint="eastAsia" w:ascii="Times New Roman" w:hAnsi="Times New Roman" w:cs="Times New Roman"/>
                <w:color w:val="auto"/>
                <w:sz w:val="24"/>
              </w:rPr>
              <w:t>生活污水经产业园化粪池处理后排入市政污水管网，最终进入西安净水处理有限责任公司第六再生水厂进行处理。</w:t>
            </w:r>
          </w:p>
          <w:p w14:paraId="6F9E9FFA">
            <w:pPr>
              <w:tabs>
                <w:tab w:val="left" w:pos="8607"/>
              </w:tabs>
              <w:adjustRightInd w:val="0"/>
              <w:snapToGrid w:val="0"/>
              <w:spacing w:line="360" w:lineRule="auto"/>
              <w:ind w:firstLine="482" w:firstLineChars="200"/>
              <w:rPr>
                <w:rFonts w:ascii="Times New Roman" w:hAnsi="Times New Roman" w:cs="Times New Roman"/>
                <w:b/>
                <w:bCs/>
                <w:color w:val="auto"/>
                <w:sz w:val="24"/>
              </w:rPr>
            </w:pPr>
            <w:r>
              <w:rPr>
                <w:rFonts w:ascii="Times New Roman" w:hAnsi="Times New Roman" w:cs="Times New Roman"/>
                <w:b/>
                <w:bCs/>
                <w:color w:val="auto"/>
                <w:sz w:val="24"/>
              </w:rPr>
              <w:t>4、固体废物污染防治措施</w:t>
            </w:r>
          </w:p>
          <w:p w14:paraId="496F68FD">
            <w:pPr>
              <w:tabs>
                <w:tab w:val="left" w:pos="8607"/>
              </w:tabs>
              <w:adjustRightInd w:val="0"/>
              <w:snapToGrid w:val="0"/>
              <w:spacing w:line="360" w:lineRule="auto"/>
              <w:ind w:firstLine="480" w:firstLineChars="200"/>
              <w:rPr>
                <w:rFonts w:ascii="Times New Roman" w:hAnsi="Times New Roman" w:cs="Times New Roman"/>
                <w:color w:val="auto"/>
                <w:sz w:val="24"/>
              </w:rPr>
            </w:pPr>
            <w:r>
              <w:rPr>
                <w:rFonts w:ascii="Times New Roman" w:hAnsi="Times New Roman" w:cs="Times New Roman"/>
                <w:color w:val="auto"/>
                <w:sz w:val="24"/>
              </w:rPr>
              <w:t>施工期产生的固体废物主要为</w:t>
            </w:r>
            <w:r>
              <w:rPr>
                <w:rFonts w:hint="eastAsia" w:ascii="Times New Roman" w:hAnsi="Times New Roman" w:cs="Times New Roman"/>
                <w:color w:val="auto"/>
                <w:sz w:val="24"/>
                <w:lang w:val="en-US" w:eastAsia="zh-CN"/>
              </w:rPr>
              <w:t>废包装</w:t>
            </w:r>
            <w:r>
              <w:rPr>
                <w:rFonts w:hint="eastAsia" w:cs="Times New Roman"/>
                <w:color w:val="auto"/>
                <w:sz w:val="24"/>
                <w:lang w:val="en-US" w:eastAsia="zh-CN"/>
              </w:rPr>
              <w:t>材料</w:t>
            </w:r>
            <w:r>
              <w:rPr>
                <w:rFonts w:ascii="Times New Roman" w:hAnsi="Times New Roman" w:cs="Times New Roman"/>
                <w:color w:val="auto"/>
                <w:sz w:val="24"/>
              </w:rPr>
              <w:t>、施工人员的生活垃圾等。</w:t>
            </w:r>
          </w:p>
          <w:p w14:paraId="7B879A68">
            <w:pPr>
              <w:pStyle w:val="63"/>
              <w:spacing w:line="360" w:lineRule="auto"/>
              <w:rPr>
                <w:rFonts w:hint="default" w:hAnsi="Times New Roman" w:eastAsia="宋体" w:cs="Times New Roman"/>
                <w:color w:val="auto"/>
                <w:szCs w:val="24"/>
                <w:lang w:val="en-US" w:eastAsia="zh-CN"/>
              </w:rPr>
            </w:pPr>
            <w:r>
              <w:rPr>
                <w:rFonts w:ascii="Times New Roman" w:hAnsi="Times New Roman" w:cs="Times New Roman"/>
                <w:color w:val="auto"/>
              </w:rPr>
              <w:t>施工期</w:t>
            </w:r>
            <w:r>
              <w:rPr>
                <w:rFonts w:hint="eastAsia" w:ascii="Times New Roman" w:hAnsi="Times New Roman" w:cs="Times New Roman"/>
                <w:color w:val="auto"/>
                <w:sz w:val="24"/>
                <w:lang w:val="en-US" w:eastAsia="zh-CN"/>
              </w:rPr>
              <w:t>废包装</w:t>
            </w:r>
            <w:r>
              <w:rPr>
                <w:rFonts w:hint="eastAsia" w:hAnsi="Times New Roman" w:cs="Times New Roman"/>
                <w:color w:val="auto"/>
                <w:sz w:val="24"/>
                <w:lang w:val="en-US" w:eastAsia="zh-CN"/>
              </w:rPr>
              <w:t>材料</w:t>
            </w:r>
            <w:r>
              <w:rPr>
                <w:rFonts w:ascii="Times New Roman" w:hAnsi="Times New Roman" w:cs="Times New Roman"/>
                <w:color w:val="auto"/>
              </w:rPr>
              <w:t>收集后统一堆放于指定地点，由施工方统一清运；生活垃圾集中收集由环卫部门统一清运。</w:t>
            </w:r>
          </w:p>
        </w:tc>
      </w:tr>
    </w:tbl>
    <w:p w14:paraId="502CBA26">
      <w:pPr>
        <w:pStyle w:val="22"/>
        <w:jc w:val="center"/>
        <w:outlineLvl w:val="0"/>
        <w:rPr>
          <w:rFonts w:ascii="黑体" w:hAnsi="黑体" w:eastAsia="黑体"/>
          <w:snapToGrid w:val="0"/>
          <w:color w:val="auto"/>
          <w:sz w:val="30"/>
          <w:szCs w:val="30"/>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25"/>
        <w:tblW w:w="5141"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72"/>
        <w:gridCol w:w="12247"/>
      </w:tblGrid>
      <w:tr w14:paraId="084C93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23" w:hRule="atLeast"/>
          <w:jc w:val="center"/>
        </w:trPr>
        <w:tc>
          <w:tcPr>
            <w:tcW w:w="1264" w:type="dxa"/>
            <w:noWrap w:val="0"/>
            <w:tcMar>
              <w:left w:w="28" w:type="dxa"/>
              <w:right w:w="28" w:type="dxa"/>
            </w:tcMar>
            <w:vAlign w:val="center"/>
          </w:tcPr>
          <w:p w14:paraId="5B11AC2C">
            <w:pPr>
              <w:pStyle w:val="22"/>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bCs/>
                <w:color w:val="auto"/>
              </w:rPr>
              <w:t>运营期环境影响和保护措施</w:t>
            </w:r>
          </w:p>
        </w:tc>
        <w:tc>
          <w:tcPr>
            <w:tcW w:w="12173" w:type="dxa"/>
            <w:noWrap w:val="0"/>
            <w:vAlign w:val="center"/>
          </w:tcPr>
          <w:p w14:paraId="44BD907B">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2" w:firstLineChars="200"/>
              <w:textAlignment w:val="auto"/>
              <w:rPr>
                <w:rFonts w:hint="eastAsia"/>
                <w:b/>
                <w:color w:val="auto"/>
                <w:sz w:val="24"/>
              </w:rPr>
            </w:pPr>
            <w:r>
              <w:rPr>
                <w:rFonts w:hint="eastAsia"/>
                <w:b/>
                <w:color w:val="auto"/>
                <w:sz w:val="24"/>
              </w:rPr>
              <w:t>1、废气</w:t>
            </w:r>
          </w:p>
          <w:p w14:paraId="76169CAA">
            <w:pPr>
              <w:adjustRightInd w:val="0"/>
              <w:snapToGrid w:val="0"/>
              <w:spacing w:line="360" w:lineRule="auto"/>
              <w:ind w:firstLine="480" w:firstLineChars="200"/>
              <w:rPr>
                <w:rFonts w:hint="eastAsia"/>
                <w:bCs/>
                <w:color w:val="auto"/>
                <w:sz w:val="24"/>
              </w:rPr>
            </w:pPr>
            <w:r>
              <w:rPr>
                <w:rFonts w:hint="eastAsia"/>
                <w:bCs/>
                <w:color w:val="auto"/>
                <w:sz w:val="24"/>
              </w:rPr>
              <w:t>（1）产排污环节</w:t>
            </w:r>
          </w:p>
          <w:p w14:paraId="7FA7C190">
            <w:pPr>
              <w:pStyle w:val="10"/>
              <w:adjustRightInd w:val="0"/>
              <w:snapToGrid w:val="0"/>
              <w:spacing w:after="0" w:line="360" w:lineRule="auto"/>
              <w:ind w:left="0" w:leftChars="0" w:firstLine="480" w:firstLineChars="200"/>
              <w:jc w:val="left"/>
              <w:rPr>
                <w:bCs/>
                <w:color w:val="auto"/>
                <w:szCs w:val="24"/>
              </w:rPr>
            </w:pPr>
            <w:r>
              <w:rPr>
                <w:bCs/>
                <w:color w:val="auto"/>
                <w:szCs w:val="24"/>
              </w:rPr>
              <w:t>本项目产生的主要</w:t>
            </w:r>
            <w:r>
              <w:rPr>
                <w:rFonts w:hint="eastAsia"/>
                <w:bCs/>
                <w:color w:val="auto"/>
                <w:szCs w:val="24"/>
              </w:rPr>
              <w:t>废气</w:t>
            </w:r>
            <w:r>
              <w:rPr>
                <w:bCs/>
                <w:color w:val="auto"/>
                <w:szCs w:val="24"/>
              </w:rPr>
              <w:t>污染物为颗粒物</w:t>
            </w:r>
            <w:r>
              <w:rPr>
                <w:rFonts w:hint="eastAsia"/>
                <w:bCs/>
                <w:color w:val="auto"/>
                <w:szCs w:val="24"/>
                <w:lang w:eastAsia="zh-CN"/>
              </w:rPr>
              <w:t>、</w:t>
            </w:r>
            <w:r>
              <w:rPr>
                <w:rFonts w:hint="eastAsia"/>
                <w:bCs/>
                <w:color w:val="auto"/>
                <w:szCs w:val="24"/>
                <w:lang w:val="en-US" w:eastAsia="zh-CN"/>
              </w:rPr>
              <w:t>非甲烷总烃、甲苯和二甲苯</w:t>
            </w:r>
            <w:r>
              <w:rPr>
                <w:bCs/>
                <w:color w:val="auto"/>
                <w:szCs w:val="24"/>
              </w:rPr>
              <w:t>。产排污环节</w:t>
            </w:r>
            <w:r>
              <w:rPr>
                <w:rFonts w:hint="eastAsia"/>
                <w:bCs/>
                <w:color w:val="auto"/>
                <w:szCs w:val="24"/>
              </w:rPr>
              <w:t>等情况</w:t>
            </w:r>
            <w:r>
              <w:rPr>
                <w:bCs/>
                <w:color w:val="auto"/>
                <w:szCs w:val="24"/>
              </w:rPr>
              <w:t>见表4-1。</w:t>
            </w:r>
          </w:p>
          <w:p w14:paraId="651ECA31">
            <w:pPr>
              <w:adjustRightInd w:val="0"/>
              <w:snapToGrid w:val="0"/>
              <w:jc w:val="center"/>
              <w:rPr>
                <w:b/>
                <w:bCs/>
                <w:color w:val="auto"/>
                <w:sz w:val="24"/>
              </w:rPr>
            </w:pPr>
            <w:r>
              <w:rPr>
                <w:b/>
                <w:color w:val="auto"/>
                <w:sz w:val="24"/>
              </w:rPr>
              <w:t>表</w:t>
            </w:r>
            <w:r>
              <w:rPr>
                <w:rFonts w:hint="eastAsia"/>
                <w:b/>
                <w:color w:val="auto"/>
                <w:sz w:val="24"/>
              </w:rPr>
              <w:t>4-1</w:t>
            </w:r>
            <w:r>
              <w:rPr>
                <w:b/>
                <w:color w:val="auto"/>
                <w:sz w:val="24"/>
              </w:rPr>
              <w:t xml:space="preserve"> </w:t>
            </w:r>
            <w:r>
              <w:rPr>
                <w:b/>
                <w:bCs/>
                <w:color w:val="auto"/>
                <w:sz w:val="24"/>
              </w:rPr>
              <w:t xml:space="preserve"> 废气污染源源强核算结果及相关参数一览表</w:t>
            </w:r>
          </w:p>
          <w:tbl>
            <w:tblPr>
              <w:tblStyle w:val="25"/>
              <w:tblW w:w="504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24"/>
              <w:gridCol w:w="781"/>
              <w:gridCol w:w="710"/>
              <w:gridCol w:w="723"/>
              <w:gridCol w:w="835"/>
              <w:gridCol w:w="995"/>
              <w:gridCol w:w="406"/>
              <w:gridCol w:w="837"/>
              <w:gridCol w:w="859"/>
              <w:gridCol w:w="993"/>
              <w:gridCol w:w="1185"/>
              <w:gridCol w:w="667"/>
              <w:gridCol w:w="708"/>
              <w:gridCol w:w="674"/>
              <w:gridCol w:w="954"/>
            </w:tblGrid>
            <w:tr w14:paraId="4F6A7A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39" w:type="pct"/>
                  <w:vMerge w:val="restart"/>
                  <w:tcBorders>
                    <w:tl2br w:val="nil"/>
                    <w:tr2bl w:val="nil"/>
                  </w:tcBorders>
                  <w:noWrap w:val="0"/>
                  <w:vAlign w:val="center"/>
                </w:tcPr>
                <w:p w14:paraId="3E296BB0">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产污环节</w:t>
                  </w:r>
                </w:p>
              </w:tc>
              <w:tc>
                <w:tcPr>
                  <w:tcW w:w="321" w:type="pct"/>
                  <w:vMerge w:val="restart"/>
                  <w:tcBorders>
                    <w:tl2br w:val="nil"/>
                    <w:tr2bl w:val="nil"/>
                  </w:tcBorders>
                  <w:noWrap w:val="0"/>
                  <w:vAlign w:val="center"/>
                </w:tcPr>
                <w:p w14:paraId="23740607">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污染物</w:t>
                  </w:r>
                </w:p>
              </w:tc>
              <w:tc>
                <w:tcPr>
                  <w:tcW w:w="292" w:type="pct"/>
                  <w:vMerge w:val="restart"/>
                  <w:tcBorders>
                    <w:tl2br w:val="nil"/>
                    <w:tr2bl w:val="nil"/>
                  </w:tcBorders>
                  <w:noWrap w:val="0"/>
                  <w:vAlign w:val="center"/>
                </w:tcPr>
                <w:p w14:paraId="53CAF9CD">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风机风量m</w:t>
                  </w:r>
                  <w:r>
                    <w:rPr>
                      <w:rFonts w:hint="default" w:ascii="Times New Roman" w:hAnsi="Times New Roman" w:cs="Times New Roman"/>
                      <w:b/>
                      <w:bCs/>
                      <w:color w:val="auto"/>
                      <w:sz w:val="21"/>
                      <w:szCs w:val="21"/>
                      <w:highlight w:val="none"/>
                      <w:vertAlign w:val="superscript"/>
                    </w:rPr>
                    <w:t>3</w:t>
                  </w:r>
                  <w:r>
                    <w:rPr>
                      <w:rFonts w:hint="default" w:ascii="Times New Roman" w:hAnsi="Times New Roman" w:cs="Times New Roman"/>
                      <w:b/>
                      <w:bCs/>
                      <w:color w:val="auto"/>
                      <w:sz w:val="21"/>
                      <w:szCs w:val="21"/>
                      <w:highlight w:val="none"/>
                    </w:rPr>
                    <w:t>/h</w:t>
                  </w:r>
                </w:p>
              </w:tc>
              <w:tc>
                <w:tcPr>
                  <w:tcW w:w="297" w:type="pct"/>
                  <w:vMerge w:val="restart"/>
                  <w:tcBorders>
                    <w:tl2br w:val="nil"/>
                    <w:tr2bl w:val="nil"/>
                  </w:tcBorders>
                  <w:noWrap w:val="0"/>
                  <w:vAlign w:val="center"/>
                </w:tcPr>
                <w:p w14:paraId="37268C8B">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年工作时间（h）</w:t>
                  </w:r>
                </w:p>
              </w:tc>
              <w:tc>
                <w:tcPr>
                  <w:tcW w:w="753" w:type="pct"/>
                  <w:gridSpan w:val="2"/>
                  <w:tcBorders>
                    <w:tl2br w:val="nil"/>
                    <w:tr2bl w:val="nil"/>
                  </w:tcBorders>
                  <w:noWrap w:val="0"/>
                  <w:vAlign w:val="center"/>
                </w:tcPr>
                <w:p w14:paraId="11D971C8">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污染物产生情况</w:t>
                  </w:r>
                </w:p>
              </w:tc>
              <w:tc>
                <w:tcPr>
                  <w:tcW w:w="167" w:type="pct"/>
                  <w:vMerge w:val="restart"/>
                  <w:tcBorders>
                    <w:tl2br w:val="nil"/>
                    <w:tr2bl w:val="nil"/>
                  </w:tcBorders>
                  <w:noWrap w:val="0"/>
                  <w:vAlign w:val="center"/>
                </w:tcPr>
                <w:p w14:paraId="4E3777F4">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排放形式</w:t>
                  </w:r>
                </w:p>
              </w:tc>
              <w:tc>
                <w:tcPr>
                  <w:tcW w:w="344" w:type="pct"/>
                  <w:vMerge w:val="restart"/>
                  <w:tcBorders>
                    <w:tl2br w:val="nil"/>
                    <w:tr2bl w:val="nil"/>
                  </w:tcBorders>
                  <w:noWrap w:val="0"/>
                  <w:vAlign w:val="center"/>
                </w:tcPr>
                <w:p w14:paraId="757324DC">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处理</w:t>
                  </w:r>
                </w:p>
                <w:p w14:paraId="07BEA4C3">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措施</w:t>
                  </w:r>
                </w:p>
              </w:tc>
              <w:tc>
                <w:tcPr>
                  <w:tcW w:w="1249" w:type="pct"/>
                  <w:gridSpan w:val="3"/>
                  <w:tcBorders>
                    <w:tl2br w:val="nil"/>
                    <w:tr2bl w:val="nil"/>
                  </w:tcBorders>
                  <w:noWrap w:val="0"/>
                  <w:vAlign w:val="center"/>
                </w:tcPr>
                <w:p w14:paraId="591E2717">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污染物排放情况</w:t>
                  </w:r>
                </w:p>
              </w:tc>
              <w:tc>
                <w:tcPr>
                  <w:tcW w:w="274" w:type="pct"/>
                  <w:vMerge w:val="restart"/>
                  <w:tcBorders>
                    <w:tl2br w:val="nil"/>
                    <w:tr2bl w:val="nil"/>
                  </w:tcBorders>
                  <w:noWrap w:val="0"/>
                  <w:vAlign w:val="center"/>
                </w:tcPr>
                <w:p w14:paraId="1EAED073">
                  <w:pPr>
                    <w:autoSpaceDE w:val="0"/>
                    <w:autoSpaceDN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收集效率</w:t>
                  </w:r>
                </w:p>
                <w:p w14:paraId="2B0B9C0B">
                  <w:pPr>
                    <w:autoSpaceDE w:val="0"/>
                    <w:autoSpaceDN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w:t>
                  </w:r>
                </w:p>
              </w:tc>
              <w:tc>
                <w:tcPr>
                  <w:tcW w:w="291" w:type="pct"/>
                  <w:vMerge w:val="restart"/>
                  <w:tcBorders>
                    <w:tl2br w:val="nil"/>
                    <w:tr2bl w:val="nil"/>
                  </w:tcBorders>
                  <w:noWrap w:val="0"/>
                  <w:vAlign w:val="center"/>
                </w:tcPr>
                <w:p w14:paraId="750DC47D">
                  <w:pPr>
                    <w:autoSpaceDE w:val="0"/>
                    <w:autoSpaceDN w:val="0"/>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去除效率%</w:t>
                  </w:r>
                </w:p>
              </w:tc>
              <w:tc>
                <w:tcPr>
                  <w:tcW w:w="277" w:type="pct"/>
                  <w:vMerge w:val="restart"/>
                  <w:tcBorders>
                    <w:tl2br w:val="nil"/>
                    <w:tr2bl w:val="nil"/>
                  </w:tcBorders>
                  <w:noWrap w:val="0"/>
                  <w:vAlign w:val="center"/>
                </w:tcPr>
                <w:p w14:paraId="5FD73767">
                  <w:pPr>
                    <w:spacing w:line="240" w:lineRule="auto"/>
                    <w:ind w:firstLine="0" w:firstLineChars="0"/>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排放速率kg/h</w:t>
                  </w:r>
                </w:p>
              </w:tc>
              <w:tc>
                <w:tcPr>
                  <w:tcW w:w="392" w:type="pct"/>
                  <w:vMerge w:val="restart"/>
                  <w:tcBorders>
                    <w:tl2br w:val="nil"/>
                    <w:tr2bl w:val="nil"/>
                  </w:tcBorders>
                  <w:noWrap w:val="0"/>
                  <w:vAlign w:val="center"/>
                </w:tcPr>
                <w:p w14:paraId="66CC6DE4">
                  <w:pPr>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标准限值mg/m</w:t>
                  </w:r>
                  <w:r>
                    <w:rPr>
                      <w:rFonts w:hint="default" w:ascii="Times New Roman" w:hAnsi="Times New Roman" w:cs="Times New Roman"/>
                      <w:b/>
                      <w:bCs/>
                      <w:color w:val="auto"/>
                      <w:sz w:val="21"/>
                      <w:szCs w:val="21"/>
                      <w:highlight w:val="none"/>
                      <w:vertAlign w:val="superscript"/>
                    </w:rPr>
                    <w:t>3</w:t>
                  </w:r>
                </w:p>
              </w:tc>
            </w:tr>
            <w:tr w14:paraId="7B18BD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39" w:type="pct"/>
                  <w:vMerge w:val="continue"/>
                  <w:tcBorders>
                    <w:tl2br w:val="nil"/>
                    <w:tr2bl w:val="nil"/>
                  </w:tcBorders>
                  <w:noWrap w:val="0"/>
                  <w:vAlign w:val="center"/>
                </w:tcPr>
                <w:p w14:paraId="130FCEA0">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产污环节</w:t>
                  </w:r>
                </w:p>
              </w:tc>
              <w:tc>
                <w:tcPr>
                  <w:tcW w:w="321" w:type="pct"/>
                  <w:vMerge w:val="continue"/>
                  <w:tcBorders>
                    <w:tl2br w:val="nil"/>
                    <w:tr2bl w:val="nil"/>
                  </w:tcBorders>
                  <w:noWrap w:val="0"/>
                  <w:vAlign w:val="center"/>
                </w:tcPr>
                <w:p w14:paraId="7E6B09E4">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污染物</w:t>
                  </w:r>
                </w:p>
              </w:tc>
              <w:tc>
                <w:tcPr>
                  <w:tcW w:w="292" w:type="pct"/>
                  <w:vMerge w:val="continue"/>
                  <w:tcBorders>
                    <w:tl2br w:val="nil"/>
                    <w:tr2bl w:val="nil"/>
                  </w:tcBorders>
                  <w:noWrap w:val="0"/>
                  <w:vAlign w:val="center"/>
                </w:tcPr>
                <w:p w14:paraId="3CE6ED58">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风机风量m</w:t>
                  </w:r>
                  <w:r>
                    <w:rPr>
                      <w:rFonts w:hint="default" w:ascii="Times New Roman" w:hAnsi="Times New Roman" w:cs="Times New Roman"/>
                      <w:b/>
                      <w:bCs/>
                      <w:color w:val="auto"/>
                      <w:sz w:val="21"/>
                      <w:szCs w:val="21"/>
                      <w:highlight w:val="none"/>
                      <w:vertAlign w:val="superscript"/>
                    </w:rPr>
                    <w:t>3</w:t>
                  </w:r>
                  <w:r>
                    <w:rPr>
                      <w:rFonts w:hint="default" w:ascii="Times New Roman" w:hAnsi="Times New Roman" w:cs="Times New Roman"/>
                      <w:b/>
                      <w:bCs/>
                      <w:color w:val="auto"/>
                      <w:sz w:val="21"/>
                      <w:szCs w:val="21"/>
                      <w:highlight w:val="none"/>
                    </w:rPr>
                    <w:t>/h</w:t>
                  </w:r>
                </w:p>
              </w:tc>
              <w:tc>
                <w:tcPr>
                  <w:tcW w:w="297" w:type="pct"/>
                  <w:vMerge w:val="continue"/>
                  <w:tcBorders>
                    <w:tl2br w:val="nil"/>
                    <w:tr2bl w:val="nil"/>
                  </w:tcBorders>
                  <w:noWrap w:val="0"/>
                  <w:vAlign w:val="center"/>
                </w:tcPr>
                <w:p w14:paraId="2FEE651B">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年工作时间</w:t>
                  </w:r>
                </w:p>
              </w:tc>
              <w:tc>
                <w:tcPr>
                  <w:tcW w:w="343" w:type="pct"/>
                  <w:tcBorders>
                    <w:tl2br w:val="nil"/>
                    <w:tr2bl w:val="nil"/>
                  </w:tcBorders>
                  <w:noWrap w:val="0"/>
                  <w:vAlign w:val="center"/>
                </w:tcPr>
                <w:p w14:paraId="7E409079">
                  <w:pPr>
                    <w:spacing w:line="240" w:lineRule="auto"/>
                    <w:ind w:firstLine="0" w:firstLineChars="0"/>
                    <w:jc w:val="center"/>
                    <w:rPr>
                      <w:rFonts w:hint="eastAsia" w:ascii="Times New Roman" w:hAnsi="Times New Roman" w:eastAsia="宋体" w:cs="Times New Roman"/>
                      <w:b/>
                      <w:bCs/>
                      <w:color w:val="auto"/>
                      <w:sz w:val="21"/>
                      <w:szCs w:val="21"/>
                      <w:highlight w:val="none"/>
                      <w:lang w:eastAsia="zh-CN"/>
                    </w:rPr>
                  </w:pPr>
                  <w:r>
                    <w:rPr>
                      <w:rFonts w:hint="default" w:ascii="Times New Roman" w:hAnsi="Times New Roman" w:cs="Times New Roman"/>
                      <w:b/>
                      <w:bCs/>
                      <w:color w:val="auto"/>
                      <w:sz w:val="21"/>
                      <w:szCs w:val="21"/>
                      <w:highlight w:val="none"/>
                    </w:rPr>
                    <w:t>产生量</w:t>
                  </w:r>
                  <w:r>
                    <w:rPr>
                      <w:rFonts w:hint="eastAsia" w:ascii="Times New Roman" w:hAnsi="Times New Roman" w:cs="Times New Roman"/>
                      <w:b/>
                      <w:bCs/>
                      <w:color w:val="auto"/>
                      <w:sz w:val="21"/>
                      <w:szCs w:val="21"/>
                      <w:highlight w:val="none"/>
                      <w:lang w:val="en-US" w:eastAsia="zh-CN"/>
                    </w:rPr>
                    <w:t>(</w:t>
                  </w:r>
                  <w:r>
                    <w:rPr>
                      <w:rFonts w:hint="default" w:ascii="Times New Roman" w:hAnsi="Times New Roman" w:cs="Times New Roman"/>
                      <w:b/>
                      <w:bCs/>
                      <w:color w:val="auto"/>
                      <w:sz w:val="21"/>
                      <w:szCs w:val="21"/>
                      <w:highlight w:val="none"/>
                    </w:rPr>
                    <w:t>t/a</w:t>
                  </w:r>
                  <w:r>
                    <w:rPr>
                      <w:rFonts w:hint="eastAsia" w:ascii="Times New Roman" w:hAnsi="Times New Roman" w:cs="Times New Roman"/>
                      <w:b/>
                      <w:bCs/>
                      <w:color w:val="auto"/>
                      <w:sz w:val="21"/>
                      <w:szCs w:val="21"/>
                      <w:highlight w:val="none"/>
                      <w:lang w:val="en-US" w:eastAsia="zh-CN"/>
                    </w:rPr>
                    <w:t>)</w:t>
                  </w:r>
                </w:p>
              </w:tc>
              <w:tc>
                <w:tcPr>
                  <w:tcW w:w="409" w:type="pct"/>
                  <w:tcBorders>
                    <w:tl2br w:val="nil"/>
                    <w:tr2bl w:val="nil"/>
                  </w:tcBorders>
                  <w:noWrap w:val="0"/>
                  <w:vAlign w:val="center"/>
                </w:tcPr>
                <w:p w14:paraId="49BDBB09">
                  <w:pPr>
                    <w:spacing w:line="240" w:lineRule="auto"/>
                    <w:ind w:firstLine="0" w:firstLineChars="0"/>
                    <w:jc w:val="center"/>
                    <w:rPr>
                      <w:rFonts w:hint="eastAsia" w:ascii="Times New Roman" w:hAnsi="Times New Roman" w:eastAsia="宋体" w:cs="Times New Roman"/>
                      <w:b/>
                      <w:bCs/>
                      <w:color w:val="auto"/>
                      <w:sz w:val="21"/>
                      <w:szCs w:val="21"/>
                      <w:highlight w:val="none"/>
                      <w:lang w:eastAsia="zh-CN"/>
                    </w:rPr>
                  </w:pPr>
                  <w:r>
                    <w:rPr>
                      <w:rFonts w:hint="default" w:ascii="Times New Roman" w:hAnsi="Times New Roman" w:cs="Times New Roman"/>
                      <w:b/>
                      <w:bCs/>
                      <w:color w:val="auto"/>
                      <w:sz w:val="21"/>
                      <w:szCs w:val="21"/>
                      <w:highlight w:val="none"/>
                    </w:rPr>
                    <w:t>产生速率</w:t>
                  </w:r>
                  <w:r>
                    <w:rPr>
                      <w:rFonts w:hint="eastAsia" w:ascii="Times New Roman" w:hAnsi="Times New Roman" w:cs="Times New Roman"/>
                      <w:b/>
                      <w:bCs/>
                      <w:color w:val="auto"/>
                      <w:sz w:val="21"/>
                      <w:szCs w:val="21"/>
                      <w:highlight w:val="none"/>
                      <w:lang w:val="en-US" w:eastAsia="zh-CN"/>
                    </w:rPr>
                    <w:t>(</w:t>
                  </w:r>
                  <w:r>
                    <w:rPr>
                      <w:rFonts w:hint="default" w:ascii="Times New Roman" w:hAnsi="Times New Roman" w:cs="Times New Roman"/>
                      <w:b/>
                      <w:bCs/>
                      <w:color w:val="auto"/>
                      <w:sz w:val="21"/>
                      <w:szCs w:val="21"/>
                      <w:highlight w:val="none"/>
                    </w:rPr>
                    <w:t>kg/h</w:t>
                  </w:r>
                  <w:r>
                    <w:rPr>
                      <w:rFonts w:hint="eastAsia" w:ascii="Times New Roman" w:hAnsi="Times New Roman" w:cs="Times New Roman"/>
                      <w:b/>
                      <w:bCs/>
                      <w:color w:val="auto"/>
                      <w:sz w:val="21"/>
                      <w:szCs w:val="21"/>
                      <w:highlight w:val="none"/>
                      <w:lang w:val="en-US" w:eastAsia="zh-CN"/>
                    </w:rPr>
                    <w:t>)</w:t>
                  </w:r>
                </w:p>
              </w:tc>
              <w:tc>
                <w:tcPr>
                  <w:tcW w:w="167" w:type="pct"/>
                  <w:vMerge w:val="continue"/>
                  <w:tcBorders>
                    <w:tl2br w:val="nil"/>
                    <w:tr2bl w:val="nil"/>
                  </w:tcBorders>
                  <w:noWrap w:val="0"/>
                  <w:vAlign w:val="center"/>
                </w:tcPr>
                <w:p w14:paraId="584A643D">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p>
              </w:tc>
              <w:tc>
                <w:tcPr>
                  <w:tcW w:w="344" w:type="pct"/>
                  <w:vMerge w:val="continue"/>
                  <w:tcBorders>
                    <w:tl2br w:val="nil"/>
                    <w:tr2bl w:val="nil"/>
                  </w:tcBorders>
                  <w:noWrap w:val="0"/>
                  <w:vAlign w:val="center"/>
                </w:tcPr>
                <w:p w14:paraId="00379616">
                  <w:pPr>
                    <w:tabs>
                      <w:tab w:val="left" w:pos="3300"/>
                    </w:tabs>
                    <w:spacing w:line="240" w:lineRule="auto"/>
                    <w:ind w:firstLine="0" w:firstLineChars="0"/>
                    <w:jc w:val="center"/>
                    <w:rPr>
                      <w:rFonts w:hint="default" w:ascii="Times New Roman" w:hAnsi="Times New Roman" w:cs="Times New Roman"/>
                      <w:b/>
                      <w:bCs/>
                      <w:color w:val="auto"/>
                      <w:sz w:val="21"/>
                      <w:szCs w:val="21"/>
                      <w:highlight w:val="none"/>
                    </w:rPr>
                  </w:pPr>
                </w:p>
              </w:tc>
              <w:tc>
                <w:tcPr>
                  <w:tcW w:w="353" w:type="pct"/>
                  <w:tcBorders>
                    <w:tl2br w:val="nil"/>
                    <w:tr2bl w:val="nil"/>
                  </w:tcBorders>
                  <w:noWrap w:val="0"/>
                  <w:vAlign w:val="center"/>
                </w:tcPr>
                <w:p w14:paraId="5106F72C">
                  <w:pPr>
                    <w:spacing w:line="240" w:lineRule="auto"/>
                    <w:ind w:firstLine="0" w:firstLineChars="0"/>
                    <w:jc w:val="center"/>
                    <w:rPr>
                      <w:rFonts w:hint="eastAsia" w:ascii="Times New Roman" w:hAnsi="Times New Roman" w:eastAsia="宋体" w:cs="Times New Roman"/>
                      <w:b/>
                      <w:bCs/>
                      <w:color w:val="auto"/>
                      <w:sz w:val="21"/>
                      <w:szCs w:val="21"/>
                      <w:highlight w:val="none"/>
                      <w:lang w:eastAsia="zh-CN"/>
                    </w:rPr>
                  </w:pPr>
                  <w:r>
                    <w:rPr>
                      <w:rFonts w:hint="default" w:ascii="Times New Roman" w:hAnsi="Times New Roman" w:cs="Times New Roman"/>
                      <w:b/>
                      <w:bCs/>
                      <w:color w:val="auto"/>
                      <w:sz w:val="21"/>
                      <w:szCs w:val="21"/>
                      <w:highlight w:val="none"/>
                    </w:rPr>
                    <w:t>排放量</w:t>
                  </w:r>
                  <w:r>
                    <w:rPr>
                      <w:rFonts w:hint="eastAsia" w:ascii="Times New Roman" w:hAnsi="Times New Roman" w:cs="Times New Roman"/>
                      <w:b/>
                      <w:bCs/>
                      <w:color w:val="auto"/>
                      <w:sz w:val="21"/>
                      <w:szCs w:val="21"/>
                      <w:highlight w:val="none"/>
                      <w:lang w:val="en-US" w:eastAsia="zh-CN"/>
                    </w:rPr>
                    <w:t>(</w:t>
                  </w:r>
                  <w:r>
                    <w:rPr>
                      <w:rFonts w:hint="default" w:ascii="Times New Roman" w:hAnsi="Times New Roman" w:cs="Times New Roman"/>
                      <w:b/>
                      <w:bCs/>
                      <w:color w:val="auto"/>
                      <w:sz w:val="21"/>
                      <w:szCs w:val="21"/>
                      <w:highlight w:val="none"/>
                    </w:rPr>
                    <w:t>t/a</w:t>
                  </w:r>
                  <w:r>
                    <w:rPr>
                      <w:rFonts w:hint="eastAsia" w:ascii="Times New Roman" w:hAnsi="Times New Roman" w:cs="Times New Roman"/>
                      <w:b/>
                      <w:bCs/>
                      <w:color w:val="auto"/>
                      <w:sz w:val="21"/>
                      <w:szCs w:val="21"/>
                      <w:highlight w:val="none"/>
                      <w:lang w:val="en-US" w:eastAsia="zh-CN"/>
                    </w:rPr>
                    <w:t>)</w:t>
                  </w:r>
                </w:p>
              </w:tc>
              <w:tc>
                <w:tcPr>
                  <w:tcW w:w="408" w:type="pct"/>
                  <w:tcBorders>
                    <w:tl2br w:val="nil"/>
                    <w:tr2bl w:val="nil"/>
                  </w:tcBorders>
                  <w:noWrap w:val="0"/>
                  <w:vAlign w:val="center"/>
                </w:tcPr>
                <w:p w14:paraId="55D89985">
                  <w:pPr>
                    <w:spacing w:line="240" w:lineRule="auto"/>
                    <w:ind w:firstLine="0" w:firstLineChars="0"/>
                    <w:jc w:val="center"/>
                    <w:rPr>
                      <w:rFonts w:hint="eastAsia" w:ascii="Times New Roman" w:hAnsi="Times New Roman" w:eastAsia="宋体" w:cs="Times New Roman"/>
                      <w:b/>
                      <w:bCs/>
                      <w:color w:val="auto"/>
                      <w:sz w:val="21"/>
                      <w:szCs w:val="21"/>
                      <w:highlight w:val="none"/>
                      <w:lang w:eastAsia="zh-CN"/>
                    </w:rPr>
                  </w:pPr>
                  <w:r>
                    <w:rPr>
                      <w:rFonts w:hint="default" w:ascii="Times New Roman" w:hAnsi="Times New Roman" w:cs="Times New Roman"/>
                      <w:b/>
                      <w:bCs/>
                      <w:color w:val="auto"/>
                      <w:sz w:val="21"/>
                      <w:szCs w:val="21"/>
                      <w:highlight w:val="none"/>
                    </w:rPr>
                    <w:t>排放速率</w:t>
                  </w:r>
                  <w:r>
                    <w:rPr>
                      <w:rFonts w:hint="eastAsia" w:ascii="Times New Roman" w:hAnsi="Times New Roman" w:cs="Times New Roman"/>
                      <w:b/>
                      <w:bCs/>
                      <w:color w:val="auto"/>
                      <w:sz w:val="21"/>
                      <w:szCs w:val="21"/>
                      <w:highlight w:val="none"/>
                      <w:lang w:val="en-US" w:eastAsia="zh-CN"/>
                    </w:rPr>
                    <w:t>(</w:t>
                  </w:r>
                  <w:r>
                    <w:rPr>
                      <w:rFonts w:hint="default" w:ascii="Times New Roman" w:hAnsi="Times New Roman" w:cs="Times New Roman"/>
                      <w:b/>
                      <w:bCs/>
                      <w:color w:val="auto"/>
                      <w:sz w:val="21"/>
                      <w:szCs w:val="21"/>
                      <w:highlight w:val="none"/>
                    </w:rPr>
                    <w:t>kg/h</w:t>
                  </w:r>
                  <w:r>
                    <w:rPr>
                      <w:rFonts w:hint="eastAsia" w:ascii="Times New Roman" w:hAnsi="Times New Roman" w:cs="Times New Roman"/>
                      <w:b/>
                      <w:bCs/>
                      <w:color w:val="auto"/>
                      <w:sz w:val="21"/>
                      <w:szCs w:val="21"/>
                      <w:highlight w:val="none"/>
                      <w:lang w:val="en-US" w:eastAsia="zh-CN"/>
                    </w:rPr>
                    <w:t>)</w:t>
                  </w:r>
                </w:p>
              </w:tc>
              <w:tc>
                <w:tcPr>
                  <w:tcW w:w="487" w:type="pct"/>
                  <w:tcBorders>
                    <w:tl2br w:val="nil"/>
                    <w:tr2bl w:val="nil"/>
                  </w:tcBorders>
                  <w:noWrap w:val="0"/>
                  <w:vAlign w:val="center"/>
                </w:tcPr>
                <w:p w14:paraId="6AFA887F">
                  <w:pPr>
                    <w:spacing w:line="240" w:lineRule="auto"/>
                    <w:ind w:firstLine="0" w:firstLineChars="0"/>
                    <w:jc w:val="center"/>
                    <w:rPr>
                      <w:rFonts w:hint="eastAsia" w:ascii="Times New Roman" w:hAnsi="Times New Roman" w:eastAsia="宋体"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rPr>
                    <w:t>排放浓度</w:t>
                  </w:r>
                  <w:r>
                    <w:rPr>
                      <w:rFonts w:hint="eastAsia" w:ascii="Times New Roman" w:hAnsi="Times New Roman" w:cs="Times New Roman"/>
                      <w:b/>
                      <w:bCs/>
                      <w:color w:val="auto"/>
                      <w:sz w:val="21"/>
                      <w:szCs w:val="21"/>
                      <w:highlight w:val="none"/>
                      <w:lang w:val="en-US" w:eastAsia="zh-CN"/>
                    </w:rPr>
                    <w:t>(</w:t>
                  </w:r>
                  <w:r>
                    <w:rPr>
                      <w:rFonts w:hint="default" w:ascii="Times New Roman" w:hAnsi="Times New Roman" w:cs="Times New Roman"/>
                      <w:b/>
                      <w:bCs/>
                      <w:color w:val="auto"/>
                      <w:sz w:val="21"/>
                      <w:szCs w:val="21"/>
                      <w:highlight w:val="none"/>
                    </w:rPr>
                    <w:t>mg/m</w:t>
                  </w:r>
                  <w:r>
                    <w:rPr>
                      <w:rFonts w:hint="default" w:ascii="Times New Roman" w:hAnsi="Times New Roman" w:cs="Times New Roman"/>
                      <w:b/>
                      <w:bCs/>
                      <w:color w:val="auto"/>
                      <w:sz w:val="21"/>
                      <w:szCs w:val="21"/>
                      <w:highlight w:val="none"/>
                      <w:vertAlign w:val="superscript"/>
                    </w:rPr>
                    <w:t>3</w:t>
                  </w:r>
                  <w:r>
                    <w:rPr>
                      <w:rFonts w:hint="eastAsia" w:ascii="Times New Roman" w:hAnsi="Times New Roman" w:cs="Times New Roman"/>
                      <w:b/>
                      <w:bCs/>
                      <w:color w:val="auto"/>
                      <w:sz w:val="21"/>
                      <w:szCs w:val="21"/>
                      <w:highlight w:val="none"/>
                      <w:vertAlign w:val="baseline"/>
                      <w:lang w:val="en-US" w:eastAsia="zh-CN"/>
                    </w:rPr>
                    <w:t>)</w:t>
                  </w:r>
                </w:p>
              </w:tc>
              <w:tc>
                <w:tcPr>
                  <w:tcW w:w="274" w:type="pct"/>
                  <w:vMerge w:val="continue"/>
                  <w:tcBorders>
                    <w:tl2br w:val="nil"/>
                    <w:tr2bl w:val="nil"/>
                  </w:tcBorders>
                  <w:noWrap w:val="0"/>
                  <w:vAlign w:val="center"/>
                </w:tcPr>
                <w:p w14:paraId="133BCFD2">
                  <w:pPr>
                    <w:spacing w:line="240" w:lineRule="auto"/>
                    <w:ind w:firstLine="0" w:firstLineChars="0"/>
                    <w:jc w:val="center"/>
                    <w:rPr>
                      <w:rFonts w:hint="default" w:ascii="Times New Roman" w:hAnsi="Times New Roman" w:cs="Times New Roman"/>
                      <w:b/>
                      <w:bCs/>
                      <w:color w:val="auto"/>
                      <w:sz w:val="21"/>
                      <w:szCs w:val="21"/>
                      <w:highlight w:val="none"/>
                    </w:rPr>
                  </w:pPr>
                </w:p>
              </w:tc>
              <w:tc>
                <w:tcPr>
                  <w:tcW w:w="291" w:type="pct"/>
                  <w:vMerge w:val="continue"/>
                  <w:tcBorders>
                    <w:tl2br w:val="nil"/>
                    <w:tr2bl w:val="nil"/>
                  </w:tcBorders>
                  <w:noWrap w:val="0"/>
                  <w:vAlign w:val="center"/>
                </w:tcPr>
                <w:p w14:paraId="52793453">
                  <w:pPr>
                    <w:autoSpaceDE w:val="0"/>
                    <w:autoSpaceDN w:val="0"/>
                    <w:spacing w:line="240" w:lineRule="auto"/>
                    <w:ind w:firstLine="0" w:firstLineChars="0"/>
                    <w:jc w:val="center"/>
                    <w:rPr>
                      <w:rFonts w:hint="default" w:ascii="Times New Roman" w:hAnsi="Times New Roman" w:cs="Times New Roman"/>
                      <w:b/>
                      <w:bCs/>
                      <w:color w:val="auto"/>
                      <w:sz w:val="21"/>
                      <w:szCs w:val="21"/>
                      <w:highlight w:val="none"/>
                    </w:rPr>
                  </w:pPr>
                </w:p>
              </w:tc>
              <w:tc>
                <w:tcPr>
                  <w:tcW w:w="277" w:type="pct"/>
                  <w:vMerge w:val="continue"/>
                  <w:tcBorders>
                    <w:tl2br w:val="nil"/>
                    <w:tr2bl w:val="nil"/>
                  </w:tcBorders>
                  <w:noWrap w:val="0"/>
                  <w:vAlign w:val="center"/>
                </w:tcPr>
                <w:p w14:paraId="56D48EFC">
                  <w:pPr>
                    <w:spacing w:line="240" w:lineRule="auto"/>
                    <w:ind w:firstLine="0" w:firstLineChars="0"/>
                    <w:jc w:val="center"/>
                    <w:rPr>
                      <w:rFonts w:hint="default" w:ascii="Times New Roman" w:hAnsi="Times New Roman" w:cs="Times New Roman"/>
                      <w:b/>
                      <w:bCs/>
                      <w:color w:val="auto"/>
                      <w:sz w:val="21"/>
                      <w:szCs w:val="21"/>
                      <w:highlight w:val="none"/>
                    </w:rPr>
                  </w:pPr>
                </w:p>
              </w:tc>
              <w:tc>
                <w:tcPr>
                  <w:tcW w:w="392" w:type="pct"/>
                  <w:vMerge w:val="continue"/>
                  <w:tcBorders>
                    <w:tl2br w:val="nil"/>
                    <w:tr2bl w:val="nil"/>
                  </w:tcBorders>
                  <w:noWrap w:val="0"/>
                  <w:vAlign w:val="center"/>
                </w:tcPr>
                <w:p w14:paraId="615369D7">
                  <w:pPr>
                    <w:spacing w:line="240" w:lineRule="auto"/>
                    <w:ind w:firstLine="0" w:firstLineChars="0"/>
                    <w:jc w:val="center"/>
                    <w:rPr>
                      <w:rFonts w:hint="default" w:ascii="Times New Roman" w:hAnsi="Times New Roman" w:cs="Times New Roman"/>
                      <w:b/>
                      <w:bCs/>
                      <w:color w:val="auto"/>
                      <w:sz w:val="21"/>
                      <w:szCs w:val="21"/>
                      <w:highlight w:val="none"/>
                    </w:rPr>
                  </w:pPr>
                </w:p>
              </w:tc>
            </w:tr>
            <w:tr w14:paraId="6049D0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 w:type="pct"/>
                  <w:vMerge w:val="restart"/>
                  <w:tcBorders>
                    <w:tl2br w:val="nil"/>
                    <w:tr2bl w:val="nil"/>
                  </w:tcBorders>
                  <w:noWrap w:val="0"/>
                  <w:vAlign w:val="center"/>
                </w:tcPr>
                <w:p w14:paraId="46083326">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eastAsia"/>
                      <w:color w:val="auto"/>
                      <w:szCs w:val="21"/>
                      <w:lang w:val="en-US" w:eastAsia="zh-CN"/>
                    </w:rPr>
                    <w:t>喷烤漆废气</w:t>
                  </w:r>
                  <w:r>
                    <w:rPr>
                      <w:rFonts w:hint="default" w:ascii="Times New Roman" w:hAnsi="Times New Roman" w:cs="Times New Roman"/>
                      <w:color w:val="auto"/>
                      <w:kern w:val="0"/>
                      <w:sz w:val="21"/>
                      <w:szCs w:val="21"/>
                      <w:highlight w:val="none"/>
                    </w:rPr>
                    <w:t>（DA001）</w:t>
                  </w:r>
                </w:p>
              </w:tc>
              <w:tc>
                <w:tcPr>
                  <w:tcW w:w="321" w:type="pct"/>
                  <w:tcBorders>
                    <w:tl2br w:val="nil"/>
                    <w:tr2bl w:val="nil"/>
                  </w:tcBorders>
                  <w:noWrap w:val="0"/>
                  <w:vAlign w:val="center"/>
                </w:tcPr>
                <w:p w14:paraId="45AE4A74">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颗粒物</w:t>
                  </w:r>
                </w:p>
              </w:tc>
              <w:tc>
                <w:tcPr>
                  <w:tcW w:w="292" w:type="pct"/>
                  <w:vMerge w:val="restart"/>
                  <w:tcBorders>
                    <w:tl2br w:val="nil"/>
                    <w:tr2bl w:val="nil"/>
                  </w:tcBorders>
                  <w:noWrap w:val="0"/>
                  <w:vAlign w:val="center"/>
                </w:tcPr>
                <w:p w14:paraId="1BEDBDEF">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eastAsia" w:cs="Times New Roman"/>
                      <w:color w:val="auto"/>
                      <w:kern w:val="0"/>
                      <w:sz w:val="21"/>
                      <w:szCs w:val="21"/>
                      <w:highlight w:val="none"/>
                      <w:lang w:val="en-US" w:eastAsia="zh-CN"/>
                    </w:rPr>
                    <w:t>30</w:t>
                  </w:r>
                  <w:r>
                    <w:rPr>
                      <w:rFonts w:hint="default" w:ascii="Times New Roman" w:hAnsi="Times New Roman" w:cs="Times New Roman"/>
                      <w:color w:val="auto"/>
                      <w:kern w:val="0"/>
                      <w:sz w:val="21"/>
                      <w:szCs w:val="21"/>
                      <w:highlight w:val="none"/>
                    </w:rPr>
                    <w:t>000</w:t>
                  </w:r>
                </w:p>
              </w:tc>
              <w:tc>
                <w:tcPr>
                  <w:tcW w:w="297" w:type="pct"/>
                  <w:vMerge w:val="restart"/>
                  <w:tcBorders>
                    <w:tl2br w:val="nil"/>
                    <w:tr2bl w:val="nil"/>
                  </w:tcBorders>
                  <w:noWrap w:val="0"/>
                  <w:vAlign w:val="center"/>
                </w:tcPr>
                <w:p w14:paraId="6A25F607">
                  <w:pPr>
                    <w:adjustRightInd w:val="0"/>
                    <w:snapToGrid w:val="0"/>
                    <w:jc w:val="center"/>
                    <w:rPr>
                      <w:rFonts w:hint="default" w:eastAsia="宋体"/>
                      <w:color w:val="auto"/>
                      <w:kern w:val="2"/>
                      <w:sz w:val="21"/>
                      <w:szCs w:val="21"/>
                      <w:lang w:val="en-US" w:eastAsia="zh-CN" w:bidi="ar-SA"/>
                    </w:rPr>
                  </w:pPr>
                  <w:r>
                    <w:rPr>
                      <w:rFonts w:hint="eastAsia"/>
                      <w:color w:val="auto"/>
                      <w:kern w:val="2"/>
                      <w:sz w:val="21"/>
                      <w:szCs w:val="21"/>
                      <w:lang w:val="en-US" w:eastAsia="zh-CN" w:bidi="ar-SA"/>
                    </w:rPr>
                    <w:t>870</w:t>
                  </w:r>
                </w:p>
              </w:tc>
              <w:tc>
                <w:tcPr>
                  <w:tcW w:w="343" w:type="pct"/>
                  <w:tcBorders>
                    <w:tl2br w:val="nil"/>
                    <w:tr2bl w:val="nil"/>
                  </w:tcBorders>
                  <w:shd w:val="clear" w:color="auto" w:fill="auto"/>
                  <w:noWrap w:val="0"/>
                  <w:vAlign w:val="center"/>
                </w:tcPr>
                <w:p w14:paraId="4E2298E6">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0.1</w:t>
                  </w:r>
                  <w:r>
                    <w:rPr>
                      <w:rFonts w:hint="eastAsia" w:cs="Times New Roman"/>
                      <w:color w:val="auto"/>
                      <w:szCs w:val="21"/>
                      <w:lang w:val="en-US" w:eastAsia="zh-CN"/>
                    </w:rPr>
                    <w:t>67</w:t>
                  </w:r>
                </w:p>
              </w:tc>
              <w:tc>
                <w:tcPr>
                  <w:tcW w:w="409" w:type="pct"/>
                  <w:tcBorders>
                    <w:tl2br w:val="nil"/>
                    <w:tr2bl w:val="nil"/>
                  </w:tcBorders>
                  <w:shd w:val="clear" w:color="auto" w:fill="auto"/>
                  <w:noWrap w:val="0"/>
                  <w:vAlign w:val="center"/>
                </w:tcPr>
                <w:p w14:paraId="48931306">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0.19</w:t>
                  </w:r>
                </w:p>
              </w:tc>
              <w:tc>
                <w:tcPr>
                  <w:tcW w:w="167" w:type="pct"/>
                  <w:vMerge w:val="restart"/>
                  <w:tcBorders>
                    <w:tl2br w:val="nil"/>
                    <w:tr2bl w:val="nil"/>
                  </w:tcBorders>
                  <w:noWrap w:val="0"/>
                  <w:vAlign w:val="center"/>
                </w:tcPr>
                <w:p w14:paraId="3A0D9224">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有组织</w:t>
                  </w:r>
                </w:p>
              </w:tc>
              <w:tc>
                <w:tcPr>
                  <w:tcW w:w="344" w:type="pct"/>
                  <w:vMerge w:val="restart"/>
                  <w:tcBorders>
                    <w:tl2br w:val="nil"/>
                    <w:tr2bl w:val="nil"/>
                  </w:tcBorders>
                  <w:noWrap w:val="0"/>
                  <w:vAlign w:val="center"/>
                </w:tcPr>
                <w:p w14:paraId="45BF7450">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eastAsia"/>
                      <w:bCs/>
                      <w:color w:val="auto"/>
                      <w:spacing w:val="-10"/>
                      <w:szCs w:val="21"/>
                      <w:lang w:val="en-US" w:eastAsia="zh-CN"/>
                    </w:rPr>
                    <w:t>过滤棉+二</w:t>
                  </w:r>
                  <w:r>
                    <w:rPr>
                      <w:rFonts w:hint="eastAsia"/>
                      <w:bCs/>
                      <w:color w:val="auto"/>
                      <w:spacing w:val="-10"/>
                      <w:szCs w:val="21"/>
                    </w:rPr>
                    <w:t>级活性炭吸附</w:t>
                  </w:r>
                </w:p>
              </w:tc>
              <w:tc>
                <w:tcPr>
                  <w:tcW w:w="353" w:type="pct"/>
                  <w:tcBorders>
                    <w:tl2br w:val="nil"/>
                    <w:tr2bl w:val="nil"/>
                  </w:tcBorders>
                  <w:shd w:val="clear" w:color="auto" w:fill="auto"/>
                  <w:noWrap w:val="0"/>
                  <w:vAlign w:val="center"/>
                </w:tcPr>
                <w:p w14:paraId="015E2569">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0.0</w:t>
                  </w:r>
                  <w:r>
                    <w:rPr>
                      <w:rFonts w:hint="eastAsia" w:cs="Times New Roman"/>
                      <w:color w:val="auto"/>
                      <w:szCs w:val="21"/>
                      <w:lang w:val="en-US" w:eastAsia="zh-CN"/>
                    </w:rPr>
                    <w:t>25</w:t>
                  </w:r>
                </w:p>
              </w:tc>
              <w:tc>
                <w:tcPr>
                  <w:tcW w:w="408" w:type="pct"/>
                  <w:tcBorders>
                    <w:tl2br w:val="nil"/>
                    <w:tr2bl w:val="nil"/>
                  </w:tcBorders>
                  <w:shd w:val="clear" w:color="auto" w:fill="auto"/>
                  <w:noWrap w:val="0"/>
                  <w:vAlign w:val="center"/>
                </w:tcPr>
                <w:p w14:paraId="372EC00D">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0.03</w:t>
                  </w:r>
                </w:p>
              </w:tc>
              <w:tc>
                <w:tcPr>
                  <w:tcW w:w="487" w:type="pct"/>
                  <w:tcBorders>
                    <w:tl2br w:val="nil"/>
                    <w:tr2bl w:val="nil"/>
                  </w:tcBorders>
                  <w:shd w:val="clear" w:color="auto" w:fill="auto"/>
                  <w:noWrap w:val="0"/>
                  <w:vAlign w:val="center"/>
                </w:tcPr>
                <w:p w14:paraId="41347CCF">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1</w:t>
                  </w:r>
                </w:p>
              </w:tc>
              <w:tc>
                <w:tcPr>
                  <w:tcW w:w="274" w:type="pct"/>
                  <w:vMerge w:val="restart"/>
                  <w:tcBorders>
                    <w:tl2br w:val="nil"/>
                    <w:tr2bl w:val="nil"/>
                  </w:tcBorders>
                  <w:noWrap w:val="0"/>
                  <w:vAlign w:val="center"/>
                </w:tcPr>
                <w:p w14:paraId="48F12BA2">
                  <w:pPr>
                    <w:widowControl/>
                    <w:spacing w:line="240" w:lineRule="auto"/>
                    <w:ind w:firstLine="0" w:firstLineChars="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auto"/>
                      <w:kern w:val="0"/>
                      <w:sz w:val="21"/>
                      <w:szCs w:val="21"/>
                      <w:highlight w:val="none"/>
                      <w:lang w:val="en-US" w:eastAsia="zh-CN"/>
                    </w:rPr>
                    <w:t>95</w:t>
                  </w:r>
                  <w:r>
                    <w:rPr>
                      <w:rFonts w:hint="default" w:ascii="Times New Roman" w:hAnsi="Times New Roman" w:cs="Times New Roman"/>
                      <w:color w:val="auto"/>
                      <w:kern w:val="0"/>
                      <w:sz w:val="21"/>
                      <w:szCs w:val="21"/>
                      <w:highlight w:val="none"/>
                    </w:rPr>
                    <w:t>%</w:t>
                  </w:r>
                </w:p>
              </w:tc>
              <w:tc>
                <w:tcPr>
                  <w:tcW w:w="291" w:type="pct"/>
                  <w:vMerge w:val="restart"/>
                  <w:tcBorders>
                    <w:tl2br w:val="nil"/>
                    <w:tr2bl w:val="nil"/>
                  </w:tcBorders>
                  <w:noWrap w:val="0"/>
                  <w:vAlign w:val="center"/>
                </w:tcPr>
                <w:p w14:paraId="3CDF36E2">
                  <w:pPr>
                    <w:widowControl/>
                    <w:spacing w:line="240" w:lineRule="auto"/>
                    <w:ind w:firstLine="0" w:firstLineChars="0"/>
                    <w:jc w:val="center"/>
                    <w:rPr>
                      <w:rFonts w:hint="default" w:ascii="Times New Roman" w:hAnsi="Times New Roman" w:eastAsia="宋体" w:cs="Times New Roman"/>
                      <w:color w:val="auto"/>
                      <w:sz w:val="21"/>
                      <w:szCs w:val="21"/>
                      <w:highlight w:val="none"/>
                      <w:lang w:eastAsia="zh-CN"/>
                    </w:rPr>
                  </w:pPr>
                  <w:r>
                    <w:rPr>
                      <w:rFonts w:hint="eastAsia" w:cs="Times New Roman"/>
                      <w:color w:val="auto"/>
                      <w:kern w:val="0"/>
                      <w:sz w:val="21"/>
                      <w:szCs w:val="21"/>
                      <w:highlight w:val="none"/>
                      <w:lang w:val="en-US" w:eastAsia="zh-CN"/>
                    </w:rPr>
                    <w:t>36</w:t>
                  </w:r>
                  <w:r>
                    <w:rPr>
                      <w:rFonts w:hint="default" w:ascii="Times New Roman" w:hAnsi="Times New Roman" w:cs="Times New Roman"/>
                      <w:color w:val="auto"/>
                      <w:kern w:val="0"/>
                      <w:sz w:val="21"/>
                      <w:szCs w:val="21"/>
                      <w:highlight w:val="none"/>
                      <w:lang w:eastAsia="zh-CN"/>
                    </w:rPr>
                    <w:t>%</w:t>
                  </w:r>
                </w:p>
              </w:tc>
              <w:tc>
                <w:tcPr>
                  <w:tcW w:w="277" w:type="pct"/>
                  <w:tcBorders>
                    <w:tl2br w:val="nil"/>
                    <w:tr2bl w:val="nil"/>
                  </w:tcBorders>
                  <w:noWrap w:val="0"/>
                  <w:vAlign w:val="center"/>
                </w:tcPr>
                <w:p w14:paraId="490CCF27">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3.98</w:t>
                  </w:r>
                </w:p>
              </w:tc>
              <w:tc>
                <w:tcPr>
                  <w:tcW w:w="392" w:type="pct"/>
                  <w:tcBorders>
                    <w:tl2br w:val="nil"/>
                    <w:tr2bl w:val="nil"/>
                  </w:tcBorders>
                  <w:noWrap w:val="0"/>
                  <w:vAlign w:val="center"/>
                </w:tcPr>
                <w:p w14:paraId="5A07C03D">
                  <w:pPr>
                    <w:adjustRightInd w:val="0"/>
                    <w:snapToGrid w:val="0"/>
                    <w:jc w:val="center"/>
                    <w:rPr>
                      <w:rFonts w:hint="default" w:eastAsia="宋体"/>
                      <w:color w:val="auto"/>
                      <w:kern w:val="2"/>
                      <w:sz w:val="21"/>
                      <w:szCs w:val="21"/>
                      <w:lang w:val="en-US" w:eastAsia="zh-CN" w:bidi="ar-SA"/>
                    </w:rPr>
                  </w:pPr>
                  <w:r>
                    <w:rPr>
                      <w:rFonts w:hint="eastAsia" w:eastAsia="宋体"/>
                      <w:color w:val="auto"/>
                      <w:kern w:val="2"/>
                      <w:sz w:val="21"/>
                      <w:szCs w:val="21"/>
                      <w:lang w:val="en-US" w:eastAsia="zh-CN" w:bidi="ar-SA"/>
                    </w:rPr>
                    <w:t>120</w:t>
                  </w:r>
                </w:p>
              </w:tc>
            </w:tr>
            <w:tr w14:paraId="1A0FB1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39" w:type="pct"/>
                  <w:vMerge w:val="continue"/>
                  <w:tcBorders>
                    <w:tl2br w:val="nil"/>
                    <w:tr2bl w:val="nil"/>
                  </w:tcBorders>
                  <w:noWrap w:val="0"/>
                  <w:vAlign w:val="center"/>
                </w:tcPr>
                <w:p w14:paraId="10B8D5F8">
                  <w:pPr>
                    <w:widowControl/>
                    <w:spacing w:line="240" w:lineRule="auto"/>
                    <w:ind w:firstLine="0" w:firstLineChars="0"/>
                    <w:jc w:val="center"/>
                    <w:rPr>
                      <w:rFonts w:hint="eastAsia"/>
                      <w:color w:val="auto"/>
                      <w:szCs w:val="21"/>
                      <w:lang w:val="en-US" w:eastAsia="zh-CN"/>
                    </w:rPr>
                  </w:pPr>
                </w:p>
              </w:tc>
              <w:tc>
                <w:tcPr>
                  <w:tcW w:w="321" w:type="pct"/>
                  <w:tcBorders>
                    <w:tl2br w:val="nil"/>
                    <w:tr2bl w:val="nil"/>
                  </w:tcBorders>
                  <w:noWrap w:val="0"/>
                  <w:vAlign w:val="center"/>
                </w:tcPr>
                <w:p w14:paraId="3D8940C8">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非甲烷总烃</w:t>
                  </w:r>
                </w:p>
              </w:tc>
              <w:tc>
                <w:tcPr>
                  <w:tcW w:w="292" w:type="pct"/>
                  <w:vMerge w:val="continue"/>
                  <w:tcBorders>
                    <w:tl2br w:val="nil"/>
                    <w:tr2bl w:val="nil"/>
                  </w:tcBorders>
                  <w:noWrap w:val="0"/>
                  <w:vAlign w:val="center"/>
                </w:tcPr>
                <w:p w14:paraId="3638F2CE">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7" w:type="pct"/>
                  <w:vMerge w:val="continue"/>
                  <w:tcBorders>
                    <w:tl2br w:val="nil"/>
                    <w:tr2bl w:val="nil"/>
                  </w:tcBorders>
                  <w:noWrap w:val="0"/>
                  <w:vAlign w:val="center"/>
                </w:tcPr>
                <w:p w14:paraId="57964897">
                  <w:pPr>
                    <w:adjustRightInd w:val="0"/>
                    <w:snapToGrid w:val="0"/>
                    <w:jc w:val="center"/>
                    <w:rPr>
                      <w:rFonts w:hint="eastAsia"/>
                      <w:color w:val="auto"/>
                      <w:szCs w:val="21"/>
                      <w:lang w:val="en-US" w:eastAsia="zh-CN"/>
                    </w:rPr>
                  </w:pPr>
                </w:p>
              </w:tc>
              <w:tc>
                <w:tcPr>
                  <w:tcW w:w="343" w:type="pct"/>
                  <w:tcBorders>
                    <w:tl2br w:val="nil"/>
                    <w:tr2bl w:val="nil"/>
                  </w:tcBorders>
                  <w:shd w:val="clear" w:color="auto" w:fill="auto"/>
                  <w:noWrap w:val="0"/>
                  <w:vAlign w:val="center"/>
                </w:tcPr>
                <w:p w14:paraId="798312E5">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0.3</w:t>
                  </w:r>
                  <w:r>
                    <w:rPr>
                      <w:rFonts w:hint="eastAsia" w:cs="Times New Roman"/>
                      <w:color w:val="auto"/>
                      <w:szCs w:val="21"/>
                      <w:lang w:val="en-US" w:eastAsia="zh-CN"/>
                    </w:rPr>
                    <w:t>91</w:t>
                  </w:r>
                </w:p>
              </w:tc>
              <w:tc>
                <w:tcPr>
                  <w:tcW w:w="409" w:type="pct"/>
                  <w:tcBorders>
                    <w:tl2br w:val="nil"/>
                    <w:tr2bl w:val="nil"/>
                  </w:tcBorders>
                  <w:shd w:val="clear" w:color="auto" w:fill="auto"/>
                  <w:noWrap w:val="0"/>
                  <w:vAlign w:val="center"/>
                </w:tcPr>
                <w:p w14:paraId="2B5A54EC">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0.45</w:t>
                  </w:r>
                </w:p>
              </w:tc>
              <w:tc>
                <w:tcPr>
                  <w:tcW w:w="167" w:type="pct"/>
                  <w:vMerge w:val="continue"/>
                  <w:tcBorders>
                    <w:tl2br w:val="nil"/>
                    <w:tr2bl w:val="nil"/>
                  </w:tcBorders>
                  <w:noWrap w:val="0"/>
                  <w:vAlign w:val="center"/>
                </w:tcPr>
                <w:p w14:paraId="24C50493">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344" w:type="pct"/>
                  <w:vMerge w:val="continue"/>
                  <w:tcBorders>
                    <w:tl2br w:val="nil"/>
                    <w:tr2bl w:val="nil"/>
                  </w:tcBorders>
                  <w:noWrap w:val="0"/>
                  <w:vAlign w:val="center"/>
                </w:tcPr>
                <w:p w14:paraId="4AD93F95">
                  <w:pPr>
                    <w:widowControl/>
                    <w:spacing w:line="240" w:lineRule="auto"/>
                    <w:ind w:firstLine="0" w:firstLineChars="0"/>
                    <w:jc w:val="center"/>
                    <w:rPr>
                      <w:rFonts w:hint="eastAsia"/>
                      <w:bCs/>
                      <w:color w:val="auto"/>
                      <w:spacing w:val="-10"/>
                      <w:szCs w:val="21"/>
                      <w:lang w:val="en-US" w:eastAsia="zh-CN"/>
                    </w:rPr>
                  </w:pPr>
                </w:p>
              </w:tc>
              <w:tc>
                <w:tcPr>
                  <w:tcW w:w="353" w:type="pct"/>
                  <w:tcBorders>
                    <w:tl2br w:val="nil"/>
                    <w:tr2bl w:val="nil"/>
                  </w:tcBorders>
                  <w:shd w:val="clear" w:color="auto" w:fill="auto"/>
                  <w:noWrap w:val="0"/>
                  <w:vAlign w:val="center"/>
                </w:tcPr>
                <w:p w14:paraId="17929E5C">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0.</w:t>
                  </w:r>
                  <w:r>
                    <w:rPr>
                      <w:rFonts w:hint="eastAsia" w:cs="Times New Roman"/>
                      <w:color w:val="auto"/>
                      <w:szCs w:val="21"/>
                      <w:lang w:val="en-US" w:eastAsia="zh-CN"/>
                    </w:rPr>
                    <w:t>25</w:t>
                  </w:r>
                </w:p>
              </w:tc>
              <w:tc>
                <w:tcPr>
                  <w:tcW w:w="408" w:type="pct"/>
                  <w:tcBorders>
                    <w:tl2br w:val="nil"/>
                    <w:tr2bl w:val="nil"/>
                  </w:tcBorders>
                  <w:shd w:val="clear" w:color="auto" w:fill="auto"/>
                  <w:noWrap w:val="0"/>
                  <w:vAlign w:val="center"/>
                </w:tcPr>
                <w:p w14:paraId="2D8D72F1">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29</w:t>
                  </w:r>
                </w:p>
              </w:tc>
              <w:tc>
                <w:tcPr>
                  <w:tcW w:w="487" w:type="pct"/>
                  <w:tcBorders>
                    <w:tl2br w:val="nil"/>
                    <w:tr2bl w:val="nil"/>
                  </w:tcBorders>
                  <w:shd w:val="clear" w:color="auto" w:fill="auto"/>
                  <w:noWrap w:val="0"/>
                  <w:vAlign w:val="center"/>
                </w:tcPr>
                <w:p w14:paraId="57FF5031">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9.7</w:t>
                  </w:r>
                </w:p>
              </w:tc>
              <w:tc>
                <w:tcPr>
                  <w:tcW w:w="274" w:type="pct"/>
                  <w:vMerge w:val="continue"/>
                  <w:tcBorders>
                    <w:tl2br w:val="nil"/>
                    <w:tr2bl w:val="nil"/>
                  </w:tcBorders>
                  <w:noWrap w:val="0"/>
                  <w:vAlign w:val="center"/>
                </w:tcPr>
                <w:p w14:paraId="66C2D26C">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1" w:type="pct"/>
                  <w:vMerge w:val="continue"/>
                  <w:tcBorders>
                    <w:tl2br w:val="nil"/>
                    <w:tr2bl w:val="nil"/>
                  </w:tcBorders>
                  <w:noWrap w:val="0"/>
                  <w:vAlign w:val="center"/>
                </w:tcPr>
                <w:p w14:paraId="417B98DE">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277" w:type="pct"/>
                  <w:tcBorders>
                    <w:tl2br w:val="nil"/>
                    <w:tr2bl w:val="nil"/>
                  </w:tcBorders>
                  <w:noWrap w:val="0"/>
                  <w:vAlign w:val="center"/>
                </w:tcPr>
                <w:p w14:paraId="1CF16BAA">
                  <w:pPr>
                    <w:widowControl/>
                    <w:spacing w:line="240" w:lineRule="auto"/>
                    <w:ind w:firstLine="0" w:firstLineChars="0"/>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w:t>
                  </w:r>
                </w:p>
              </w:tc>
              <w:tc>
                <w:tcPr>
                  <w:tcW w:w="392" w:type="pct"/>
                  <w:tcBorders>
                    <w:tl2br w:val="nil"/>
                    <w:tr2bl w:val="nil"/>
                  </w:tcBorders>
                  <w:noWrap w:val="0"/>
                  <w:vAlign w:val="center"/>
                </w:tcPr>
                <w:p w14:paraId="744061EE">
                  <w:pPr>
                    <w:adjustRightInd w:val="0"/>
                    <w:snapToGrid w:val="0"/>
                    <w:jc w:val="center"/>
                    <w:rPr>
                      <w:rFonts w:hint="eastAsia"/>
                      <w:color w:val="auto"/>
                      <w:szCs w:val="21"/>
                      <w:lang w:val="en-US" w:eastAsia="zh-CN"/>
                    </w:rPr>
                  </w:pPr>
                  <w:r>
                    <w:rPr>
                      <w:rFonts w:hint="eastAsia"/>
                      <w:color w:val="auto"/>
                      <w:szCs w:val="21"/>
                      <w:lang w:val="en-US" w:eastAsia="zh-CN"/>
                    </w:rPr>
                    <w:t>50</w:t>
                  </w:r>
                </w:p>
              </w:tc>
            </w:tr>
            <w:tr w14:paraId="668FC2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 w:type="pct"/>
                  <w:vMerge w:val="continue"/>
                  <w:tcBorders>
                    <w:tl2br w:val="nil"/>
                    <w:tr2bl w:val="nil"/>
                  </w:tcBorders>
                  <w:noWrap w:val="0"/>
                  <w:vAlign w:val="center"/>
                </w:tcPr>
                <w:p w14:paraId="64EED408">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21" w:type="pct"/>
                  <w:tcBorders>
                    <w:tl2br w:val="nil"/>
                    <w:tr2bl w:val="nil"/>
                  </w:tcBorders>
                  <w:noWrap w:val="0"/>
                  <w:vAlign w:val="center"/>
                </w:tcPr>
                <w:p w14:paraId="1FF3E892">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甲苯</w:t>
                  </w:r>
                </w:p>
              </w:tc>
              <w:tc>
                <w:tcPr>
                  <w:tcW w:w="292" w:type="pct"/>
                  <w:vMerge w:val="continue"/>
                  <w:tcBorders>
                    <w:tl2br w:val="nil"/>
                    <w:tr2bl w:val="nil"/>
                  </w:tcBorders>
                  <w:noWrap w:val="0"/>
                  <w:vAlign w:val="center"/>
                </w:tcPr>
                <w:p w14:paraId="4AA10399">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7" w:type="pct"/>
                  <w:vMerge w:val="continue"/>
                  <w:tcBorders>
                    <w:tl2br w:val="nil"/>
                    <w:tr2bl w:val="nil"/>
                  </w:tcBorders>
                  <w:noWrap w:val="0"/>
                  <w:vAlign w:val="center"/>
                </w:tcPr>
                <w:p w14:paraId="58E53BCF">
                  <w:pPr>
                    <w:adjustRightInd w:val="0"/>
                    <w:snapToGrid w:val="0"/>
                    <w:jc w:val="center"/>
                    <w:rPr>
                      <w:rFonts w:hint="eastAsia" w:eastAsia="宋体"/>
                      <w:color w:val="auto"/>
                      <w:kern w:val="2"/>
                      <w:sz w:val="21"/>
                      <w:szCs w:val="21"/>
                      <w:lang w:val="en-US" w:eastAsia="zh-CN" w:bidi="ar-SA"/>
                    </w:rPr>
                  </w:pPr>
                </w:p>
              </w:tc>
              <w:tc>
                <w:tcPr>
                  <w:tcW w:w="343" w:type="pct"/>
                  <w:tcBorders>
                    <w:tl2br w:val="nil"/>
                    <w:tr2bl w:val="nil"/>
                  </w:tcBorders>
                  <w:shd w:val="clear" w:color="auto" w:fill="auto"/>
                  <w:noWrap w:val="0"/>
                  <w:vAlign w:val="center"/>
                </w:tcPr>
                <w:p w14:paraId="64486B18">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0.0</w:t>
                  </w:r>
                  <w:r>
                    <w:rPr>
                      <w:rFonts w:hint="eastAsia" w:cs="Times New Roman"/>
                      <w:color w:val="auto"/>
                      <w:szCs w:val="21"/>
                      <w:lang w:val="en-US" w:eastAsia="zh-CN"/>
                    </w:rPr>
                    <w:t>29</w:t>
                  </w:r>
                </w:p>
              </w:tc>
              <w:tc>
                <w:tcPr>
                  <w:tcW w:w="409" w:type="pct"/>
                  <w:tcBorders>
                    <w:tl2br w:val="nil"/>
                    <w:tr2bl w:val="nil"/>
                  </w:tcBorders>
                  <w:shd w:val="clear" w:color="auto" w:fill="auto"/>
                  <w:noWrap w:val="0"/>
                  <w:vAlign w:val="center"/>
                </w:tcPr>
                <w:p w14:paraId="2758A22F">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0.03</w:t>
                  </w:r>
                </w:p>
              </w:tc>
              <w:tc>
                <w:tcPr>
                  <w:tcW w:w="167" w:type="pct"/>
                  <w:vMerge w:val="continue"/>
                  <w:tcBorders>
                    <w:tl2br w:val="nil"/>
                    <w:tr2bl w:val="nil"/>
                  </w:tcBorders>
                  <w:noWrap w:val="0"/>
                  <w:vAlign w:val="center"/>
                </w:tcPr>
                <w:p w14:paraId="459B873B">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344" w:type="pct"/>
                  <w:vMerge w:val="continue"/>
                  <w:tcBorders>
                    <w:tl2br w:val="nil"/>
                    <w:tr2bl w:val="nil"/>
                  </w:tcBorders>
                  <w:noWrap w:val="0"/>
                  <w:vAlign w:val="center"/>
                </w:tcPr>
                <w:p w14:paraId="44C0E2B4">
                  <w:pPr>
                    <w:widowControl/>
                    <w:spacing w:line="240" w:lineRule="auto"/>
                    <w:ind w:firstLine="0" w:firstLineChars="0"/>
                    <w:jc w:val="center"/>
                    <w:rPr>
                      <w:rFonts w:hint="eastAsia"/>
                      <w:bCs/>
                      <w:color w:val="auto"/>
                      <w:spacing w:val="-10"/>
                      <w:szCs w:val="21"/>
                    </w:rPr>
                  </w:pPr>
                </w:p>
              </w:tc>
              <w:tc>
                <w:tcPr>
                  <w:tcW w:w="353" w:type="pct"/>
                  <w:tcBorders>
                    <w:tl2br w:val="nil"/>
                    <w:tr2bl w:val="nil"/>
                  </w:tcBorders>
                  <w:shd w:val="clear" w:color="auto" w:fill="auto"/>
                  <w:noWrap w:val="0"/>
                  <w:vAlign w:val="center"/>
                </w:tcPr>
                <w:p w14:paraId="10EFE53A">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0.0</w:t>
                  </w:r>
                  <w:r>
                    <w:rPr>
                      <w:rFonts w:hint="eastAsia" w:cs="Times New Roman"/>
                      <w:color w:val="auto"/>
                      <w:szCs w:val="21"/>
                      <w:lang w:val="en-US" w:eastAsia="zh-CN"/>
                    </w:rPr>
                    <w:t>19</w:t>
                  </w:r>
                </w:p>
              </w:tc>
              <w:tc>
                <w:tcPr>
                  <w:tcW w:w="408" w:type="pct"/>
                  <w:tcBorders>
                    <w:tl2br w:val="nil"/>
                    <w:tr2bl w:val="nil"/>
                  </w:tcBorders>
                  <w:shd w:val="clear" w:color="auto" w:fill="auto"/>
                  <w:noWrap w:val="0"/>
                  <w:vAlign w:val="center"/>
                </w:tcPr>
                <w:p w14:paraId="32E98A89">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2</w:t>
                  </w:r>
                </w:p>
              </w:tc>
              <w:tc>
                <w:tcPr>
                  <w:tcW w:w="487" w:type="pct"/>
                  <w:tcBorders>
                    <w:tl2br w:val="nil"/>
                    <w:tr2bl w:val="nil"/>
                  </w:tcBorders>
                  <w:shd w:val="clear" w:color="auto" w:fill="auto"/>
                  <w:noWrap w:val="0"/>
                  <w:vAlign w:val="center"/>
                </w:tcPr>
                <w:p w14:paraId="735C1EB5">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7</w:t>
                  </w:r>
                </w:p>
              </w:tc>
              <w:tc>
                <w:tcPr>
                  <w:tcW w:w="274" w:type="pct"/>
                  <w:vMerge w:val="continue"/>
                  <w:tcBorders>
                    <w:tl2br w:val="nil"/>
                    <w:tr2bl w:val="nil"/>
                  </w:tcBorders>
                  <w:noWrap w:val="0"/>
                  <w:vAlign w:val="center"/>
                </w:tcPr>
                <w:p w14:paraId="2DDC0643">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1" w:type="pct"/>
                  <w:vMerge w:val="continue"/>
                  <w:tcBorders>
                    <w:tl2br w:val="nil"/>
                    <w:tr2bl w:val="nil"/>
                  </w:tcBorders>
                  <w:noWrap w:val="0"/>
                  <w:vAlign w:val="center"/>
                </w:tcPr>
                <w:p w14:paraId="47ED4976">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277" w:type="pct"/>
                  <w:tcBorders>
                    <w:tl2br w:val="nil"/>
                    <w:tr2bl w:val="nil"/>
                  </w:tcBorders>
                  <w:noWrap w:val="0"/>
                  <w:vAlign w:val="center"/>
                </w:tcPr>
                <w:p w14:paraId="7AA8E606">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w:t>
                  </w:r>
                </w:p>
              </w:tc>
              <w:tc>
                <w:tcPr>
                  <w:tcW w:w="392" w:type="pct"/>
                  <w:tcBorders>
                    <w:tl2br w:val="nil"/>
                    <w:tr2bl w:val="nil"/>
                  </w:tcBorders>
                  <w:noWrap w:val="0"/>
                  <w:vAlign w:val="center"/>
                </w:tcPr>
                <w:p w14:paraId="727C6EBE">
                  <w:pPr>
                    <w:adjustRightInd w:val="0"/>
                    <w:snapToGrid w:val="0"/>
                    <w:jc w:val="center"/>
                    <w:rPr>
                      <w:rFonts w:hint="default" w:eastAsia="宋体"/>
                      <w:color w:val="auto"/>
                      <w:kern w:val="2"/>
                      <w:sz w:val="21"/>
                      <w:szCs w:val="21"/>
                      <w:lang w:val="en-US" w:eastAsia="zh-CN" w:bidi="ar-SA"/>
                    </w:rPr>
                  </w:pPr>
                  <w:r>
                    <w:rPr>
                      <w:rFonts w:hint="eastAsia"/>
                      <w:color w:val="auto"/>
                      <w:szCs w:val="21"/>
                      <w:lang w:val="en-US" w:eastAsia="zh-CN"/>
                    </w:rPr>
                    <w:t>5</w:t>
                  </w:r>
                </w:p>
              </w:tc>
            </w:tr>
            <w:tr w14:paraId="4A2D13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 w:type="pct"/>
                  <w:vMerge w:val="continue"/>
                  <w:tcBorders>
                    <w:tl2br w:val="nil"/>
                    <w:tr2bl w:val="nil"/>
                  </w:tcBorders>
                  <w:noWrap w:val="0"/>
                  <w:vAlign w:val="center"/>
                </w:tcPr>
                <w:p w14:paraId="0E6BA4A1">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21" w:type="pct"/>
                  <w:tcBorders>
                    <w:tl2br w:val="nil"/>
                    <w:tr2bl w:val="nil"/>
                  </w:tcBorders>
                  <w:noWrap w:val="0"/>
                  <w:vAlign w:val="center"/>
                </w:tcPr>
                <w:p w14:paraId="0E60DCE7">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二甲苯</w:t>
                  </w:r>
                </w:p>
              </w:tc>
              <w:tc>
                <w:tcPr>
                  <w:tcW w:w="292" w:type="pct"/>
                  <w:vMerge w:val="continue"/>
                  <w:tcBorders>
                    <w:tl2br w:val="nil"/>
                    <w:tr2bl w:val="nil"/>
                  </w:tcBorders>
                  <w:noWrap w:val="0"/>
                  <w:vAlign w:val="center"/>
                </w:tcPr>
                <w:p w14:paraId="72E2D9E8">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7" w:type="pct"/>
                  <w:vMerge w:val="continue"/>
                  <w:tcBorders>
                    <w:tl2br w:val="nil"/>
                    <w:tr2bl w:val="nil"/>
                  </w:tcBorders>
                  <w:noWrap w:val="0"/>
                  <w:vAlign w:val="center"/>
                </w:tcPr>
                <w:p w14:paraId="31DE1D18">
                  <w:pPr>
                    <w:adjustRightInd w:val="0"/>
                    <w:snapToGrid w:val="0"/>
                    <w:jc w:val="center"/>
                    <w:rPr>
                      <w:rFonts w:hint="eastAsia"/>
                      <w:color w:val="auto"/>
                      <w:kern w:val="2"/>
                      <w:sz w:val="21"/>
                      <w:szCs w:val="21"/>
                      <w:lang w:val="en-US" w:eastAsia="zh-CN" w:bidi="ar-SA"/>
                    </w:rPr>
                  </w:pPr>
                </w:p>
              </w:tc>
              <w:tc>
                <w:tcPr>
                  <w:tcW w:w="343" w:type="pct"/>
                  <w:tcBorders>
                    <w:tl2br w:val="nil"/>
                    <w:tr2bl w:val="nil"/>
                  </w:tcBorders>
                  <w:shd w:val="clear" w:color="auto" w:fill="auto"/>
                  <w:noWrap w:val="0"/>
                  <w:vAlign w:val="center"/>
                </w:tcPr>
                <w:p w14:paraId="606AAC30">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1</w:t>
                  </w:r>
                </w:p>
              </w:tc>
              <w:tc>
                <w:tcPr>
                  <w:tcW w:w="409" w:type="pct"/>
                  <w:tcBorders>
                    <w:tl2br w:val="nil"/>
                    <w:tr2bl w:val="nil"/>
                  </w:tcBorders>
                  <w:shd w:val="clear" w:color="auto" w:fill="auto"/>
                  <w:noWrap w:val="0"/>
                  <w:vAlign w:val="center"/>
                </w:tcPr>
                <w:p w14:paraId="499425CC">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0.01</w:t>
                  </w:r>
                </w:p>
              </w:tc>
              <w:tc>
                <w:tcPr>
                  <w:tcW w:w="167" w:type="pct"/>
                  <w:vMerge w:val="continue"/>
                  <w:tcBorders>
                    <w:tl2br w:val="nil"/>
                    <w:tr2bl w:val="nil"/>
                  </w:tcBorders>
                  <w:noWrap w:val="0"/>
                  <w:vAlign w:val="center"/>
                </w:tcPr>
                <w:p w14:paraId="35360BEB">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344" w:type="pct"/>
                  <w:vMerge w:val="continue"/>
                  <w:tcBorders>
                    <w:tl2br w:val="nil"/>
                    <w:tr2bl w:val="nil"/>
                  </w:tcBorders>
                  <w:noWrap w:val="0"/>
                  <w:vAlign w:val="center"/>
                </w:tcPr>
                <w:p w14:paraId="2B6D34AE">
                  <w:pPr>
                    <w:widowControl/>
                    <w:spacing w:line="240" w:lineRule="auto"/>
                    <w:ind w:firstLine="0" w:firstLineChars="0"/>
                    <w:jc w:val="center"/>
                    <w:rPr>
                      <w:rFonts w:hint="eastAsia"/>
                      <w:bCs/>
                      <w:color w:val="auto"/>
                      <w:spacing w:val="-10"/>
                      <w:szCs w:val="21"/>
                    </w:rPr>
                  </w:pPr>
                </w:p>
              </w:tc>
              <w:tc>
                <w:tcPr>
                  <w:tcW w:w="353" w:type="pct"/>
                  <w:tcBorders>
                    <w:tl2br w:val="nil"/>
                    <w:tr2bl w:val="nil"/>
                  </w:tcBorders>
                  <w:shd w:val="clear" w:color="auto" w:fill="auto"/>
                  <w:noWrap w:val="0"/>
                  <w:vAlign w:val="center"/>
                </w:tcPr>
                <w:p w14:paraId="413D2EAA">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0.0</w:t>
                  </w:r>
                  <w:r>
                    <w:rPr>
                      <w:rFonts w:hint="eastAsia" w:ascii="Times New Roman" w:hAnsi="Times New Roman" w:cs="Times New Roman"/>
                      <w:color w:val="auto"/>
                      <w:szCs w:val="21"/>
                      <w:lang w:val="en-US" w:eastAsia="zh-CN"/>
                    </w:rPr>
                    <w:t>0</w:t>
                  </w:r>
                  <w:r>
                    <w:rPr>
                      <w:rFonts w:hint="eastAsia" w:cs="Times New Roman"/>
                      <w:color w:val="auto"/>
                      <w:szCs w:val="21"/>
                      <w:lang w:val="en-US" w:eastAsia="zh-CN"/>
                    </w:rPr>
                    <w:t>6</w:t>
                  </w:r>
                </w:p>
              </w:tc>
              <w:tc>
                <w:tcPr>
                  <w:tcW w:w="408" w:type="pct"/>
                  <w:tcBorders>
                    <w:tl2br w:val="nil"/>
                    <w:tr2bl w:val="nil"/>
                  </w:tcBorders>
                  <w:shd w:val="clear" w:color="auto" w:fill="auto"/>
                  <w:noWrap w:val="0"/>
                  <w:vAlign w:val="center"/>
                </w:tcPr>
                <w:p w14:paraId="14A5F4A9">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0.00</w:t>
                  </w:r>
                  <w:r>
                    <w:rPr>
                      <w:rFonts w:hint="eastAsia" w:cs="Times New Roman"/>
                      <w:color w:val="auto"/>
                      <w:szCs w:val="21"/>
                      <w:lang w:val="en-US" w:eastAsia="zh-CN"/>
                    </w:rPr>
                    <w:t>7</w:t>
                  </w:r>
                </w:p>
              </w:tc>
              <w:tc>
                <w:tcPr>
                  <w:tcW w:w="487" w:type="pct"/>
                  <w:tcBorders>
                    <w:tl2br w:val="nil"/>
                    <w:tr2bl w:val="nil"/>
                  </w:tcBorders>
                  <w:shd w:val="clear" w:color="auto" w:fill="auto"/>
                  <w:noWrap w:val="0"/>
                  <w:vAlign w:val="center"/>
                </w:tcPr>
                <w:p w14:paraId="72615729">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2</w:t>
                  </w:r>
                </w:p>
              </w:tc>
              <w:tc>
                <w:tcPr>
                  <w:tcW w:w="274" w:type="pct"/>
                  <w:vMerge w:val="continue"/>
                  <w:tcBorders>
                    <w:tl2br w:val="nil"/>
                    <w:tr2bl w:val="nil"/>
                  </w:tcBorders>
                  <w:noWrap w:val="0"/>
                  <w:vAlign w:val="center"/>
                </w:tcPr>
                <w:p w14:paraId="7BAA90D2">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1" w:type="pct"/>
                  <w:vMerge w:val="continue"/>
                  <w:tcBorders>
                    <w:tl2br w:val="nil"/>
                    <w:tr2bl w:val="nil"/>
                  </w:tcBorders>
                  <w:noWrap w:val="0"/>
                  <w:vAlign w:val="center"/>
                </w:tcPr>
                <w:p w14:paraId="650F8C81">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277" w:type="pct"/>
                  <w:tcBorders>
                    <w:tl2br w:val="nil"/>
                    <w:tr2bl w:val="nil"/>
                  </w:tcBorders>
                  <w:noWrap w:val="0"/>
                  <w:vAlign w:val="center"/>
                </w:tcPr>
                <w:p w14:paraId="6737A09C">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w:t>
                  </w:r>
                </w:p>
              </w:tc>
              <w:tc>
                <w:tcPr>
                  <w:tcW w:w="392" w:type="pct"/>
                  <w:tcBorders>
                    <w:tl2br w:val="nil"/>
                    <w:tr2bl w:val="nil"/>
                  </w:tcBorders>
                  <w:noWrap w:val="0"/>
                  <w:vAlign w:val="center"/>
                </w:tcPr>
                <w:p w14:paraId="24F3DBF8">
                  <w:pPr>
                    <w:adjustRightInd w:val="0"/>
                    <w:snapToGrid w:val="0"/>
                    <w:jc w:val="center"/>
                    <w:rPr>
                      <w:rFonts w:hint="default" w:eastAsia="宋体"/>
                      <w:color w:val="auto"/>
                      <w:kern w:val="2"/>
                      <w:sz w:val="21"/>
                      <w:szCs w:val="21"/>
                      <w:lang w:val="en-US" w:eastAsia="zh-CN" w:bidi="ar-SA"/>
                    </w:rPr>
                  </w:pPr>
                  <w:r>
                    <w:rPr>
                      <w:rFonts w:hint="eastAsia"/>
                      <w:color w:val="auto"/>
                      <w:szCs w:val="21"/>
                      <w:lang w:val="en-US" w:eastAsia="zh-CN"/>
                    </w:rPr>
                    <w:t>15</w:t>
                  </w:r>
                </w:p>
              </w:tc>
            </w:tr>
            <w:tr w14:paraId="284956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 w:type="pct"/>
                  <w:vMerge w:val="continue"/>
                  <w:tcBorders>
                    <w:tl2br w:val="nil"/>
                    <w:tr2bl w:val="nil"/>
                  </w:tcBorders>
                  <w:noWrap w:val="0"/>
                  <w:vAlign w:val="center"/>
                </w:tcPr>
                <w:p w14:paraId="21EA1278">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21" w:type="pct"/>
                  <w:tcBorders>
                    <w:tl2br w:val="nil"/>
                    <w:tr2bl w:val="nil"/>
                  </w:tcBorders>
                  <w:noWrap w:val="0"/>
                  <w:vAlign w:val="center"/>
                </w:tcPr>
                <w:p w14:paraId="78E81438">
                  <w:pPr>
                    <w:widowControl/>
                    <w:spacing w:line="240" w:lineRule="auto"/>
                    <w:ind w:firstLine="0" w:firstLineChars="0"/>
                    <w:jc w:val="center"/>
                    <w:rPr>
                      <w:rFonts w:hint="default" w:ascii="Times New Roman" w:hAnsi="Times New Roman"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bidi="ar-SA"/>
                    </w:rPr>
                    <w:t>颗粒物</w:t>
                  </w:r>
                </w:p>
              </w:tc>
              <w:tc>
                <w:tcPr>
                  <w:tcW w:w="292" w:type="pct"/>
                  <w:vMerge w:val="continue"/>
                  <w:tcBorders>
                    <w:tl2br w:val="nil"/>
                    <w:tr2bl w:val="nil"/>
                  </w:tcBorders>
                  <w:noWrap w:val="0"/>
                  <w:vAlign w:val="center"/>
                </w:tcPr>
                <w:p w14:paraId="0D04A4E8">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7" w:type="pct"/>
                  <w:vMerge w:val="continue"/>
                  <w:tcBorders>
                    <w:tl2br w:val="nil"/>
                    <w:tr2bl w:val="nil"/>
                  </w:tcBorders>
                  <w:noWrap w:val="0"/>
                  <w:vAlign w:val="center"/>
                </w:tcPr>
                <w:p w14:paraId="763BBBE0">
                  <w:pPr>
                    <w:adjustRightInd w:val="0"/>
                    <w:snapToGrid w:val="0"/>
                    <w:jc w:val="center"/>
                    <w:rPr>
                      <w:rFonts w:hint="eastAsia" w:eastAsia="宋体"/>
                      <w:color w:val="auto"/>
                      <w:kern w:val="2"/>
                      <w:sz w:val="21"/>
                      <w:szCs w:val="21"/>
                      <w:lang w:val="en-US" w:eastAsia="zh-CN" w:bidi="ar-SA"/>
                    </w:rPr>
                  </w:pPr>
                </w:p>
              </w:tc>
              <w:tc>
                <w:tcPr>
                  <w:tcW w:w="343" w:type="pct"/>
                  <w:tcBorders>
                    <w:tl2br w:val="nil"/>
                    <w:tr2bl w:val="nil"/>
                  </w:tcBorders>
                  <w:shd w:val="clear" w:color="auto" w:fill="auto"/>
                  <w:noWrap w:val="0"/>
                  <w:vAlign w:val="center"/>
                </w:tcPr>
                <w:p w14:paraId="33453A26">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0.00</w:t>
                  </w:r>
                  <w:r>
                    <w:rPr>
                      <w:rFonts w:hint="eastAsia" w:cs="Times New Roman"/>
                      <w:color w:val="auto"/>
                      <w:szCs w:val="21"/>
                      <w:lang w:val="en-US" w:eastAsia="zh-CN"/>
                    </w:rPr>
                    <w:t>9</w:t>
                  </w:r>
                </w:p>
              </w:tc>
              <w:tc>
                <w:tcPr>
                  <w:tcW w:w="409" w:type="pct"/>
                  <w:tcBorders>
                    <w:tl2br w:val="nil"/>
                    <w:tr2bl w:val="nil"/>
                  </w:tcBorders>
                  <w:shd w:val="clear" w:color="auto" w:fill="auto"/>
                  <w:noWrap w:val="0"/>
                  <w:vAlign w:val="center"/>
                </w:tcPr>
                <w:p w14:paraId="7F6C52E2">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167" w:type="pct"/>
                  <w:vMerge w:val="restart"/>
                  <w:tcBorders>
                    <w:tl2br w:val="nil"/>
                    <w:tr2bl w:val="nil"/>
                  </w:tcBorders>
                  <w:noWrap w:val="0"/>
                  <w:vAlign w:val="center"/>
                </w:tcPr>
                <w:p w14:paraId="2B6AF1A5">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无组织</w:t>
                  </w:r>
                </w:p>
              </w:tc>
              <w:tc>
                <w:tcPr>
                  <w:tcW w:w="344" w:type="pct"/>
                  <w:vMerge w:val="restart"/>
                  <w:tcBorders>
                    <w:tl2br w:val="nil"/>
                    <w:tr2bl w:val="nil"/>
                  </w:tcBorders>
                  <w:noWrap w:val="0"/>
                  <w:vAlign w:val="center"/>
                </w:tcPr>
                <w:p w14:paraId="4BC8AEF1">
                  <w:pPr>
                    <w:widowControl/>
                    <w:spacing w:line="240" w:lineRule="auto"/>
                    <w:ind w:firstLine="0" w:firstLineChars="0"/>
                    <w:jc w:val="center"/>
                    <w:rPr>
                      <w:rFonts w:hint="eastAsia" w:eastAsia="宋体"/>
                      <w:bCs/>
                      <w:color w:val="auto"/>
                      <w:spacing w:val="-10"/>
                      <w:szCs w:val="21"/>
                      <w:lang w:val="en-US" w:eastAsia="zh-CN"/>
                    </w:rPr>
                  </w:pPr>
                  <w:r>
                    <w:rPr>
                      <w:rFonts w:hint="eastAsia"/>
                      <w:bCs/>
                      <w:color w:val="auto"/>
                      <w:spacing w:val="-10"/>
                      <w:szCs w:val="21"/>
                      <w:lang w:val="en-US" w:eastAsia="zh-CN"/>
                    </w:rPr>
                    <w:t>/</w:t>
                  </w:r>
                </w:p>
              </w:tc>
              <w:tc>
                <w:tcPr>
                  <w:tcW w:w="353" w:type="pct"/>
                  <w:tcBorders>
                    <w:tl2br w:val="nil"/>
                    <w:tr2bl w:val="nil"/>
                  </w:tcBorders>
                  <w:shd w:val="clear" w:color="auto" w:fill="auto"/>
                  <w:noWrap w:val="0"/>
                  <w:vAlign w:val="center"/>
                </w:tcPr>
                <w:p w14:paraId="1557A44A">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0.00</w:t>
                  </w:r>
                  <w:r>
                    <w:rPr>
                      <w:rFonts w:hint="eastAsia" w:cs="Times New Roman"/>
                      <w:color w:val="auto"/>
                      <w:szCs w:val="21"/>
                      <w:lang w:val="en-US" w:eastAsia="zh-CN"/>
                    </w:rPr>
                    <w:t>9</w:t>
                  </w:r>
                </w:p>
              </w:tc>
              <w:tc>
                <w:tcPr>
                  <w:tcW w:w="408" w:type="pct"/>
                  <w:tcBorders>
                    <w:tl2br w:val="nil"/>
                    <w:tr2bl w:val="nil"/>
                  </w:tcBorders>
                  <w:shd w:val="clear" w:color="auto" w:fill="auto"/>
                  <w:noWrap w:val="0"/>
                  <w:vAlign w:val="center"/>
                </w:tcPr>
                <w:p w14:paraId="0269A5BE">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487" w:type="pct"/>
                  <w:tcBorders>
                    <w:tl2br w:val="nil"/>
                    <w:tr2bl w:val="nil"/>
                  </w:tcBorders>
                  <w:shd w:val="clear" w:color="auto" w:fill="auto"/>
                  <w:noWrap w:val="0"/>
                  <w:vAlign w:val="center"/>
                </w:tcPr>
                <w:p w14:paraId="42D8D59E">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274" w:type="pct"/>
                  <w:tcBorders>
                    <w:tl2br w:val="nil"/>
                    <w:tr2bl w:val="nil"/>
                  </w:tcBorders>
                  <w:noWrap w:val="0"/>
                  <w:vAlign w:val="center"/>
                </w:tcPr>
                <w:p w14:paraId="057B893A">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291" w:type="pct"/>
                  <w:tcBorders>
                    <w:tl2br w:val="nil"/>
                    <w:tr2bl w:val="nil"/>
                  </w:tcBorders>
                  <w:noWrap w:val="0"/>
                  <w:vAlign w:val="center"/>
                </w:tcPr>
                <w:p w14:paraId="3E61B3A9">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277" w:type="pct"/>
                  <w:tcBorders>
                    <w:tl2br w:val="nil"/>
                    <w:tr2bl w:val="nil"/>
                  </w:tcBorders>
                  <w:noWrap w:val="0"/>
                  <w:vAlign w:val="center"/>
                </w:tcPr>
                <w:p w14:paraId="7921EACD">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w:t>
                  </w:r>
                </w:p>
              </w:tc>
              <w:tc>
                <w:tcPr>
                  <w:tcW w:w="392" w:type="pct"/>
                  <w:tcBorders>
                    <w:tl2br w:val="nil"/>
                    <w:tr2bl w:val="nil"/>
                  </w:tcBorders>
                  <w:noWrap w:val="0"/>
                  <w:vAlign w:val="center"/>
                </w:tcPr>
                <w:p w14:paraId="11DE7AE7">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1.0</w:t>
                  </w:r>
                </w:p>
              </w:tc>
            </w:tr>
            <w:tr w14:paraId="3A5093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39" w:type="pct"/>
                  <w:vMerge w:val="continue"/>
                  <w:tcBorders>
                    <w:tl2br w:val="nil"/>
                    <w:tr2bl w:val="nil"/>
                  </w:tcBorders>
                  <w:noWrap w:val="0"/>
                  <w:vAlign w:val="center"/>
                </w:tcPr>
                <w:p w14:paraId="1F34A615">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21" w:type="pct"/>
                  <w:tcBorders>
                    <w:tl2br w:val="nil"/>
                    <w:tr2bl w:val="nil"/>
                  </w:tcBorders>
                  <w:noWrap w:val="0"/>
                  <w:vAlign w:val="center"/>
                </w:tcPr>
                <w:p w14:paraId="0326E74E">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非甲烷总烃</w:t>
                  </w:r>
                </w:p>
              </w:tc>
              <w:tc>
                <w:tcPr>
                  <w:tcW w:w="292" w:type="pct"/>
                  <w:vMerge w:val="continue"/>
                  <w:tcBorders>
                    <w:tl2br w:val="nil"/>
                    <w:tr2bl w:val="nil"/>
                  </w:tcBorders>
                  <w:noWrap w:val="0"/>
                  <w:vAlign w:val="center"/>
                </w:tcPr>
                <w:p w14:paraId="61A6BC3C">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7" w:type="pct"/>
                  <w:vMerge w:val="continue"/>
                  <w:tcBorders>
                    <w:tl2br w:val="nil"/>
                    <w:tr2bl w:val="nil"/>
                  </w:tcBorders>
                  <w:noWrap w:val="0"/>
                  <w:vAlign w:val="center"/>
                </w:tcPr>
                <w:p w14:paraId="0EAA0A2C">
                  <w:pPr>
                    <w:adjustRightInd w:val="0"/>
                    <w:snapToGrid w:val="0"/>
                    <w:jc w:val="center"/>
                    <w:rPr>
                      <w:rFonts w:hint="eastAsia"/>
                      <w:color w:val="auto"/>
                      <w:szCs w:val="21"/>
                      <w:lang w:val="en-US" w:eastAsia="zh-CN"/>
                    </w:rPr>
                  </w:pPr>
                </w:p>
              </w:tc>
              <w:tc>
                <w:tcPr>
                  <w:tcW w:w="343" w:type="pct"/>
                  <w:tcBorders>
                    <w:tl2br w:val="nil"/>
                    <w:tr2bl w:val="nil"/>
                  </w:tcBorders>
                  <w:shd w:val="clear" w:color="auto" w:fill="auto"/>
                  <w:noWrap w:val="0"/>
                  <w:vAlign w:val="center"/>
                </w:tcPr>
                <w:p w14:paraId="70707D59">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0.021</w:t>
                  </w:r>
                </w:p>
              </w:tc>
              <w:tc>
                <w:tcPr>
                  <w:tcW w:w="409" w:type="pct"/>
                  <w:tcBorders>
                    <w:tl2br w:val="nil"/>
                    <w:tr2bl w:val="nil"/>
                  </w:tcBorders>
                  <w:shd w:val="clear" w:color="auto" w:fill="auto"/>
                  <w:noWrap w:val="0"/>
                  <w:vAlign w:val="center"/>
                </w:tcPr>
                <w:p w14:paraId="69EE5FC0">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167" w:type="pct"/>
                  <w:vMerge w:val="continue"/>
                  <w:tcBorders>
                    <w:tl2br w:val="nil"/>
                    <w:tr2bl w:val="nil"/>
                  </w:tcBorders>
                  <w:noWrap w:val="0"/>
                  <w:vAlign w:val="center"/>
                </w:tcPr>
                <w:p w14:paraId="07FB0AB2">
                  <w:pPr>
                    <w:widowControl/>
                    <w:spacing w:line="240" w:lineRule="auto"/>
                    <w:ind w:firstLine="0" w:firstLineChars="0"/>
                    <w:jc w:val="center"/>
                    <w:rPr>
                      <w:rFonts w:hint="eastAsia" w:ascii="Times New Roman" w:hAnsi="Times New Roman" w:cs="Times New Roman"/>
                      <w:color w:val="auto"/>
                      <w:kern w:val="0"/>
                      <w:sz w:val="21"/>
                      <w:szCs w:val="21"/>
                      <w:highlight w:val="none"/>
                      <w:lang w:val="en-US" w:eastAsia="zh-CN"/>
                    </w:rPr>
                  </w:pPr>
                </w:p>
              </w:tc>
              <w:tc>
                <w:tcPr>
                  <w:tcW w:w="344" w:type="pct"/>
                  <w:vMerge w:val="continue"/>
                  <w:tcBorders>
                    <w:tl2br w:val="nil"/>
                    <w:tr2bl w:val="nil"/>
                  </w:tcBorders>
                  <w:noWrap w:val="0"/>
                  <w:vAlign w:val="center"/>
                </w:tcPr>
                <w:p w14:paraId="28DA6B51">
                  <w:pPr>
                    <w:widowControl/>
                    <w:spacing w:line="240" w:lineRule="auto"/>
                    <w:ind w:firstLine="0" w:firstLineChars="0"/>
                    <w:jc w:val="center"/>
                    <w:rPr>
                      <w:rFonts w:hint="eastAsia"/>
                      <w:bCs/>
                      <w:color w:val="auto"/>
                      <w:spacing w:val="-10"/>
                      <w:szCs w:val="21"/>
                    </w:rPr>
                  </w:pPr>
                </w:p>
              </w:tc>
              <w:tc>
                <w:tcPr>
                  <w:tcW w:w="353" w:type="pct"/>
                  <w:tcBorders>
                    <w:tl2br w:val="nil"/>
                    <w:tr2bl w:val="nil"/>
                  </w:tcBorders>
                  <w:shd w:val="clear" w:color="auto" w:fill="auto"/>
                  <w:noWrap w:val="0"/>
                  <w:vAlign w:val="center"/>
                </w:tcPr>
                <w:p w14:paraId="6F27DFBE">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0.021</w:t>
                  </w:r>
                </w:p>
              </w:tc>
              <w:tc>
                <w:tcPr>
                  <w:tcW w:w="408" w:type="pct"/>
                  <w:tcBorders>
                    <w:tl2br w:val="nil"/>
                    <w:tr2bl w:val="nil"/>
                  </w:tcBorders>
                  <w:shd w:val="clear" w:color="auto" w:fill="auto"/>
                  <w:noWrap w:val="0"/>
                  <w:vAlign w:val="center"/>
                </w:tcPr>
                <w:p w14:paraId="3E229046">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487" w:type="pct"/>
                  <w:tcBorders>
                    <w:tl2br w:val="nil"/>
                    <w:tr2bl w:val="nil"/>
                  </w:tcBorders>
                  <w:shd w:val="clear" w:color="auto" w:fill="auto"/>
                  <w:noWrap w:val="0"/>
                  <w:vAlign w:val="center"/>
                </w:tcPr>
                <w:p w14:paraId="546A0E69">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274" w:type="pct"/>
                  <w:tcBorders>
                    <w:tl2br w:val="nil"/>
                    <w:tr2bl w:val="nil"/>
                  </w:tcBorders>
                  <w:noWrap w:val="0"/>
                  <w:vAlign w:val="center"/>
                </w:tcPr>
                <w:p w14:paraId="615A7627">
                  <w:pPr>
                    <w:widowControl/>
                    <w:spacing w:line="240" w:lineRule="auto"/>
                    <w:ind w:firstLine="0" w:firstLineChars="0"/>
                    <w:jc w:val="center"/>
                    <w:rPr>
                      <w:rFonts w:hint="default" w:ascii="Times New Roman" w:hAnsi="Times New Roman"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291" w:type="pct"/>
                  <w:tcBorders>
                    <w:tl2br w:val="nil"/>
                    <w:tr2bl w:val="nil"/>
                  </w:tcBorders>
                  <w:noWrap w:val="0"/>
                  <w:vAlign w:val="center"/>
                </w:tcPr>
                <w:p w14:paraId="5D4E75DB">
                  <w:pPr>
                    <w:widowControl/>
                    <w:spacing w:line="240" w:lineRule="auto"/>
                    <w:ind w:firstLine="0" w:firstLineChars="0"/>
                    <w:jc w:val="center"/>
                    <w:rPr>
                      <w:rFonts w:hint="eastAsia" w:ascii="Times New Roman" w:hAnsi="Times New Roman"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277" w:type="pct"/>
                  <w:tcBorders>
                    <w:tl2br w:val="nil"/>
                    <w:tr2bl w:val="nil"/>
                  </w:tcBorders>
                  <w:noWrap w:val="0"/>
                  <w:vAlign w:val="center"/>
                </w:tcPr>
                <w:p w14:paraId="3DFA33F5">
                  <w:pPr>
                    <w:widowControl/>
                    <w:spacing w:line="240" w:lineRule="auto"/>
                    <w:ind w:firstLine="0" w:firstLineChars="0"/>
                    <w:jc w:val="center"/>
                    <w:rPr>
                      <w:rFonts w:hint="default" w:ascii="Times New Roman" w:hAnsi="Times New Roman"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w:t>
                  </w:r>
                </w:p>
              </w:tc>
              <w:tc>
                <w:tcPr>
                  <w:tcW w:w="392" w:type="pct"/>
                  <w:tcBorders>
                    <w:tl2br w:val="nil"/>
                    <w:tr2bl w:val="nil"/>
                  </w:tcBorders>
                  <w:noWrap w:val="0"/>
                  <w:vAlign w:val="center"/>
                </w:tcPr>
                <w:p w14:paraId="280709BD">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3.0</w:t>
                  </w:r>
                </w:p>
              </w:tc>
            </w:tr>
            <w:tr w14:paraId="74B94E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 w:type="pct"/>
                  <w:vMerge w:val="continue"/>
                  <w:tcBorders>
                    <w:tl2br w:val="nil"/>
                    <w:tr2bl w:val="nil"/>
                  </w:tcBorders>
                  <w:noWrap w:val="0"/>
                  <w:vAlign w:val="center"/>
                </w:tcPr>
                <w:p w14:paraId="6907E3A9">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21" w:type="pct"/>
                  <w:tcBorders>
                    <w:tl2br w:val="nil"/>
                    <w:tr2bl w:val="nil"/>
                  </w:tcBorders>
                  <w:noWrap w:val="0"/>
                  <w:vAlign w:val="center"/>
                </w:tcPr>
                <w:p w14:paraId="390C3281">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甲苯</w:t>
                  </w:r>
                </w:p>
              </w:tc>
              <w:tc>
                <w:tcPr>
                  <w:tcW w:w="292" w:type="pct"/>
                  <w:vMerge w:val="continue"/>
                  <w:tcBorders>
                    <w:tl2br w:val="nil"/>
                    <w:tr2bl w:val="nil"/>
                  </w:tcBorders>
                  <w:noWrap w:val="0"/>
                  <w:vAlign w:val="center"/>
                </w:tcPr>
                <w:p w14:paraId="63576CF3">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7" w:type="pct"/>
                  <w:vMerge w:val="continue"/>
                  <w:tcBorders>
                    <w:tl2br w:val="nil"/>
                    <w:tr2bl w:val="nil"/>
                  </w:tcBorders>
                  <w:noWrap w:val="0"/>
                  <w:vAlign w:val="center"/>
                </w:tcPr>
                <w:p w14:paraId="3E78346C">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43" w:type="pct"/>
                  <w:tcBorders>
                    <w:tl2br w:val="nil"/>
                    <w:tr2bl w:val="nil"/>
                  </w:tcBorders>
                  <w:shd w:val="clear" w:color="auto" w:fill="auto"/>
                  <w:noWrap w:val="0"/>
                  <w:vAlign w:val="center"/>
                </w:tcPr>
                <w:p w14:paraId="0593B7BB">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0.00</w:t>
                  </w:r>
                  <w:r>
                    <w:rPr>
                      <w:rFonts w:hint="eastAsia" w:cs="Times New Roman"/>
                      <w:color w:val="auto"/>
                      <w:szCs w:val="21"/>
                      <w:lang w:val="en-US" w:eastAsia="zh-CN"/>
                    </w:rPr>
                    <w:t>2</w:t>
                  </w:r>
                </w:p>
              </w:tc>
              <w:tc>
                <w:tcPr>
                  <w:tcW w:w="409" w:type="pct"/>
                  <w:tcBorders>
                    <w:tl2br w:val="nil"/>
                    <w:tr2bl w:val="nil"/>
                  </w:tcBorders>
                  <w:shd w:val="clear" w:color="auto" w:fill="auto"/>
                  <w:noWrap w:val="0"/>
                  <w:vAlign w:val="center"/>
                </w:tcPr>
                <w:p w14:paraId="389BD96C">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167" w:type="pct"/>
                  <w:vMerge w:val="continue"/>
                  <w:tcBorders>
                    <w:tl2br w:val="nil"/>
                    <w:tr2bl w:val="nil"/>
                  </w:tcBorders>
                  <w:noWrap w:val="0"/>
                  <w:vAlign w:val="center"/>
                </w:tcPr>
                <w:p w14:paraId="73EA1A65">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344" w:type="pct"/>
                  <w:vMerge w:val="continue"/>
                  <w:tcBorders>
                    <w:tl2br w:val="nil"/>
                    <w:tr2bl w:val="nil"/>
                  </w:tcBorders>
                  <w:noWrap w:val="0"/>
                  <w:vAlign w:val="center"/>
                </w:tcPr>
                <w:p w14:paraId="148F7C9D">
                  <w:pPr>
                    <w:widowControl/>
                    <w:spacing w:line="240" w:lineRule="auto"/>
                    <w:ind w:firstLine="0" w:firstLineChars="0"/>
                    <w:jc w:val="center"/>
                    <w:rPr>
                      <w:rFonts w:hint="eastAsia"/>
                      <w:bCs/>
                      <w:color w:val="auto"/>
                      <w:spacing w:val="-10"/>
                      <w:szCs w:val="21"/>
                    </w:rPr>
                  </w:pPr>
                </w:p>
              </w:tc>
              <w:tc>
                <w:tcPr>
                  <w:tcW w:w="353" w:type="pct"/>
                  <w:tcBorders>
                    <w:tl2br w:val="nil"/>
                    <w:tr2bl w:val="nil"/>
                  </w:tcBorders>
                  <w:shd w:val="clear" w:color="auto" w:fill="auto"/>
                  <w:noWrap w:val="0"/>
                  <w:vAlign w:val="center"/>
                </w:tcPr>
                <w:p w14:paraId="6CB16C06">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0.00</w:t>
                  </w:r>
                  <w:r>
                    <w:rPr>
                      <w:rFonts w:hint="eastAsia" w:cs="Times New Roman"/>
                      <w:color w:val="auto"/>
                      <w:szCs w:val="21"/>
                      <w:lang w:val="en-US" w:eastAsia="zh-CN"/>
                    </w:rPr>
                    <w:t>2</w:t>
                  </w:r>
                </w:p>
              </w:tc>
              <w:tc>
                <w:tcPr>
                  <w:tcW w:w="408" w:type="pct"/>
                  <w:tcBorders>
                    <w:tl2br w:val="nil"/>
                    <w:tr2bl w:val="nil"/>
                  </w:tcBorders>
                  <w:shd w:val="clear" w:color="auto" w:fill="auto"/>
                  <w:noWrap w:val="0"/>
                  <w:vAlign w:val="center"/>
                </w:tcPr>
                <w:p w14:paraId="22FBE9F0">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487" w:type="pct"/>
                  <w:tcBorders>
                    <w:tl2br w:val="nil"/>
                    <w:tr2bl w:val="nil"/>
                  </w:tcBorders>
                  <w:shd w:val="clear" w:color="auto" w:fill="auto"/>
                  <w:noWrap w:val="0"/>
                  <w:vAlign w:val="center"/>
                </w:tcPr>
                <w:p w14:paraId="1C01C433">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274" w:type="pct"/>
                  <w:tcBorders>
                    <w:tl2br w:val="nil"/>
                    <w:tr2bl w:val="nil"/>
                  </w:tcBorders>
                  <w:noWrap w:val="0"/>
                  <w:vAlign w:val="center"/>
                </w:tcPr>
                <w:p w14:paraId="3B3BA973">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291" w:type="pct"/>
                  <w:tcBorders>
                    <w:tl2br w:val="nil"/>
                    <w:tr2bl w:val="nil"/>
                  </w:tcBorders>
                  <w:noWrap w:val="0"/>
                  <w:vAlign w:val="center"/>
                </w:tcPr>
                <w:p w14:paraId="49B25C68">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277" w:type="pct"/>
                  <w:tcBorders>
                    <w:tl2br w:val="nil"/>
                    <w:tr2bl w:val="nil"/>
                  </w:tcBorders>
                  <w:noWrap w:val="0"/>
                  <w:vAlign w:val="center"/>
                </w:tcPr>
                <w:p w14:paraId="2DBBEB1C">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w:t>
                  </w:r>
                </w:p>
              </w:tc>
              <w:tc>
                <w:tcPr>
                  <w:tcW w:w="392" w:type="pct"/>
                  <w:tcBorders>
                    <w:tl2br w:val="nil"/>
                    <w:tr2bl w:val="nil"/>
                  </w:tcBorders>
                  <w:noWrap w:val="0"/>
                  <w:vAlign w:val="center"/>
                </w:tcPr>
                <w:p w14:paraId="7F638BD1">
                  <w:pPr>
                    <w:adjustRightInd w:val="0"/>
                    <w:snapToGrid w:val="0"/>
                    <w:jc w:val="center"/>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0.3</w:t>
                  </w:r>
                </w:p>
              </w:tc>
            </w:tr>
            <w:tr w14:paraId="28F1F5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Merge w:val="continue"/>
                  <w:tcBorders>
                    <w:tl2br w:val="nil"/>
                    <w:tr2bl w:val="nil"/>
                  </w:tcBorders>
                  <w:noWrap w:val="0"/>
                  <w:vAlign w:val="center"/>
                </w:tcPr>
                <w:p w14:paraId="4D6A5011">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21" w:type="pct"/>
                  <w:tcBorders>
                    <w:tl2br w:val="nil"/>
                    <w:tr2bl w:val="nil"/>
                  </w:tcBorders>
                  <w:noWrap w:val="0"/>
                  <w:vAlign w:val="center"/>
                </w:tcPr>
                <w:p w14:paraId="0E706319">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二甲苯</w:t>
                  </w:r>
                </w:p>
              </w:tc>
              <w:tc>
                <w:tcPr>
                  <w:tcW w:w="292" w:type="pct"/>
                  <w:vMerge w:val="continue"/>
                  <w:tcBorders>
                    <w:tl2br w:val="nil"/>
                    <w:tr2bl w:val="nil"/>
                  </w:tcBorders>
                  <w:noWrap w:val="0"/>
                  <w:vAlign w:val="center"/>
                </w:tcPr>
                <w:p w14:paraId="0ABF9020">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7" w:type="pct"/>
                  <w:vMerge w:val="continue"/>
                  <w:tcBorders>
                    <w:tl2br w:val="nil"/>
                    <w:tr2bl w:val="nil"/>
                  </w:tcBorders>
                  <w:noWrap w:val="0"/>
                  <w:vAlign w:val="center"/>
                </w:tcPr>
                <w:p w14:paraId="48FD123F">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43" w:type="pct"/>
                  <w:tcBorders>
                    <w:tl2br w:val="nil"/>
                    <w:tr2bl w:val="nil"/>
                  </w:tcBorders>
                  <w:shd w:val="clear" w:color="auto" w:fill="auto"/>
                  <w:noWrap w:val="0"/>
                  <w:vAlign w:val="center"/>
                </w:tcPr>
                <w:p w14:paraId="47D9EFEE">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w:t>
                  </w:r>
                </w:p>
              </w:tc>
              <w:tc>
                <w:tcPr>
                  <w:tcW w:w="409" w:type="pct"/>
                  <w:tcBorders>
                    <w:tl2br w:val="nil"/>
                    <w:tr2bl w:val="nil"/>
                  </w:tcBorders>
                  <w:shd w:val="clear" w:color="auto" w:fill="auto"/>
                  <w:noWrap w:val="0"/>
                  <w:vAlign w:val="center"/>
                </w:tcPr>
                <w:p w14:paraId="3D2D7F42">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167" w:type="pct"/>
                  <w:vMerge w:val="continue"/>
                  <w:tcBorders>
                    <w:tl2br w:val="nil"/>
                    <w:tr2bl w:val="nil"/>
                  </w:tcBorders>
                  <w:noWrap w:val="0"/>
                  <w:vAlign w:val="center"/>
                </w:tcPr>
                <w:p w14:paraId="359A8632">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344" w:type="pct"/>
                  <w:vMerge w:val="continue"/>
                  <w:tcBorders>
                    <w:tl2br w:val="nil"/>
                    <w:tr2bl w:val="nil"/>
                  </w:tcBorders>
                  <w:noWrap w:val="0"/>
                  <w:vAlign w:val="center"/>
                </w:tcPr>
                <w:p w14:paraId="6370111F">
                  <w:pPr>
                    <w:widowControl/>
                    <w:spacing w:line="240" w:lineRule="auto"/>
                    <w:ind w:firstLine="0" w:firstLineChars="0"/>
                    <w:jc w:val="center"/>
                    <w:rPr>
                      <w:rFonts w:hint="eastAsia"/>
                      <w:bCs/>
                      <w:color w:val="auto"/>
                      <w:spacing w:val="-10"/>
                      <w:szCs w:val="21"/>
                    </w:rPr>
                  </w:pPr>
                </w:p>
              </w:tc>
              <w:tc>
                <w:tcPr>
                  <w:tcW w:w="353" w:type="pct"/>
                  <w:tcBorders>
                    <w:tl2br w:val="nil"/>
                    <w:tr2bl w:val="nil"/>
                  </w:tcBorders>
                  <w:shd w:val="clear" w:color="auto" w:fill="auto"/>
                  <w:noWrap w:val="0"/>
                  <w:vAlign w:val="center"/>
                </w:tcPr>
                <w:p w14:paraId="18121BB9">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w:t>
                  </w:r>
                </w:p>
              </w:tc>
              <w:tc>
                <w:tcPr>
                  <w:tcW w:w="408" w:type="pct"/>
                  <w:tcBorders>
                    <w:tl2br w:val="nil"/>
                    <w:tr2bl w:val="nil"/>
                  </w:tcBorders>
                  <w:shd w:val="clear" w:color="auto" w:fill="auto"/>
                  <w:noWrap w:val="0"/>
                  <w:vAlign w:val="center"/>
                </w:tcPr>
                <w:p w14:paraId="7AE62D91">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487" w:type="pct"/>
                  <w:tcBorders>
                    <w:tl2br w:val="nil"/>
                    <w:tr2bl w:val="nil"/>
                  </w:tcBorders>
                  <w:shd w:val="clear" w:color="auto" w:fill="auto"/>
                  <w:noWrap w:val="0"/>
                  <w:vAlign w:val="center"/>
                </w:tcPr>
                <w:p w14:paraId="19A766B4">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274" w:type="pct"/>
                  <w:tcBorders>
                    <w:tl2br w:val="nil"/>
                    <w:tr2bl w:val="nil"/>
                  </w:tcBorders>
                  <w:noWrap w:val="0"/>
                  <w:vAlign w:val="center"/>
                </w:tcPr>
                <w:p w14:paraId="0A3365B4">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291" w:type="pct"/>
                  <w:tcBorders>
                    <w:tl2br w:val="nil"/>
                    <w:tr2bl w:val="nil"/>
                  </w:tcBorders>
                  <w:noWrap w:val="0"/>
                  <w:vAlign w:val="center"/>
                </w:tcPr>
                <w:p w14:paraId="02B8258A">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277" w:type="pct"/>
                  <w:tcBorders>
                    <w:tl2br w:val="nil"/>
                    <w:tr2bl w:val="nil"/>
                  </w:tcBorders>
                  <w:noWrap w:val="0"/>
                  <w:vAlign w:val="center"/>
                </w:tcPr>
                <w:p w14:paraId="6510E3B9">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w:t>
                  </w:r>
                </w:p>
              </w:tc>
              <w:tc>
                <w:tcPr>
                  <w:tcW w:w="392" w:type="pct"/>
                  <w:tcBorders>
                    <w:tl2br w:val="nil"/>
                    <w:tr2bl w:val="nil"/>
                  </w:tcBorders>
                  <w:noWrap w:val="0"/>
                  <w:vAlign w:val="center"/>
                </w:tcPr>
                <w:p w14:paraId="32FD0401">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0.3</w:t>
                  </w:r>
                </w:p>
              </w:tc>
            </w:tr>
            <w:tr w14:paraId="495551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Merge w:val="restart"/>
                  <w:tcBorders>
                    <w:tl2br w:val="nil"/>
                    <w:tr2bl w:val="nil"/>
                  </w:tcBorders>
                  <w:noWrap w:val="0"/>
                  <w:vAlign w:val="center"/>
                </w:tcPr>
                <w:p w14:paraId="7CB56C9B">
                  <w:pPr>
                    <w:widowControl/>
                    <w:spacing w:line="240" w:lineRule="auto"/>
                    <w:ind w:firstLine="0" w:firstLineChars="0"/>
                    <w:jc w:val="center"/>
                    <w:rPr>
                      <w:rFonts w:hint="eastAsia" w:cs="Times New Roman"/>
                      <w:color w:val="auto"/>
                      <w:kern w:val="0"/>
                      <w:sz w:val="21"/>
                      <w:szCs w:val="21"/>
                      <w:highlight w:val="none"/>
                      <w:lang w:val="en-US" w:eastAsia="zh-CN"/>
                    </w:rPr>
                  </w:pPr>
                  <w:r>
                    <w:rPr>
                      <w:rFonts w:hint="eastAsia"/>
                      <w:color w:val="auto"/>
                      <w:szCs w:val="21"/>
                      <w:lang w:val="en-US" w:eastAsia="zh-CN"/>
                    </w:rPr>
                    <w:t>喷烤漆废气</w:t>
                  </w:r>
                  <w:r>
                    <w:rPr>
                      <w:rFonts w:hint="default" w:ascii="Times New Roman" w:hAnsi="Times New Roman" w:cs="Times New Roman"/>
                      <w:color w:val="auto"/>
                      <w:kern w:val="0"/>
                      <w:sz w:val="21"/>
                      <w:szCs w:val="21"/>
                      <w:highlight w:val="none"/>
                    </w:rPr>
                    <w:t>（DA00</w:t>
                  </w:r>
                  <w:r>
                    <w:rPr>
                      <w:rFonts w:hint="eastAsia" w:ascii="Times New Roman" w:hAnsi="Times New Roman" w:cs="Times New Roman"/>
                      <w:color w:val="auto"/>
                      <w:kern w:val="0"/>
                      <w:sz w:val="21"/>
                      <w:szCs w:val="21"/>
                      <w:highlight w:val="none"/>
                      <w:lang w:val="en-US" w:eastAsia="zh-CN"/>
                    </w:rPr>
                    <w:t>2</w:t>
                  </w:r>
                  <w:r>
                    <w:rPr>
                      <w:rFonts w:hint="default" w:ascii="Times New Roman" w:hAnsi="Times New Roman" w:cs="Times New Roman"/>
                      <w:color w:val="auto"/>
                      <w:kern w:val="0"/>
                      <w:sz w:val="21"/>
                      <w:szCs w:val="21"/>
                      <w:highlight w:val="none"/>
                    </w:rPr>
                    <w:t>）</w:t>
                  </w:r>
                </w:p>
              </w:tc>
              <w:tc>
                <w:tcPr>
                  <w:tcW w:w="321" w:type="pct"/>
                  <w:tcBorders>
                    <w:tl2br w:val="nil"/>
                    <w:tr2bl w:val="nil"/>
                  </w:tcBorders>
                  <w:noWrap w:val="0"/>
                  <w:vAlign w:val="center"/>
                </w:tcPr>
                <w:p w14:paraId="6DE7FFA7">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颗粒物</w:t>
                  </w:r>
                </w:p>
              </w:tc>
              <w:tc>
                <w:tcPr>
                  <w:tcW w:w="292" w:type="pct"/>
                  <w:vMerge w:val="restart"/>
                  <w:tcBorders>
                    <w:tl2br w:val="nil"/>
                    <w:tr2bl w:val="nil"/>
                  </w:tcBorders>
                  <w:noWrap w:val="0"/>
                  <w:vAlign w:val="center"/>
                </w:tcPr>
                <w:p w14:paraId="10C2C078">
                  <w:pPr>
                    <w:widowControl/>
                    <w:spacing w:line="240" w:lineRule="auto"/>
                    <w:ind w:firstLine="0" w:firstLineChars="0"/>
                    <w:jc w:val="center"/>
                    <w:rPr>
                      <w:rFonts w:hint="default" w:ascii="Times New Roman" w:hAnsi="Times New Roman"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rPr>
                    <w:t>30</w:t>
                  </w:r>
                  <w:r>
                    <w:rPr>
                      <w:rFonts w:hint="default" w:ascii="Times New Roman" w:hAnsi="Times New Roman" w:cs="Times New Roman"/>
                      <w:color w:val="auto"/>
                      <w:kern w:val="0"/>
                      <w:sz w:val="21"/>
                      <w:szCs w:val="21"/>
                      <w:highlight w:val="none"/>
                    </w:rPr>
                    <w:t>000</w:t>
                  </w:r>
                </w:p>
              </w:tc>
              <w:tc>
                <w:tcPr>
                  <w:tcW w:w="297" w:type="pct"/>
                  <w:vMerge w:val="restart"/>
                  <w:tcBorders>
                    <w:tl2br w:val="nil"/>
                    <w:tr2bl w:val="nil"/>
                  </w:tcBorders>
                  <w:noWrap w:val="0"/>
                  <w:vAlign w:val="center"/>
                </w:tcPr>
                <w:p w14:paraId="4FC92B0E">
                  <w:pPr>
                    <w:widowControl/>
                    <w:spacing w:line="240" w:lineRule="auto"/>
                    <w:ind w:firstLine="0" w:firstLineChars="0"/>
                    <w:jc w:val="center"/>
                    <w:rPr>
                      <w:rFonts w:hint="eastAsia" w:cs="Times New Roman"/>
                      <w:color w:val="auto"/>
                      <w:kern w:val="0"/>
                      <w:sz w:val="21"/>
                      <w:szCs w:val="21"/>
                      <w:highlight w:val="none"/>
                      <w:lang w:val="en-US" w:eastAsia="zh-CN"/>
                    </w:rPr>
                  </w:pPr>
                  <w:r>
                    <w:rPr>
                      <w:rFonts w:hint="eastAsia"/>
                      <w:color w:val="auto"/>
                      <w:kern w:val="2"/>
                      <w:sz w:val="21"/>
                      <w:szCs w:val="21"/>
                      <w:lang w:val="en-US" w:eastAsia="zh-CN" w:bidi="ar-SA"/>
                    </w:rPr>
                    <w:t>870</w:t>
                  </w:r>
                </w:p>
              </w:tc>
              <w:tc>
                <w:tcPr>
                  <w:tcW w:w="343" w:type="pct"/>
                  <w:tcBorders>
                    <w:tl2br w:val="nil"/>
                    <w:tr2bl w:val="nil"/>
                  </w:tcBorders>
                  <w:shd w:val="clear" w:color="auto" w:fill="auto"/>
                  <w:noWrap w:val="0"/>
                  <w:vAlign w:val="center"/>
                </w:tcPr>
                <w:p w14:paraId="4AE4C428">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0.1</w:t>
                  </w:r>
                  <w:r>
                    <w:rPr>
                      <w:rFonts w:hint="eastAsia" w:cs="Times New Roman"/>
                      <w:color w:val="auto"/>
                      <w:szCs w:val="21"/>
                      <w:lang w:val="en-US" w:eastAsia="zh-CN"/>
                    </w:rPr>
                    <w:t>67</w:t>
                  </w:r>
                </w:p>
              </w:tc>
              <w:tc>
                <w:tcPr>
                  <w:tcW w:w="409" w:type="pct"/>
                  <w:tcBorders>
                    <w:tl2br w:val="nil"/>
                    <w:tr2bl w:val="nil"/>
                  </w:tcBorders>
                  <w:shd w:val="clear" w:color="auto" w:fill="auto"/>
                  <w:noWrap w:val="0"/>
                  <w:vAlign w:val="center"/>
                </w:tcPr>
                <w:p w14:paraId="59B6D09E">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0.19</w:t>
                  </w:r>
                </w:p>
              </w:tc>
              <w:tc>
                <w:tcPr>
                  <w:tcW w:w="167" w:type="pct"/>
                  <w:vMerge w:val="restart"/>
                  <w:tcBorders>
                    <w:tl2br w:val="nil"/>
                    <w:tr2bl w:val="nil"/>
                  </w:tcBorders>
                  <w:noWrap w:val="0"/>
                  <w:vAlign w:val="center"/>
                </w:tcPr>
                <w:p w14:paraId="102A1140">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有组织</w:t>
                  </w:r>
                </w:p>
              </w:tc>
              <w:tc>
                <w:tcPr>
                  <w:tcW w:w="344" w:type="pct"/>
                  <w:vMerge w:val="restart"/>
                  <w:tcBorders>
                    <w:tl2br w:val="nil"/>
                    <w:tr2bl w:val="nil"/>
                  </w:tcBorders>
                  <w:noWrap w:val="0"/>
                  <w:vAlign w:val="center"/>
                </w:tcPr>
                <w:p w14:paraId="21C7C322">
                  <w:pPr>
                    <w:widowControl/>
                    <w:spacing w:line="240" w:lineRule="auto"/>
                    <w:ind w:firstLine="0" w:firstLineChars="0"/>
                    <w:jc w:val="center"/>
                    <w:rPr>
                      <w:rFonts w:hint="eastAsia"/>
                      <w:bCs/>
                      <w:color w:val="auto"/>
                      <w:spacing w:val="-10"/>
                      <w:szCs w:val="21"/>
                    </w:rPr>
                  </w:pPr>
                  <w:r>
                    <w:rPr>
                      <w:rFonts w:hint="eastAsia"/>
                      <w:bCs/>
                      <w:color w:val="auto"/>
                      <w:spacing w:val="-10"/>
                      <w:szCs w:val="21"/>
                      <w:lang w:val="en-US" w:eastAsia="zh-CN"/>
                    </w:rPr>
                    <w:t>过滤棉+二</w:t>
                  </w:r>
                  <w:r>
                    <w:rPr>
                      <w:rFonts w:hint="eastAsia"/>
                      <w:bCs/>
                      <w:color w:val="auto"/>
                      <w:spacing w:val="-10"/>
                      <w:szCs w:val="21"/>
                    </w:rPr>
                    <w:t>级活性炭吸附</w:t>
                  </w:r>
                </w:p>
              </w:tc>
              <w:tc>
                <w:tcPr>
                  <w:tcW w:w="353" w:type="pct"/>
                  <w:tcBorders>
                    <w:tl2br w:val="nil"/>
                    <w:tr2bl w:val="nil"/>
                  </w:tcBorders>
                  <w:shd w:val="clear" w:color="auto" w:fill="auto"/>
                  <w:noWrap w:val="0"/>
                  <w:vAlign w:val="center"/>
                </w:tcPr>
                <w:p w14:paraId="1EB34AEF">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0.0</w:t>
                  </w:r>
                  <w:r>
                    <w:rPr>
                      <w:rFonts w:hint="eastAsia" w:cs="Times New Roman"/>
                      <w:color w:val="auto"/>
                      <w:szCs w:val="21"/>
                      <w:lang w:val="en-US" w:eastAsia="zh-CN"/>
                    </w:rPr>
                    <w:t>25</w:t>
                  </w:r>
                </w:p>
              </w:tc>
              <w:tc>
                <w:tcPr>
                  <w:tcW w:w="408" w:type="pct"/>
                  <w:tcBorders>
                    <w:tl2br w:val="nil"/>
                    <w:tr2bl w:val="nil"/>
                  </w:tcBorders>
                  <w:shd w:val="clear" w:color="auto" w:fill="auto"/>
                  <w:noWrap w:val="0"/>
                  <w:vAlign w:val="center"/>
                </w:tcPr>
                <w:p w14:paraId="6AE004F5">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0.03</w:t>
                  </w:r>
                </w:p>
              </w:tc>
              <w:tc>
                <w:tcPr>
                  <w:tcW w:w="487" w:type="pct"/>
                  <w:tcBorders>
                    <w:tl2br w:val="nil"/>
                    <w:tr2bl w:val="nil"/>
                  </w:tcBorders>
                  <w:shd w:val="clear" w:color="auto" w:fill="auto"/>
                  <w:noWrap w:val="0"/>
                  <w:vAlign w:val="center"/>
                </w:tcPr>
                <w:p w14:paraId="482AAB3E">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1</w:t>
                  </w:r>
                </w:p>
              </w:tc>
              <w:tc>
                <w:tcPr>
                  <w:tcW w:w="274" w:type="pct"/>
                  <w:vMerge w:val="restart"/>
                  <w:tcBorders>
                    <w:tl2br w:val="nil"/>
                    <w:tr2bl w:val="nil"/>
                  </w:tcBorders>
                  <w:noWrap w:val="0"/>
                  <w:vAlign w:val="center"/>
                </w:tcPr>
                <w:p w14:paraId="2BFDC31F">
                  <w:pPr>
                    <w:widowControl/>
                    <w:spacing w:line="240" w:lineRule="auto"/>
                    <w:ind w:firstLine="0" w:firstLineChars="0"/>
                    <w:jc w:val="center"/>
                    <w:rPr>
                      <w:rFonts w:hint="default" w:ascii="Times New Roman" w:hAnsi="Times New Roman" w:cs="Times New Roman"/>
                      <w:color w:val="auto"/>
                      <w:kern w:val="2"/>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95</w:t>
                  </w:r>
                  <w:r>
                    <w:rPr>
                      <w:rFonts w:hint="default" w:ascii="Times New Roman" w:hAnsi="Times New Roman" w:cs="Times New Roman"/>
                      <w:color w:val="auto"/>
                      <w:kern w:val="0"/>
                      <w:sz w:val="21"/>
                      <w:szCs w:val="21"/>
                      <w:highlight w:val="none"/>
                    </w:rPr>
                    <w:t>%</w:t>
                  </w:r>
                </w:p>
              </w:tc>
              <w:tc>
                <w:tcPr>
                  <w:tcW w:w="291" w:type="pct"/>
                  <w:vMerge w:val="restart"/>
                  <w:tcBorders>
                    <w:tl2br w:val="nil"/>
                    <w:tr2bl w:val="nil"/>
                  </w:tcBorders>
                  <w:noWrap w:val="0"/>
                  <w:vAlign w:val="center"/>
                </w:tcPr>
                <w:p w14:paraId="15262A52">
                  <w:pPr>
                    <w:widowControl/>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0"/>
                      <w:sz w:val="21"/>
                      <w:szCs w:val="21"/>
                      <w:highlight w:val="none"/>
                      <w:lang w:val="en-US" w:eastAsia="zh-CN"/>
                    </w:rPr>
                    <w:t>36</w:t>
                  </w:r>
                  <w:r>
                    <w:rPr>
                      <w:rFonts w:hint="default" w:ascii="Times New Roman" w:hAnsi="Times New Roman" w:cs="Times New Roman"/>
                      <w:color w:val="auto"/>
                      <w:kern w:val="0"/>
                      <w:sz w:val="21"/>
                      <w:szCs w:val="21"/>
                      <w:highlight w:val="none"/>
                      <w:lang w:eastAsia="zh-CN"/>
                    </w:rPr>
                    <w:t>%</w:t>
                  </w:r>
                </w:p>
              </w:tc>
              <w:tc>
                <w:tcPr>
                  <w:tcW w:w="277" w:type="pct"/>
                  <w:tcBorders>
                    <w:tl2br w:val="nil"/>
                    <w:tr2bl w:val="nil"/>
                  </w:tcBorders>
                  <w:noWrap w:val="0"/>
                  <w:vAlign w:val="center"/>
                </w:tcPr>
                <w:p w14:paraId="4298DD18">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rPr>
                    <w:t>3.98</w:t>
                  </w:r>
                </w:p>
              </w:tc>
              <w:tc>
                <w:tcPr>
                  <w:tcW w:w="392" w:type="pct"/>
                  <w:tcBorders>
                    <w:tl2br w:val="nil"/>
                    <w:tr2bl w:val="nil"/>
                  </w:tcBorders>
                  <w:noWrap w:val="0"/>
                  <w:vAlign w:val="center"/>
                </w:tcPr>
                <w:p w14:paraId="5373AF4F">
                  <w:pPr>
                    <w:adjustRightInd w:val="0"/>
                    <w:snapToGrid w:val="0"/>
                    <w:jc w:val="center"/>
                    <w:rPr>
                      <w:rFonts w:hint="default" w:eastAsia="宋体"/>
                      <w:color w:val="auto"/>
                      <w:kern w:val="2"/>
                      <w:sz w:val="21"/>
                      <w:szCs w:val="21"/>
                      <w:lang w:val="en-US" w:eastAsia="zh-CN" w:bidi="ar-SA"/>
                    </w:rPr>
                  </w:pPr>
                  <w:r>
                    <w:rPr>
                      <w:rFonts w:hint="eastAsia" w:eastAsia="宋体"/>
                      <w:color w:val="auto"/>
                      <w:kern w:val="2"/>
                      <w:sz w:val="21"/>
                      <w:szCs w:val="21"/>
                      <w:lang w:val="en-US" w:eastAsia="zh-CN" w:bidi="ar-SA"/>
                    </w:rPr>
                    <w:t>120</w:t>
                  </w:r>
                </w:p>
              </w:tc>
            </w:tr>
            <w:tr w14:paraId="265314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Merge w:val="continue"/>
                  <w:tcBorders>
                    <w:tl2br w:val="nil"/>
                    <w:tr2bl w:val="nil"/>
                  </w:tcBorders>
                  <w:noWrap w:val="0"/>
                  <w:vAlign w:val="center"/>
                </w:tcPr>
                <w:p w14:paraId="645CB161">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21" w:type="pct"/>
                  <w:tcBorders>
                    <w:tl2br w:val="nil"/>
                    <w:tr2bl w:val="nil"/>
                  </w:tcBorders>
                  <w:noWrap w:val="0"/>
                  <w:vAlign w:val="center"/>
                </w:tcPr>
                <w:p w14:paraId="7F87B2BC">
                  <w:pPr>
                    <w:widowControl/>
                    <w:spacing w:line="240" w:lineRule="auto"/>
                    <w:ind w:firstLine="0" w:firstLineChars="0"/>
                    <w:jc w:val="center"/>
                    <w:rPr>
                      <w:rFonts w:hint="eastAsia" w:ascii="Times New Roman" w:hAnsi="Times New Roman"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rPr>
                    <w:t>非甲烷总烃</w:t>
                  </w:r>
                </w:p>
              </w:tc>
              <w:tc>
                <w:tcPr>
                  <w:tcW w:w="292" w:type="pct"/>
                  <w:vMerge w:val="continue"/>
                  <w:tcBorders>
                    <w:tl2br w:val="nil"/>
                    <w:tr2bl w:val="nil"/>
                  </w:tcBorders>
                  <w:noWrap w:val="0"/>
                  <w:vAlign w:val="center"/>
                </w:tcPr>
                <w:p w14:paraId="2C70D47A">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7" w:type="pct"/>
                  <w:vMerge w:val="continue"/>
                  <w:tcBorders>
                    <w:tl2br w:val="nil"/>
                    <w:tr2bl w:val="nil"/>
                  </w:tcBorders>
                  <w:noWrap w:val="0"/>
                  <w:vAlign w:val="center"/>
                </w:tcPr>
                <w:p w14:paraId="674B72DA">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43" w:type="pct"/>
                  <w:tcBorders>
                    <w:tl2br w:val="nil"/>
                    <w:tr2bl w:val="nil"/>
                  </w:tcBorders>
                  <w:shd w:val="clear" w:color="auto" w:fill="auto"/>
                  <w:noWrap w:val="0"/>
                  <w:vAlign w:val="center"/>
                </w:tcPr>
                <w:p w14:paraId="3A6F700E">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0.3</w:t>
                  </w:r>
                  <w:r>
                    <w:rPr>
                      <w:rFonts w:hint="eastAsia" w:cs="Times New Roman"/>
                      <w:color w:val="auto"/>
                      <w:szCs w:val="21"/>
                      <w:lang w:val="en-US" w:eastAsia="zh-CN"/>
                    </w:rPr>
                    <w:t>91</w:t>
                  </w:r>
                </w:p>
              </w:tc>
              <w:tc>
                <w:tcPr>
                  <w:tcW w:w="409" w:type="pct"/>
                  <w:tcBorders>
                    <w:tl2br w:val="nil"/>
                    <w:tr2bl w:val="nil"/>
                  </w:tcBorders>
                  <w:shd w:val="clear" w:color="auto" w:fill="auto"/>
                  <w:noWrap w:val="0"/>
                  <w:vAlign w:val="center"/>
                </w:tcPr>
                <w:p w14:paraId="442AE759">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0.45</w:t>
                  </w:r>
                </w:p>
              </w:tc>
              <w:tc>
                <w:tcPr>
                  <w:tcW w:w="167" w:type="pct"/>
                  <w:vMerge w:val="continue"/>
                  <w:tcBorders>
                    <w:tl2br w:val="nil"/>
                    <w:tr2bl w:val="nil"/>
                  </w:tcBorders>
                  <w:noWrap w:val="0"/>
                  <w:vAlign w:val="center"/>
                </w:tcPr>
                <w:p w14:paraId="02C878F8">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344" w:type="pct"/>
                  <w:vMerge w:val="continue"/>
                  <w:tcBorders>
                    <w:tl2br w:val="nil"/>
                    <w:tr2bl w:val="nil"/>
                  </w:tcBorders>
                  <w:noWrap w:val="0"/>
                  <w:vAlign w:val="center"/>
                </w:tcPr>
                <w:p w14:paraId="7BAE2027">
                  <w:pPr>
                    <w:widowControl/>
                    <w:spacing w:line="240" w:lineRule="auto"/>
                    <w:ind w:firstLine="0" w:firstLineChars="0"/>
                    <w:jc w:val="center"/>
                    <w:rPr>
                      <w:rFonts w:hint="eastAsia"/>
                      <w:bCs/>
                      <w:color w:val="auto"/>
                      <w:spacing w:val="-10"/>
                      <w:szCs w:val="21"/>
                    </w:rPr>
                  </w:pPr>
                </w:p>
              </w:tc>
              <w:tc>
                <w:tcPr>
                  <w:tcW w:w="353" w:type="pct"/>
                  <w:tcBorders>
                    <w:tl2br w:val="nil"/>
                    <w:tr2bl w:val="nil"/>
                  </w:tcBorders>
                  <w:shd w:val="clear" w:color="auto" w:fill="auto"/>
                  <w:noWrap w:val="0"/>
                  <w:vAlign w:val="center"/>
                </w:tcPr>
                <w:p w14:paraId="5BD3A042">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0.</w:t>
                  </w:r>
                  <w:r>
                    <w:rPr>
                      <w:rFonts w:hint="eastAsia" w:cs="Times New Roman"/>
                      <w:color w:val="auto"/>
                      <w:szCs w:val="21"/>
                      <w:lang w:val="en-US" w:eastAsia="zh-CN"/>
                    </w:rPr>
                    <w:t>25</w:t>
                  </w:r>
                </w:p>
              </w:tc>
              <w:tc>
                <w:tcPr>
                  <w:tcW w:w="408" w:type="pct"/>
                  <w:tcBorders>
                    <w:tl2br w:val="nil"/>
                    <w:tr2bl w:val="nil"/>
                  </w:tcBorders>
                  <w:shd w:val="clear" w:color="auto" w:fill="auto"/>
                  <w:noWrap w:val="0"/>
                  <w:vAlign w:val="center"/>
                </w:tcPr>
                <w:p w14:paraId="6C0CAAA8">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29</w:t>
                  </w:r>
                </w:p>
              </w:tc>
              <w:tc>
                <w:tcPr>
                  <w:tcW w:w="487" w:type="pct"/>
                  <w:tcBorders>
                    <w:tl2br w:val="nil"/>
                    <w:tr2bl w:val="nil"/>
                  </w:tcBorders>
                  <w:shd w:val="clear" w:color="auto" w:fill="auto"/>
                  <w:noWrap w:val="0"/>
                  <w:vAlign w:val="center"/>
                </w:tcPr>
                <w:p w14:paraId="3BEA90E8">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9.7</w:t>
                  </w:r>
                </w:p>
              </w:tc>
              <w:tc>
                <w:tcPr>
                  <w:tcW w:w="274" w:type="pct"/>
                  <w:vMerge w:val="continue"/>
                  <w:tcBorders>
                    <w:tl2br w:val="nil"/>
                    <w:tr2bl w:val="nil"/>
                  </w:tcBorders>
                  <w:noWrap w:val="0"/>
                  <w:vAlign w:val="center"/>
                </w:tcPr>
                <w:p w14:paraId="1BCE3321">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1" w:type="pct"/>
                  <w:vMerge w:val="continue"/>
                  <w:tcBorders>
                    <w:tl2br w:val="nil"/>
                    <w:tr2bl w:val="nil"/>
                  </w:tcBorders>
                  <w:noWrap w:val="0"/>
                  <w:vAlign w:val="center"/>
                </w:tcPr>
                <w:p w14:paraId="46F52086">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277" w:type="pct"/>
                  <w:tcBorders>
                    <w:tl2br w:val="nil"/>
                    <w:tr2bl w:val="nil"/>
                  </w:tcBorders>
                  <w:noWrap w:val="0"/>
                  <w:vAlign w:val="center"/>
                </w:tcPr>
                <w:p w14:paraId="2F42923F">
                  <w:pPr>
                    <w:widowControl/>
                    <w:spacing w:line="240" w:lineRule="auto"/>
                    <w:ind w:firstLine="0" w:firstLineChars="0"/>
                    <w:jc w:val="center"/>
                    <w:rPr>
                      <w:rFonts w:hint="eastAsia" w:ascii="Times New Roman" w:hAnsi="Times New Roman"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392" w:type="pct"/>
                  <w:tcBorders>
                    <w:tl2br w:val="nil"/>
                    <w:tr2bl w:val="nil"/>
                  </w:tcBorders>
                  <w:noWrap w:val="0"/>
                  <w:vAlign w:val="center"/>
                </w:tcPr>
                <w:p w14:paraId="726C4CC3">
                  <w:pPr>
                    <w:adjustRightInd w:val="0"/>
                    <w:snapToGrid w:val="0"/>
                    <w:jc w:val="center"/>
                    <w:rPr>
                      <w:rFonts w:hint="default"/>
                      <w:color w:val="auto"/>
                      <w:kern w:val="2"/>
                      <w:sz w:val="21"/>
                      <w:szCs w:val="21"/>
                      <w:lang w:val="en-US" w:eastAsia="zh-CN" w:bidi="ar-SA"/>
                    </w:rPr>
                  </w:pPr>
                  <w:r>
                    <w:rPr>
                      <w:rFonts w:hint="eastAsia"/>
                      <w:color w:val="auto"/>
                      <w:szCs w:val="21"/>
                      <w:lang w:val="en-US" w:eastAsia="zh-CN"/>
                    </w:rPr>
                    <w:t>50</w:t>
                  </w:r>
                </w:p>
              </w:tc>
            </w:tr>
            <w:tr w14:paraId="31F880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9" w:type="pct"/>
                  <w:vMerge w:val="continue"/>
                  <w:tcBorders>
                    <w:tl2br w:val="nil"/>
                    <w:tr2bl w:val="nil"/>
                  </w:tcBorders>
                  <w:noWrap w:val="0"/>
                  <w:vAlign w:val="center"/>
                </w:tcPr>
                <w:p w14:paraId="55FAA117">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21" w:type="pct"/>
                  <w:tcBorders>
                    <w:tl2br w:val="nil"/>
                    <w:tr2bl w:val="nil"/>
                  </w:tcBorders>
                  <w:noWrap w:val="0"/>
                  <w:vAlign w:val="center"/>
                </w:tcPr>
                <w:p w14:paraId="7CF349A5">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甲苯</w:t>
                  </w:r>
                </w:p>
              </w:tc>
              <w:tc>
                <w:tcPr>
                  <w:tcW w:w="292" w:type="pct"/>
                  <w:vMerge w:val="continue"/>
                  <w:tcBorders>
                    <w:tl2br w:val="nil"/>
                    <w:tr2bl w:val="nil"/>
                  </w:tcBorders>
                  <w:noWrap w:val="0"/>
                  <w:vAlign w:val="center"/>
                </w:tcPr>
                <w:p w14:paraId="57D37E25">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7" w:type="pct"/>
                  <w:vMerge w:val="continue"/>
                  <w:tcBorders>
                    <w:tl2br w:val="nil"/>
                    <w:tr2bl w:val="nil"/>
                  </w:tcBorders>
                  <w:noWrap w:val="0"/>
                  <w:vAlign w:val="center"/>
                </w:tcPr>
                <w:p w14:paraId="2CCC26FA">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43" w:type="pct"/>
                  <w:tcBorders>
                    <w:tl2br w:val="nil"/>
                    <w:tr2bl w:val="nil"/>
                  </w:tcBorders>
                  <w:shd w:val="clear" w:color="auto" w:fill="auto"/>
                  <w:noWrap w:val="0"/>
                  <w:vAlign w:val="center"/>
                </w:tcPr>
                <w:p w14:paraId="0D1063F1">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0.0</w:t>
                  </w:r>
                  <w:r>
                    <w:rPr>
                      <w:rFonts w:hint="eastAsia" w:cs="Times New Roman"/>
                      <w:color w:val="auto"/>
                      <w:szCs w:val="21"/>
                      <w:lang w:val="en-US" w:eastAsia="zh-CN"/>
                    </w:rPr>
                    <w:t>29</w:t>
                  </w:r>
                </w:p>
              </w:tc>
              <w:tc>
                <w:tcPr>
                  <w:tcW w:w="409" w:type="pct"/>
                  <w:tcBorders>
                    <w:tl2br w:val="nil"/>
                    <w:tr2bl w:val="nil"/>
                  </w:tcBorders>
                  <w:shd w:val="clear" w:color="auto" w:fill="auto"/>
                  <w:noWrap w:val="0"/>
                  <w:vAlign w:val="center"/>
                </w:tcPr>
                <w:p w14:paraId="27898C9D">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0.03</w:t>
                  </w:r>
                </w:p>
              </w:tc>
              <w:tc>
                <w:tcPr>
                  <w:tcW w:w="167" w:type="pct"/>
                  <w:vMerge w:val="continue"/>
                  <w:tcBorders>
                    <w:tl2br w:val="nil"/>
                    <w:tr2bl w:val="nil"/>
                  </w:tcBorders>
                  <w:noWrap w:val="0"/>
                  <w:vAlign w:val="center"/>
                </w:tcPr>
                <w:p w14:paraId="69A32FC5">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344" w:type="pct"/>
                  <w:vMerge w:val="continue"/>
                  <w:tcBorders>
                    <w:tl2br w:val="nil"/>
                    <w:tr2bl w:val="nil"/>
                  </w:tcBorders>
                  <w:noWrap w:val="0"/>
                  <w:vAlign w:val="center"/>
                </w:tcPr>
                <w:p w14:paraId="41DA7886">
                  <w:pPr>
                    <w:widowControl/>
                    <w:spacing w:line="240" w:lineRule="auto"/>
                    <w:ind w:firstLine="0" w:firstLineChars="0"/>
                    <w:jc w:val="center"/>
                    <w:rPr>
                      <w:rFonts w:hint="eastAsia"/>
                      <w:bCs/>
                      <w:color w:val="auto"/>
                      <w:spacing w:val="-10"/>
                      <w:szCs w:val="21"/>
                    </w:rPr>
                  </w:pPr>
                </w:p>
              </w:tc>
              <w:tc>
                <w:tcPr>
                  <w:tcW w:w="353" w:type="pct"/>
                  <w:tcBorders>
                    <w:tl2br w:val="nil"/>
                    <w:tr2bl w:val="nil"/>
                  </w:tcBorders>
                  <w:shd w:val="clear" w:color="auto" w:fill="auto"/>
                  <w:noWrap w:val="0"/>
                  <w:vAlign w:val="center"/>
                </w:tcPr>
                <w:p w14:paraId="18D45E7C">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0.0</w:t>
                  </w:r>
                  <w:r>
                    <w:rPr>
                      <w:rFonts w:hint="eastAsia" w:cs="Times New Roman"/>
                      <w:color w:val="auto"/>
                      <w:szCs w:val="21"/>
                      <w:lang w:val="en-US" w:eastAsia="zh-CN"/>
                    </w:rPr>
                    <w:t>19</w:t>
                  </w:r>
                </w:p>
              </w:tc>
              <w:tc>
                <w:tcPr>
                  <w:tcW w:w="408" w:type="pct"/>
                  <w:tcBorders>
                    <w:tl2br w:val="nil"/>
                    <w:tr2bl w:val="nil"/>
                  </w:tcBorders>
                  <w:shd w:val="clear" w:color="auto" w:fill="auto"/>
                  <w:noWrap w:val="0"/>
                  <w:vAlign w:val="center"/>
                </w:tcPr>
                <w:p w14:paraId="68D569D1">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2</w:t>
                  </w:r>
                </w:p>
              </w:tc>
              <w:tc>
                <w:tcPr>
                  <w:tcW w:w="487" w:type="pct"/>
                  <w:tcBorders>
                    <w:tl2br w:val="nil"/>
                    <w:tr2bl w:val="nil"/>
                  </w:tcBorders>
                  <w:shd w:val="clear" w:color="auto" w:fill="auto"/>
                  <w:noWrap w:val="0"/>
                  <w:vAlign w:val="center"/>
                </w:tcPr>
                <w:p w14:paraId="12755523">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7</w:t>
                  </w:r>
                </w:p>
              </w:tc>
              <w:tc>
                <w:tcPr>
                  <w:tcW w:w="274" w:type="pct"/>
                  <w:vMerge w:val="continue"/>
                  <w:tcBorders>
                    <w:tl2br w:val="nil"/>
                    <w:tr2bl w:val="nil"/>
                  </w:tcBorders>
                  <w:noWrap w:val="0"/>
                  <w:vAlign w:val="center"/>
                </w:tcPr>
                <w:p w14:paraId="15101254">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1" w:type="pct"/>
                  <w:vMerge w:val="continue"/>
                  <w:tcBorders>
                    <w:tl2br w:val="nil"/>
                    <w:tr2bl w:val="nil"/>
                  </w:tcBorders>
                  <w:noWrap w:val="0"/>
                  <w:vAlign w:val="center"/>
                </w:tcPr>
                <w:p w14:paraId="7F83F176">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277" w:type="pct"/>
                  <w:tcBorders>
                    <w:tl2br w:val="nil"/>
                    <w:tr2bl w:val="nil"/>
                  </w:tcBorders>
                  <w:noWrap w:val="0"/>
                  <w:vAlign w:val="center"/>
                </w:tcPr>
                <w:p w14:paraId="3BDA516F">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392" w:type="pct"/>
                  <w:tcBorders>
                    <w:tl2br w:val="nil"/>
                    <w:tr2bl w:val="nil"/>
                  </w:tcBorders>
                  <w:noWrap w:val="0"/>
                  <w:vAlign w:val="center"/>
                </w:tcPr>
                <w:p w14:paraId="0A9C4F65">
                  <w:pPr>
                    <w:adjustRightInd w:val="0"/>
                    <w:snapToGrid w:val="0"/>
                    <w:jc w:val="center"/>
                    <w:rPr>
                      <w:rFonts w:hint="default" w:eastAsia="宋体"/>
                      <w:color w:val="auto"/>
                      <w:kern w:val="2"/>
                      <w:sz w:val="21"/>
                      <w:szCs w:val="21"/>
                      <w:lang w:val="en-US" w:eastAsia="zh-CN" w:bidi="ar-SA"/>
                    </w:rPr>
                  </w:pPr>
                  <w:r>
                    <w:rPr>
                      <w:rFonts w:hint="eastAsia"/>
                      <w:color w:val="auto"/>
                      <w:szCs w:val="21"/>
                      <w:lang w:val="en-US" w:eastAsia="zh-CN"/>
                    </w:rPr>
                    <w:t>5</w:t>
                  </w:r>
                </w:p>
              </w:tc>
            </w:tr>
            <w:tr w14:paraId="57CBBD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 w:type="pct"/>
                  <w:vMerge w:val="continue"/>
                  <w:tcBorders>
                    <w:tl2br w:val="nil"/>
                    <w:tr2bl w:val="nil"/>
                  </w:tcBorders>
                  <w:noWrap w:val="0"/>
                  <w:vAlign w:val="center"/>
                </w:tcPr>
                <w:p w14:paraId="267DCDCF">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21" w:type="pct"/>
                  <w:tcBorders>
                    <w:tl2br w:val="nil"/>
                    <w:tr2bl w:val="nil"/>
                  </w:tcBorders>
                  <w:noWrap w:val="0"/>
                  <w:vAlign w:val="center"/>
                </w:tcPr>
                <w:p w14:paraId="157442B4">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二甲苯</w:t>
                  </w:r>
                </w:p>
              </w:tc>
              <w:tc>
                <w:tcPr>
                  <w:tcW w:w="292" w:type="pct"/>
                  <w:vMerge w:val="continue"/>
                  <w:tcBorders>
                    <w:tl2br w:val="nil"/>
                    <w:tr2bl w:val="nil"/>
                  </w:tcBorders>
                  <w:noWrap w:val="0"/>
                  <w:vAlign w:val="center"/>
                </w:tcPr>
                <w:p w14:paraId="4DC29E00">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7" w:type="pct"/>
                  <w:vMerge w:val="continue"/>
                  <w:tcBorders>
                    <w:tl2br w:val="nil"/>
                    <w:tr2bl w:val="nil"/>
                  </w:tcBorders>
                  <w:noWrap w:val="0"/>
                  <w:vAlign w:val="center"/>
                </w:tcPr>
                <w:p w14:paraId="2629A2A4">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43" w:type="pct"/>
                  <w:tcBorders>
                    <w:tl2br w:val="nil"/>
                    <w:tr2bl w:val="nil"/>
                  </w:tcBorders>
                  <w:shd w:val="clear" w:color="auto" w:fill="auto"/>
                  <w:noWrap w:val="0"/>
                  <w:vAlign w:val="center"/>
                </w:tcPr>
                <w:p w14:paraId="0087B099">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1</w:t>
                  </w:r>
                </w:p>
              </w:tc>
              <w:tc>
                <w:tcPr>
                  <w:tcW w:w="409" w:type="pct"/>
                  <w:tcBorders>
                    <w:tl2br w:val="nil"/>
                    <w:tr2bl w:val="nil"/>
                  </w:tcBorders>
                  <w:shd w:val="clear" w:color="auto" w:fill="auto"/>
                  <w:noWrap w:val="0"/>
                  <w:vAlign w:val="center"/>
                </w:tcPr>
                <w:p w14:paraId="5BBFD902">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0.01</w:t>
                  </w:r>
                </w:p>
              </w:tc>
              <w:tc>
                <w:tcPr>
                  <w:tcW w:w="167" w:type="pct"/>
                  <w:vMerge w:val="continue"/>
                  <w:tcBorders>
                    <w:tl2br w:val="nil"/>
                    <w:tr2bl w:val="nil"/>
                  </w:tcBorders>
                  <w:noWrap w:val="0"/>
                  <w:vAlign w:val="center"/>
                </w:tcPr>
                <w:p w14:paraId="7B11B5C8">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344" w:type="pct"/>
                  <w:vMerge w:val="continue"/>
                  <w:tcBorders>
                    <w:tl2br w:val="nil"/>
                    <w:tr2bl w:val="nil"/>
                  </w:tcBorders>
                  <w:noWrap w:val="0"/>
                  <w:vAlign w:val="center"/>
                </w:tcPr>
                <w:p w14:paraId="23241162">
                  <w:pPr>
                    <w:widowControl/>
                    <w:spacing w:line="240" w:lineRule="auto"/>
                    <w:ind w:firstLine="0" w:firstLineChars="0"/>
                    <w:jc w:val="center"/>
                    <w:rPr>
                      <w:rFonts w:hint="eastAsia"/>
                      <w:bCs/>
                      <w:color w:val="auto"/>
                      <w:spacing w:val="-10"/>
                      <w:szCs w:val="21"/>
                    </w:rPr>
                  </w:pPr>
                </w:p>
              </w:tc>
              <w:tc>
                <w:tcPr>
                  <w:tcW w:w="353" w:type="pct"/>
                  <w:tcBorders>
                    <w:tl2br w:val="nil"/>
                    <w:tr2bl w:val="nil"/>
                  </w:tcBorders>
                  <w:shd w:val="clear" w:color="auto" w:fill="auto"/>
                  <w:noWrap w:val="0"/>
                  <w:vAlign w:val="center"/>
                </w:tcPr>
                <w:p w14:paraId="7903E2EC">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0.0</w:t>
                  </w:r>
                  <w:r>
                    <w:rPr>
                      <w:rFonts w:hint="eastAsia" w:ascii="Times New Roman" w:hAnsi="Times New Roman" w:cs="Times New Roman"/>
                      <w:color w:val="auto"/>
                      <w:szCs w:val="21"/>
                      <w:lang w:val="en-US" w:eastAsia="zh-CN"/>
                    </w:rPr>
                    <w:t>0</w:t>
                  </w:r>
                  <w:r>
                    <w:rPr>
                      <w:rFonts w:hint="eastAsia" w:cs="Times New Roman"/>
                      <w:color w:val="auto"/>
                      <w:szCs w:val="21"/>
                      <w:lang w:val="en-US" w:eastAsia="zh-CN"/>
                    </w:rPr>
                    <w:t>6</w:t>
                  </w:r>
                </w:p>
              </w:tc>
              <w:tc>
                <w:tcPr>
                  <w:tcW w:w="408" w:type="pct"/>
                  <w:tcBorders>
                    <w:tl2br w:val="nil"/>
                    <w:tr2bl w:val="nil"/>
                  </w:tcBorders>
                  <w:shd w:val="clear" w:color="auto" w:fill="auto"/>
                  <w:noWrap w:val="0"/>
                  <w:vAlign w:val="center"/>
                </w:tcPr>
                <w:p w14:paraId="08C96C13">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0.00</w:t>
                  </w:r>
                  <w:r>
                    <w:rPr>
                      <w:rFonts w:hint="eastAsia" w:cs="Times New Roman"/>
                      <w:color w:val="auto"/>
                      <w:szCs w:val="21"/>
                      <w:lang w:val="en-US" w:eastAsia="zh-CN"/>
                    </w:rPr>
                    <w:t>7</w:t>
                  </w:r>
                </w:p>
              </w:tc>
              <w:tc>
                <w:tcPr>
                  <w:tcW w:w="487" w:type="pct"/>
                  <w:tcBorders>
                    <w:tl2br w:val="nil"/>
                    <w:tr2bl w:val="nil"/>
                  </w:tcBorders>
                  <w:shd w:val="clear" w:color="auto" w:fill="auto"/>
                  <w:noWrap w:val="0"/>
                  <w:vAlign w:val="center"/>
                </w:tcPr>
                <w:p w14:paraId="635904C5">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2</w:t>
                  </w:r>
                </w:p>
              </w:tc>
              <w:tc>
                <w:tcPr>
                  <w:tcW w:w="274" w:type="pct"/>
                  <w:vMerge w:val="continue"/>
                  <w:tcBorders>
                    <w:tl2br w:val="nil"/>
                    <w:tr2bl w:val="nil"/>
                  </w:tcBorders>
                  <w:noWrap w:val="0"/>
                  <w:vAlign w:val="center"/>
                </w:tcPr>
                <w:p w14:paraId="5F2A3504">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1" w:type="pct"/>
                  <w:vMerge w:val="continue"/>
                  <w:tcBorders>
                    <w:tl2br w:val="nil"/>
                    <w:tr2bl w:val="nil"/>
                  </w:tcBorders>
                  <w:noWrap w:val="0"/>
                  <w:vAlign w:val="center"/>
                </w:tcPr>
                <w:p w14:paraId="167AE4CA">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277" w:type="pct"/>
                  <w:tcBorders>
                    <w:tl2br w:val="nil"/>
                    <w:tr2bl w:val="nil"/>
                  </w:tcBorders>
                  <w:noWrap w:val="0"/>
                  <w:vAlign w:val="center"/>
                </w:tcPr>
                <w:p w14:paraId="1B6A0F2B">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392" w:type="pct"/>
                  <w:tcBorders>
                    <w:tl2br w:val="nil"/>
                    <w:tr2bl w:val="nil"/>
                  </w:tcBorders>
                  <w:noWrap w:val="0"/>
                  <w:vAlign w:val="center"/>
                </w:tcPr>
                <w:p w14:paraId="3A54ED88">
                  <w:pPr>
                    <w:adjustRightInd w:val="0"/>
                    <w:snapToGrid w:val="0"/>
                    <w:jc w:val="center"/>
                    <w:rPr>
                      <w:rFonts w:hint="default" w:eastAsia="宋体"/>
                      <w:color w:val="auto"/>
                      <w:kern w:val="2"/>
                      <w:sz w:val="21"/>
                      <w:szCs w:val="21"/>
                      <w:lang w:val="en-US" w:eastAsia="zh-CN" w:bidi="ar-SA"/>
                    </w:rPr>
                  </w:pPr>
                  <w:r>
                    <w:rPr>
                      <w:rFonts w:hint="eastAsia"/>
                      <w:color w:val="auto"/>
                      <w:szCs w:val="21"/>
                      <w:lang w:val="en-US" w:eastAsia="zh-CN"/>
                    </w:rPr>
                    <w:t>15</w:t>
                  </w:r>
                </w:p>
              </w:tc>
            </w:tr>
            <w:tr w14:paraId="65ABA8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 w:type="pct"/>
                  <w:vMerge w:val="continue"/>
                  <w:tcBorders>
                    <w:tl2br w:val="nil"/>
                    <w:tr2bl w:val="nil"/>
                  </w:tcBorders>
                  <w:noWrap w:val="0"/>
                  <w:vAlign w:val="center"/>
                </w:tcPr>
                <w:p w14:paraId="466182D6">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21" w:type="pct"/>
                  <w:tcBorders>
                    <w:tl2br w:val="nil"/>
                    <w:tr2bl w:val="nil"/>
                  </w:tcBorders>
                  <w:noWrap w:val="0"/>
                  <w:vAlign w:val="center"/>
                </w:tcPr>
                <w:p w14:paraId="3D881581">
                  <w:pPr>
                    <w:widowControl/>
                    <w:spacing w:line="240" w:lineRule="auto"/>
                    <w:ind w:firstLine="0" w:firstLineChars="0"/>
                    <w:jc w:val="center"/>
                    <w:rPr>
                      <w:rFonts w:hint="eastAsia" w:ascii="Times New Roman" w:hAnsi="Times New Roman"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bidi="ar-SA"/>
                    </w:rPr>
                    <w:t>颗粒物</w:t>
                  </w:r>
                </w:p>
              </w:tc>
              <w:tc>
                <w:tcPr>
                  <w:tcW w:w="292" w:type="pct"/>
                  <w:vMerge w:val="continue"/>
                  <w:tcBorders>
                    <w:tl2br w:val="nil"/>
                    <w:tr2bl w:val="nil"/>
                  </w:tcBorders>
                  <w:noWrap w:val="0"/>
                  <w:vAlign w:val="center"/>
                </w:tcPr>
                <w:p w14:paraId="1C4433FF">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7" w:type="pct"/>
                  <w:vMerge w:val="continue"/>
                  <w:tcBorders>
                    <w:tl2br w:val="nil"/>
                    <w:tr2bl w:val="nil"/>
                  </w:tcBorders>
                  <w:noWrap w:val="0"/>
                  <w:vAlign w:val="center"/>
                </w:tcPr>
                <w:p w14:paraId="50C43575">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43" w:type="pct"/>
                  <w:tcBorders>
                    <w:tl2br w:val="nil"/>
                    <w:tr2bl w:val="nil"/>
                  </w:tcBorders>
                  <w:shd w:val="clear" w:color="auto" w:fill="auto"/>
                  <w:noWrap w:val="0"/>
                  <w:vAlign w:val="center"/>
                </w:tcPr>
                <w:p w14:paraId="77864A16">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0.00</w:t>
                  </w:r>
                  <w:r>
                    <w:rPr>
                      <w:rFonts w:hint="eastAsia" w:cs="Times New Roman"/>
                      <w:color w:val="auto"/>
                      <w:szCs w:val="21"/>
                      <w:lang w:val="en-US" w:eastAsia="zh-CN"/>
                    </w:rPr>
                    <w:t>9</w:t>
                  </w:r>
                </w:p>
              </w:tc>
              <w:tc>
                <w:tcPr>
                  <w:tcW w:w="409" w:type="pct"/>
                  <w:tcBorders>
                    <w:tl2br w:val="nil"/>
                    <w:tr2bl w:val="nil"/>
                  </w:tcBorders>
                  <w:shd w:val="clear" w:color="auto" w:fill="auto"/>
                  <w:noWrap w:val="0"/>
                  <w:vAlign w:val="center"/>
                </w:tcPr>
                <w:p w14:paraId="18C19AA3">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167" w:type="pct"/>
                  <w:vMerge w:val="restart"/>
                  <w:tcBorders>
                    <w:tl2br w:val="nil"/>
                    <w:tr2bl w:val="nil"/>
                  </w:tcBorders>
                  <w:noWrap w:val="0"/>
                  <w:vAlign w:val="center"/>
                </w:tcPr>
                <w:p w14:paraId="5BB0E0C6">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无组织</w:t>
                  </w:r>
                </w:p>
              </w:tc>
              <w:tc>
                <w:tcPr>
                  <w:tcW w:w="344" w:type="pct"/>
                  <w:vMerge w:val="restart"/>
                  <w:tcBorders>
                    <w:tl2br w:val="nil"/>
                    <w:tr2bl w:val="nil"/>
                  </w:tcBorders>
                  <w:noWrap w:val="0"/>
                  <w:vAlign w:val="center"/>
                </w:tcPr>
                <w:p w14:paraId="11B14351">
                  <w:pPr>
                    <w:widowControl/>
                    <w:spacing w:line="240" w:lineRule="auto"/>
                    <w:ind w:firstLine="0" w:firstLineChars="0"/>
                    <w:jc w:val="center"/>
                    <w:rPr>
                      <w:rFonts w:hint="eastAsia" w:eastAsia="宋体"/>
                      <w:bCs/>
                      <w:color w:val="auto"/>
                      <w:spacing w:val="-10"/>
                      <w:szCs w:val="21"/>
                      <w:lang w:val="en-US" w:eastAsia="zh-CN"/>
                    </w:rPr>
                  </w:pPr>
                  <w:r>
                    <w:rPr>
                      <w:rFonts w:hint="eastAsia"/>
                      <w:bCs/>
                      <w:color w:val="auto"/>
                      <w:spacing w:val="-10"/>
                      <w:szCs w:val="21"/>
                      <w:lang w:val="en-US" w:eastAsia="zh-CN"/>
                    </w:rPr>
                    <w:t>/</w:t>
                  </w:r>
                </w:p>
              </w:tc>
              <w:tc>
                <w:tcPr>
                  <w:tcW w:w="353" w:type="pct"/>
                  <w:tcBorders>
                    <w:tl2br w:val="nil"/>
                    <w:tr2bl w:val="nil"/>
                  </w:tcBorders>
                  <w:shd w:val="clear" w:color="auto" w:fill="auto"/>
                  <w:noWrap w:val="0"/>
                  <w:vAlign w:val="center"/>
                </w:tcPr>
                <w:p w14:paraId="7D86AB94">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0.00</w:t>
                  </w:r>
                  <w:r>
                    <w:rPr>
                      <w:rFonts w:hint="eastAsia" w:cs="Times New Roman"/>
                      <w:color w:val="auto"/>
                      <w:szCs w:val="21"/>
                      <w:lang w:val="en-US" w:eastAsia="zh-CN"/>
                    </w:rPr>
                    <w:t>9</w:t>
                  </w:r>
                </w:p>
              </w:tc>
              <w:tc>
                <w:tcPr>
                  <w:tcW w:w="408" w:type="pct"/>
                  <w:tcBorders>
                    <w:tl2br w:val="nil"/>
                    <w:tr2bl w:val="nil"/>
                  </w:tcBorders>
                  <w:shd w:val="clear" w:color="auto" w:fill="auto"/>
                  <w:noWrap w:val="0"/>
                  <w:vAlign w:val="center"/>
                </w:tcPr>
                <w:p w14:paraId="6B7D4C91">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w:t>
                  </w:r>
                </w:p>
              </w:tc>
              <w:tc>
                <w:tcPr>
                  <w:tcW w:w="487" w:type="pct"/>
                  <w:tcBorders>
                    <w:tl2br w:val="nil"/>
                    <w:tr2bl w:val="nil"/>
                  </w:tcBorders>
                  <w:shd w:val="clear" w:color="auto" w:fill="auto"/>
                  <w:noWrap w:val="0"/>
                  <w:vAlign w:val="center"/>
                </w:tcPr>
                <w:p w14:paraId="6D09E72A">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274" w:type="pct"/>
                  <w:tcBorders>
                    <w:tl2br w:val="nil"/>
                    <w:tr2bl w:val="nil"/>
                  </w:tcBorders>
                  <w:noWrap w:val="0"/>
                  <w:vAlign w:val="center"/>
                </w:tcPr>
                <w:p w14:paraId="0246B6E1">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291" w:type="pct"/>
                  <w:tcBorders>
                    <w:tl2br w:val="nil"/>
                    <w:tr2bl w:val="nil"/>
                  </w:tcBorders>
                  <w:noWrap w:val="0"/>
                  <w:vAlign w:val="center"/>
                </w:tcPr>
                <w:p w14:paraId="214A2501">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277" w:type="pct"/>
                  <w:tcBorders>
                    <w:tl2br w:val="nil"/>
                    <w:tr2bl w:val="nil"/>
                  </w:tcBorders>
                  <w:noWrap w:val="0"/>
                  <w:vAlign w:val="center"/>
                </w:tcPr>
                <w:p w14:paraId="13C2B53C">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392" w:type="pct"/>
                  <w:tcBorders>
                    <w:tl2br w:val="nil"/>
                    <w:tr2bl w:val="nil"/>
                  </w:tcBorders>
                  <w:noWrap w:val="0"/>
                  <w:vAlign w:val="center"/>
                </w:tcPr>
                <w:p w14:paraId="7766E6EC">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1.0</w:t>
                  </w:r>
                </w:p>
              </w:tc>
            </w:tr>
            <w:tr w14:paraId="718EBC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39" w:type="pct"/>
                  <w:vMerge w:val="continue"/>
                  <w:tcBorders>
                    <w:tl2br w:val="nil"/>
                    <w:tr2bl w:val="nil"/>
                  </w:tcBorders>
                  <w:noWrap w:val="0"/>
                  <w:vAlign w:val="center"/>
                </w:tcPr>
                <w:p w14:paraId="14CE4D39">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21" w:type="pct"/>
                  <w:tcBorders>
                    <w:tl2br w:val="nil"/>
                    <w:tr2bl w:val="nil"/>
                  </w:tcBorders>
                  <w:noWrap w:val="0"/>
                  <w:vAlign w:val="center"/>
                </w:tcPr>
                <w:p w14:paraId="1332C3AE">
                  <w:pPr>
                    <w:widowControl/>
                    <w:spacing w:line="240" w:lineRule="auto"/>
                    <w:ind w:firstLine="0" w:firstLineChars="0"/>
                    <w:jc w:val="center"/>
                    <w:rPr>
                      <w:rFonts w:hint="eastAsia" w:ascii="Times New Roman" w:hAnsi="Times New Roman"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rPr>
                    <w:t>非甲烷总烃</w:t>
                  </w:r>
                </w:p>
              </w:tc>
              <w:tc>
                <w:tcPr>
                  <w:tcW w:w="292" w:type="pct"/>
                  <w:vMerge w:val="continue"/>
                  <w:tcBorders>
                    <w:tl2br w:val="nil"/>
                    <w:tr2bl w:val="nil"/>
                  </w:tcBorders>
                  <w:noWrap w:val="0"/>
                  <w:vAlign w:val="center"/>
                </w:tcPr>
                <w:p w14:paraId="52B831FA">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7" w:type="pct"/>
                  <w:vMerge w:val="continue"/>
                  <w:tcBorders>
                    <w:tl2br w:val="nil"/>
                    <w:tr2bl w:val="nil"/>
                  </w:tcBorders>
                  <w:noWrap w:val="0"/>
                  <w:vAlign w:val="center"/>
                </w:tcPr>
                <w:p w14:paraId="70D49725">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43" w:type="pct"/>
                  <w:tcBorders>
                    <w:tl2br w:val="nil"/>
                    <w:tr2bl w:val="nil"/>
                  </w:tcBorders>
                  <w:shd w:val="clear" w:color="auto" w:fill="auto"/>
                  <w:noWrap w:val="0"/>
                  <w:vAlign w:val="center"/>
                </w:tcPr>
                <w:p w14:paraId="2BEDA284">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0.021</w:t>
                  </w:r>
                </w:p>
              </w:tc>
              <w:tc>
                <w:tcPr>
                  <w:tcW w:w="409" w:type="pct"/>
                  <w:tcBorders>
                    <w:tl2br w:val="nil"/>
                    <w:tr2bl w:val="nil"/>
                  </w:tcBorders>
                  <w:shd w:val="clear" w:color="auto" w:fill="auto"/>
                  <w:noWrap w:val="0"/>
                  <w:vAlign w:val="center"/>
                </w:tcPr>
                <w:p w14:paraId="0BAC297A">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167" w:type="pct"/>
                  <w:vMerge w:val="continue"/>
                  <w:tcBorders>
                    <w:tl2br w:val="nil"/>
                    <w:tr2bl w:val="nil"/>
                  </w:tcBorders>
                  <w:noWrap w:val="0"/>
                  <w:vAlign w:val="center"/>
                </w:tcPr>
                <w:p w14:paraId="08AFA46C">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344" w:type="pct"/>
                  <w:vMerge w:val="continue"/>
                  <w:tcBorders>
                    <w:tl2br w:val="nil"/>
                    <w:tr2bl w:val="nil"/>
                  </w:tcBorders>
                  <w:noWrap w:val="0"/>
                  <w:vAlign w:val="center"/>
                </w:tcPr>
                <w:p w14:paraId="3575D179">
                  <w:pPr>
                    <w:widowControl/>
                    <w:spacing w:line="240" w:lineRule="auto"/>
                    <w:ind w:firstLine="0" w:firstLineChars="0"/>
                    <w:jc w:val="center"/>
                    <w:rPr>
                      <w:rFonts w:hint="eastAsia"/>
                      <w:bCs/>
                      <w:color w:val="auto"/>
                      <w:spacing w:val="-10"/>
                      <w:szCs w:val="21"/>
                    </w:rPr>
                  </w:pPr>
                </w:p>
              </w:tc>
              <w:tc>
                <w:tcPr>
                  <w:tcW w:w="353" w:type="pct"/>
                  <w:tcBorders>
                    <w:tl2br w:val="nil"/>
                    <w:tr2bl w:val="nil"/>
                  </w:tcBorders>
                  <w:shd w:val="clear" w:color="auto" w:fill="auto"/>
                  <w:noWrap w:val="0"/>
                  <w:vAlign w:val="center"/>
                </w:tcPr>
                <w:p w14:paraId="1CBAEBD6">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0.021</w:t>
                  </w:r>
                </w:p>
              </w:tc>
              <w:tc>
                <w:tcPr>
                  <w:tcW w:w="408" w:type="pct"/>
                  <w:tcBorders>
                    <w:tl2br w:val="nil"/>
                    <w:tr2bl w:val="nil"/>
                  </w:tcBorders>
                  <w:shd w:val="clear" w:color="auto" w:fill="auto"/>
                  <w:noWrap w:val="0"/>
                  <w:vAlign w:val="center"/>
                </w:tcPr>
                <w:p w14:paraId="4FB43A29">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487" w:type="pct"/>
                  <w:tcBorders>
                    <w:tl2br w:val="nil"/>
                    <w:tr2bl w:val="nil"/>
                  </w:tcBorders>
                  <w:shd w:val="clear" w:color="auto" w:fill="auto"/>
                  <w:noWrap w:val="0"/>
                  <w:vAlign w:val="center"/>
                </w:tcPr>
                <w:p w14:paraId="2DFCE686">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274" w:type="pct"/>
                  <w:tcBorders>
                    <w:tl2br w:val="nil"/>
                    <w:tr2bl w:val="nil"/>
                  </w:tcBorders>
                  <w:noWrap w:val="0"/>
                  <w:vAlign w:val="center"/>
                </w:tcPr>
                <w:p w14:paraId="648B8ACD">
                  <w:pPr>
                    <w:widowControl/>
                    <w:spacing w:line="240" w:lineRule="auto"/>
                    <w:ind w:firstLine="0" w:firstLineChars="0"/>
                    <w:jc w:val="center"/>
                    <w:rPr>
                      <w:rFonts w:hint="default" w:ascii="Times New Roman" w:hAnsi="Times New Roman"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291" w:type="pct"/>
                  <w:tcBorders>
                    <w:tl2br w:val="nil"/>
                    <w:tr2bl w:val="nil"/>
                  </w:tcBorders>
                  <w:noWrap w:val="0"/>
                  <w:vAlign w:val="center"/>
                </w:tcPr>
                <w:p w14:paraId="1BA45597">
                  <w:pPr>
                    <w:widowControl/>
                    <w:spacing w:line="240" w:lineRule="auto"/>
                    <w:ind w:firstLine="0" w:firstLineChars="0"/>
                    <w:jc w:val="center"/>
                    <w:rPr>
                      <w:rFonts w:hint="eastAsia" w:ascii="Times New Roman" w:hAnsi="Times New Roman"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277" w:type="pct"/>
                  <w:tcBorders>
                    <w:tl2br w:val="nil"/>
                    <w:tr2bl w:val="nil"/>
                  </w:tcBorders>
                  <w:noWrap w:val="0"/>
                  <w:vAlign w:val="center"/>
                </w:tcPr>
                <w:p w14:paraId="44863495">
                  <w:pPr>
                    <w:widowControl/>
                    <w:spacing w:line="240" w:lineRule="auto"/>
                    <w:ind w:firstLine="0" w:firstLineChars="0"/>
                    <w:jc w:val="center"/>
                    <w:rPr>
                      <w:rFonts w:hint="eastAsia" w:ascii="Times New Roman" w:hAnsi="Times New Roman"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392" w:type="pct"/>
                  <w:tcBorders>
                    <w:tl2br w:val="nil"/>
                    <w:tr2bl w:val="nil"/>
                  </w:tcBorders>
                  <w:noWrap w:val="0"/>
                  <w:vAlign w:val="center"/>
                </w:tcPr>
                <w:p w14:paraId="203FB856">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3.0</w:t>
                  </w:r>
                </w:p>
              </w:tc>
            </w:tr>
            <w:tr w14:paraId="22FE64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9" w:type="pct"/>
                  <w:vMerge w:val="continue"/>
                  <w:tcBorders>
                    <w:tl2br w:val="nil"/>
                    <w:tr2bl w:val="nil"/>
                  </w:tcBorders>
                  <w:noWrap w:val="0"/>
                  <w:vAlign w:val="center"/>
                </w:tcPr>
                <w:p w14:paraId="55BC42BF">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21" w:type="pct"/>
                  <w:tcBorders>
                    <w:tl2br w:val="nil"/>
                    <w:tr2bl w:val="nil"/>
                  </w:tcBorders>
                  <w:noWrap w:val="0"/>
                  <w:vAlign w:val="center"/>
                </w:tcPr>
                <w:p w14:paraId="397BE3BF">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甲苯</w:t>
                  </w:r>
                </w:p>
              </w:tc>
              <w:tc>
                <w:tcPr>
                  <w:tcW w:w="292" w:type="pct"/>
                  <w:vMerge w:val="continue"/>
                  <w:tcBorders>
                    <w:tl2br w:val="nil"/>
                    <w:tr2bl w:val="nil"/>
                  </w:tcBorders>
                  <w:noWrap w:val="0"/>
                  <w:vAlign w:val="center"/>
                </w:tcPr>
                <w:p w14:paraId="2898DDCB">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7" w:type="pct"/>
                  <w:vMerge w:val="continue"/>
                  <w:tcBorders>
                    <w:tl2br w:val="nil"/>
                    <w:tr2bl w:val="nil"/>
                  </w:tcBorders>
                  <w:noWrap w:val="0"/>
                  <w:vAlign w:val="center"/>
                </w:tcPr>
                <w:p w14:paraId="21880757">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43" w:type="pct"/>
                  <w:tcBorders>
                    <w:tl2br w:val="nil"/>
                    <w:tr2bl w:val="nil"/>
                  </w:tcBorders>
                  <w:shd w:val="clear" w:color="auto" w:fill="auto"/>
                  <w:noWrap w:val="0"/>
                  <w:vAlign w:val="center"/>
                </w:tcPr>
                <w:p w14:paraId="3083BA5F">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0.00</w:t>
                  </w:r>
                  <w:r>
                    <w:rPr>
                      <w:rFonts w:hint="eastAsia" w:cs="Times New Roman"/>
                      <w:color w:val="auto"/>
                      <w:szCs w:val="21"/>
                      <w:lang w:val="en-US" w:eastAsia="zh-CN"/>
                    </w:rPr>
                    <w:t>2</w:t>
                  </w:r>
                </w:p>
              </w:tc>
              <w:tc>
                <w:tcPr>
                  <w:tcW w:w="409" w:type="pct"/>
                  <w:tcBorders>
                    <w:tl2br w:val="nil"/>
                    <w:tr2bl w:val="nil"/>
                  </w:tcBorders>
                  <w:shd w:val="clear" w:color="auto" w:fill="auto"/>
                  <w:noWrap w:val="0"/>
                  <w:vAlign w:val="center"/>
                </w:tcPr>
                <w:p w14:paraId="56C2F828">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167" w:type="pct"/>
                  <w:vMerge w:val="continue"/>
                  <w:tcBorders>
                    <w:tl2br w:val="nil"/>
                    <w:tr2bl w:val="nil"/>
                  </w:tcBorders>
                  <w:noWrap w:val="0"/>
                  <w:vAlign w:val="center"/>
                </w:tcPr>
                <w:p w14:paraId="3127667E">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344" w:type="pct"/>
                  <w:vMerge w:val="continue"/>
                  <w:tcBorders>
                    <w:tl2br w:val="nil"/>
                    <w:tr2bl w:val="nil"/>
                  </w:tcBorders>
                  <w:noWrap w:val="0"/>
                  <w:vAlign w:val="center"/>
                </w:tcPr>
                <w:p w14:paraId="1AA53154">
                  <w:pPr>
                    <w:widowControl/>
                    <w:spacing w:line="240" w:lineRule="auto"/>
                    <w:ind w:firstLine="0" w:firstLineChars="0"/>
                    <w:jc w:val="center"/>
                    <w:rPr>
                      <w:rFonts w:hint="eastAsia"/>
                      <w:bCs/>
                      <w:color w:val="auto"/>
                      <w:spacing w:val="-10"/>
                      <w:szCs w:val="21"/>
                    </w:rPr>
                  </w:pPr>
                </w:p>
              </w:tc>
              <w:tc>
                <w:tcPr>
                  <w:tcW w:w="353" w:type="pct"/>
                  <w:tcBorders>
                    <w:tl2br w:val="nil"/>
                    <w:tr2bl w:val="nil"/>
                  </w:tcBorders>
                  <w:shd w:val="clear" w:color="auto" w:fill="auto"/>
                  <w:noWrap w:val="0"/>
                  <w:vAlign w:val="center"/>
                </w:tcPr>
                <w:p w14:paraId="045BCA89">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0.00</w:t>
                  </w:r>
                  <w:r>
                    <w:rPr>
                      <w:rFonts w:hint="eastAsia" w:cs="Times New Roman"/>
                      <w:color w:val="auto"/>
                      <w:szCs w:val="21"/>
                      <w:lang w:val="en-US" w:eastAsia="zh-CN"/>
                    </w:rPr>
                    <w:t>2</w:t>
                  </w:r>
                </w:p>
              </w:tc>
              <w:tc>
                <w:tcPr>
                  <w:tcW w:w="408" w:type="pct"/>
                  <w:tcBorders>
                    <w:tl2br w:val="nil"/>
                    <w:tr2bl w:val="nil"/>
                  </w:tcBorders>
                  <w:shd w:val="clear" w:color="auto" w:fill="auto"/>
                  <w:noWrap w:val="0"/>
                  <w:vAlign w:val="center"/>
                </w:tcPr>
                <w:p w14:paraId="4E7D7359">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487" w:type="pct"/>
                  <w:tcBorders>
                    <w:tl2br w:val="nil"/>
                    <w:tr2bl w:val="nil"/>
                  </w:tcBorders>
                  <w:shd w:val="clear" w:color="auto" w:fill="auto"/>
                  <w:noWrap w:val="0"/>
                  <w:vAlign w:val="center"/>
                </w:tcPr>
                <w:p w14:paraId="244DEE69">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274" w:type="pct"/>
                  <w:tcBorders>
                    <w:tl2br w:val="nil"/>
                    <w:tr2bl w:val="nil"/>
                  </w:tcBorders>
                  <w:noWrap w:val="0"/>
                  <w:vAlign w:val="center"/>
                </w:tcPr>
                <w:p w14:paraId="5FDAE3B5">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291" w:type="pct"/>
                  <w:tcBorders>
                    <w:tl2br w:val="nil"/>
                    <w:tr2bl w:val="nil"/>
                  </w:tcBorders>
                  <w:noWrap w:val="0"/>
                  <w:vAlign w:val="center"/>
                </w:tcPr>
                <w:p w14:paraId="05D67CEC">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277" w:type="pct"/>
                  <w:tcBorders>
                    <w:tl2br w:val="nil"/>
                    <w:tr2bl w:val="nil"/>
                  </w:tcBorders>
                  <w:noWrap w:val="0"/>
                  <w:vAlign w:val="center"/>
                </w:tcPr>
                <w:p w14:paraId="7F9B8D4F">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392" w:type="pct"/>
                  <w:tcBorders>
                    <w:tl2br w:val="nil"/>
                    <w:tr2bl w:val="nil"/>
                  </w:tcBorders>
                  <w:noWrap w:val="0"/>
                  <w:vAlign w:val="center"/>
                </w:tcPr>
                <w:p w14:paraId="6AD85E3F">
                  <w:pPr>
                    <w:adjustRightInd w:val="0"/>
                    <w:snapToGrid w:val="0"/>
                    <w:jc w:val="center"/>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0.3</w:t>
                  </w:r>
                </w:p>
              </w:tc>
            </w:tr>
            <w:tr w14:paraId="5BA7F0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 w:type="pct"/>
                  <w:vMerge w:val="continue"/>
                  <w:tcBorders>
                    <w:tl2br w:val="nil"/>
                    <w:tr2bl w:val="nil"/>
                  </w:tcBorders>
                  <w:noWrap w:val="0"/>
                  <w:vAlign w:val="center"/>
                </w:tcPr>
                <w:p w14:paraId="02EE1D05">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21" w:type="pct"/>
                  <w:tcBorders>
                    <w:tl2br w:val="nil"/>
                    <w:tr2bl w:val="nil"/>
                  </w:tcBorders>
                  <w:noWrap w:val="0"/>
                  <w:vAlign w:val="center"/>
                </w:tcPr>
                <w:p w14:paraId="51635752">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二甲苯</w:t>
                  </w:r>
                </w:p>
              </w:tc>
              <w:tc>
                <w:tcPr>
                  <w:tcW w:w="292" w:type="pct"/>
                  <w:vMerge w:val="continue"/>
                  <w:tcBorders>
                    <w:tl2br w:val="nil"/>
                    <w:tr2bl w:val="nil"/>
                  </w:tcBorders>
                  <w:noWrap w:val="0"/>
                  <w:vAlign w:val="center"/>
                </w:tcPr>
                <w:p w14:paraId="17DDCFE3">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7" w:type="pct"/>
                  <w:vMerge w:val="continue"/>
                  <w:tcBorders>
                    <w:tl2br w:val="nil"/>
                    <w:tr2bl w:val="nil"/>
                  </w:tcBorders>
                  <w:noWrap w:val="0"/>
                  <w:vAlign w:val="center"/>
                </w:tcPr>
                <w:p w14:paraId="675234FA">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43" w:type="pct"/>
                  <w:tcBorders>
                    <w:tl2br w:val="nil"/>
                    <w:tr2bl w:val="nil"/>
                  </w:tcBorders>
                  <w:shd w:val="clear" w:color="auto" w:fill="auto"/>
                  <w:noWrap w:val="0"/>
                  <w:vAlign w:val="center"/>
                </w:tcPr>
                <w:p w14:paraId="01E8FB38">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w:t>
                  </w:r>
                </w:p>
              </w:tc>
              <w:tc>
                <w:tcPr>
                  <w:tcW w:w="409" w:type="pct"/>
                  <w:tcBorders>
                    <w:tl2br w:val="nil"/>
                    <w:tr2bl w:val="nil"/>
                  </w:tcBorders>
                  <w:shd w:val="clear" w:color="auto" w:fill="auto"/>
                  <w:noWrap w:val="0"/>
                  <w:vAlign w:val="center"/>
                </w:tcPr>
                <w:p w14:paraId="7CDC90BC">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167" w:type="pct"/>
                  <w:vMerge w:val="continue"/>
                  <w:tcBorders>
                    <w:tl2br w:val="nil"/>
                    <w:tr2bl w:val="nil"/>
                  </w:tcBorders>
                  <w:noWrap w:val="0"/>
                  <w:vAlign w:val="center"/>
                </w:tcPr>
                <w:p w14:paraId="0193C377">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344" w:type="pct"/>
                  <w:vMerge w:val="continue"/>
                  <w:tcBorders>
                    <w:tl2br w:val="nil"/>
                    <w:tr2bl w:val="nil"/>
                  </w:tcBorders>
                  <w:noWrap w:val="0"/>
                  <w:vAlign w:val="center"/>
                </w:tcPr>
                <w:p w14:paraId="519EF9C7">
                  <w:pPr>
                    <w:widowControl/>
                    <w:spacing w:line="240" w:lineRule="auto"/>
                    <w:ind w:firstLine="0" w:firstLineChars="0"/>
                    <w:jc w:val="center"/>
                    <w:rPr>
                      <w:rFonts w:hint="eastAsia"/>
                      <w:bCs/>
                      <w:color w:val="auto"/>
                      <w:spacing w:val="-10"/>
                      <w:szCs w:val="21"/>
                    </w:rPr>
                  </w:pPr>
                </w:p>
              </w:tc>
              <w:tc>
                <w:tcPr>
                  <w:tcW w:w="353" w:type="pct"/>
                  <w:tcBorders>
                    <w:tl2br w:val="nil"/>
                    <w:tr2bl w:val="nil"/>
                  </w:tcBorders>
                  <w:shd w:val="clear" w:color="auto" w:fill="auto"/>
                  <w:noWrap w:val="0"/>
                  <w:vAlign w:val="center"/>
                </w:tcPr>
                <w:p w14:paraId="72D5EEC4">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w:t>
                  </w:r>
                </w:p>
              </w:tc>
              <w:tc>
                <w:tcPr>
                  <w:tcW w:w="408" w:type="pct"/>
                  <w:tcBorders>
                    <w:tl2br w:val="nil"/>
                    <w:tr2bl w:val="nil"/>
                  </w:tcBorders>
                  <w:shd w:val="clear" w:color="auto" w:fill="auto"/>
                  <w:noWrap w:val="0"/>
                  <w:vAlign w:val="center"/>
                </w:tcPr>
                <w:p w14:paraId="6C05794F">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487" w:type="pct"/>
                  <w:tcBorders>
                    <w:tl2br w:val="nil"/>
                    <w:tr2bl w:val="nil"/>
                  </w:tcBorders>
                  <w:shd w:val="clear" w:color="auto" w:fill="auto"/>
                  <w:noWrap w:val="0"/>
                  <w:vAlign w:val="center"/>
                </w:tcPr>
                <w:p w14:paraId="7A76D901">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274" w:type="pct"/>
                  <w:tcBorders>
                    <w:tl2br w:val="nil"/>
                    <w:tr2bl w:val="nil"/>
                  </w:tcBorders>
                  <w:noWrap w:val="0"/>
                  <w:vAlign w:val="center"/>
                </w:tcPr>
                <w:p w14:paraId="34731B20">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291" w:type="pct"/>
                  <w:tcBorders>
                    <w:tl2br w:val="nil"/>
                    <w:tr2bl w:val="nil"/>
                  </w:tcBorders>
                  <w:noWrap w:val="0"/>
                  <w:vAlign w:val="center"/>
                </w:tcPr>
                <w:p w14:paraId="6106B1AA">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277" w:type="pct"/>
                  <w:tcBorders>
                    <w:tl2br w:val="nil"/>
                    <w:tr2bl w:val="nil"/>
                  </w:tcBorders>
                  <w:noWrap w:val="0"/>
                  <w:vAlign w:val="center"/>
                </w:tcPr>
                <w:p w14:paraId="1E843F79">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392" w:type="pct"/>
                  <w:tcBorders>
                    <w:tl2br w:val="nil"/>
                    <w:tr2bl w:val="nil"/>
                  </w:tcBorders>
                  <w:noWrap w:val="0"/>
                  <w:vAlign w:val="center"/>
                </w:tcPr>
                <w:p w14:paraId="6AFDC41A">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0.3</w:t>
                  </w:r>
                </w:p>
              </w:tc>
            </w:tr>
            <w:tr w14:paraId="332873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Merge w:val="restart"/>
                  <w:tcBorders>
                    <w:tl2br w:val="nil"/>
                    <w:tr2bl w:val="nil"/>
                  </w:tcBorders>
                  <w:noWrap w:val="0"/>
                  <w:vAlign w:val="center"/>
                </w:tcPr>
                <w:p w14:paraId="3223CE31">
                  <w:pPr>
                    <w:widowControl/>
                    <w:spacing w:line="240" w:lineRule="auto"/>
                    <w:ind w:firstLine="0" w:firstLineChars="0"/>
                    <w:jc w:val="center"/>
                    <w:rPr>
                      <w:rFonts w:hint="eastAsia" w:cs="Times New Roman"/>
                      <w:color w:val="auto"/>
                      <w:kern w:val="0"/>
                      <w:sz w:val="21"/>
                      <w:szCs w:val="21"/>
                      <w:highlight w:val="none"/>
                      <w:lang w:val="en-US" w:eastAsia="zh-CN"/>
                    </w:rPr>
                  </w:pPr>
                  <w:r>
                    <w:rPr>
                      <w:rFonts w:hint="eastAsia"/>
                      <w:color w:val="auto"/>
                      <w:szCs w:val="21"/>
                      <w:lang w:val="en-US" w:eastAsia="zh-CN"/>
                    </w:rPr>
                    <w:t>喷烤漆3#、中涂废气、调漆废气、危废贮存库2#</w:t>
                  </w:r>
                  <w:r>
                    <w:rPr>
                      <w:rFonts w:hint="default" w:ascii="Times New Roman" w:hAnsi="Times New Roman" w:cs="Times New Roman"/>
                      <w:color w:val="auto"/>
                      <w:kern w:val="0"/>
                      <w:sz w:val="21"/>
                      <w:szCs w:val="21"/>
                      <w:highlight w:val="none"/>
                    </w:rPr>
                    <w:t>（DA00</w:t>
                  </w:r>
                  <w:r>
                    <w:rPr>
                      <w:rFonts w:hint="eastAsia" w:ascii="Times New Roman" w:hAnsi="Times New Roman" w:cs="Times New Roman"/>
                      <w:color w:val="auto"/>
                      <w:kern w:val="0"/>
                      <w:sz w:val="21"/>
                      <w:szCs w:val="21"/>
                      <w:highlight w:val="none"/>
                      <w:lang w:val="en-US" w:eastAsia="zh-CN"/>
                    </w:rPr>
                    <w:t>3</w:t>
                  </w:r>
                  <w:r>
                    <w:rPr>
                      <w:rFonts w:hint="default" w:ascii="Times New Roman" w:hAnsi="Times New Roman" w:cs="Times New Roman"/>
                      <w:color w:val="auto"/>
                      <w:kern w:val="0"/>
                      <w:sz w:val="21"/>
                      <w:szCs w:val="21"/>
                      <w:highlight w:val="none"/>
                    </w:rPr>
                    <w:t>）</w:t>
                  </w:r>
                </w:p>
              </w:tc>
              <w:tc>
                <w:tcPr>
                  <w:tcW w:w="321" w:type="pct"/>
                  <w:tcBorders>
                    <w:tl2br w:val="nil"/>
                    <w:tr2bl w:val="nil"/>
                  </w:tcBorders>
                  <w:noWrap w:val="0"/>
                  <w:vAlign w:val="center"/>
                </w:tcPr>
                <w:p w14:paraId="76171419">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颗粒物</w:t>
                  </w:r>
                </w:p>
              </w:tc>
              <w:tc>
                <w:tcPr>
                  <w:tcW w:w="292" w:type="pct"/>
                  <w:vMerge w:val="restart"/>
                  <w:tcBorders>
                    <w:tl2br w:val="nil"/>
                    <w:tr2bl w:val="nil"/>
                  </w:tcBorders>
                  <w:noWrap w:val="0"/>
                  <w:vAlign w:val="center"/>
                </w:tcPr>
                <w:p w14:paraId="20FBBD37">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50</w:t>
                  </w:r>
                  <w:r>
                    <w:rPr>
                      <w:rFonts w:hint="eastAsia" w:ascii="Times New Roman" w:hAnsi="Times New Roman" w:cs="Times New Roman"/>
                      <w:color w:val="auto"/>
                      <w:kern w:val="0"/>
                      <w:sz w:val="21"/>
                      <w:szCs w:val="21"/>
                      <w:highlight w:val="none"/>
                      <w:lang w:val="en-US" w:eastAsia="zh-CN"/>
                    </w:rPr>
                    <w:t>000</w:t>
                  </w:r>
                </w:p>
              </w:tc>
              <w:tc>
                <w:tcPr>
                  <w:tcW w:w="297" w:type="pct"/>
                  <w:vMerge w:val="restart"/>
                  <w:tcBorders>
                    <w:tl2br w:val="nil"/>
                    <w:tr2bl w:val="nil"/>
                  </w:tcBorders>
                  <w:noWrap w:val="0"/>
                  <w:vAlign w:val="center"/>
                </w:tcPr>
                <w:p w14:paraId="51786C64">
                  <w:pPr>
                    <w:widowControl/>
                    <w:spacing w:line="240" w:lineRule="auto"/>
                    <w:ind w:firstLine="0" w:firstLineChars="0"/>
                    <w:jc w:val="center"/>
                    <w:rPr>
                      <w:rFonts w:hint="default" w:cs="Times New Roman"/>
                      <w:color w:val="auto"/>
                      <w:kern w:val="0"/>
                      <w:sz w:val="21"/>
                      <w:szCs w:val="21"/>
                      <w:highlight w:val="none"/>
                      <w:lang w:val="en-US" w:eastAsia="zh-CN"/>
                    </w:rPr>
                  </w:pPr>
                  <w:r>
                    <w:rPr>
                      <w:rFonts w:hint="eastAsia"/>
                      <w:color w:val="auto"/>
                      <w:szCs w:val="21"/>
                      <w:lang w:val="en-US" w:eastAsia="zh-CN"/>
                    </w:rPr>
                    <w:t>喷烤漆3#、中涂废气</w:t>
                  </w:r>
                  <w:r>
                    <w:rPr>
                      <w:rFonts w:hint="eastAsia" w:cs="Times New Roman"/>
                      <w:color w:val="auto"/>
                      <w:kern w:val="0"/>
                      <w:sz w:val="21"/>
                      <w:szCs w:val="21"/>
                      <w:highlight w:val="none"/>
                      <w:lang w:val="en-US" w:eastAsia="zh-CN"/>
                    </w:rPr>
                    <w:t>870h</w:t>
                  </w:r>
                </w:p>
              </w:tc>
              <w:tc>
                <w:tcPr>
                  <w:tcW w:w="343" w:type="pct"/>
                  <w:tcBorders>
                    <w:tl2br w:val="nil"/>
                    <w:tr2bl w:val="nil"/>
                  </w:tcBorders>
                  <w:shd w:val="clear" w:color="auto" w:fill="auto"/>
                  <w:noWrap w:val="0"/>
                  <w:vAlign w:val="center"/>
                </w:tcPr>
                <w:p w14:paraId="603A9528">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334</w:t>
                  </w:r>
                </w:p>
              </w:tc>
              <w:tc>
                <w:tcPr>
                  <w:tcW w:w="409" w:type="pct"/>
                  <w:tcBorders>
                    <w:tl2br w:val="nil"/>
                    <w:tr2bl w:val="nil"/>
                  </w:tcBorders>
                  <w:shd w:val="clear" w:color="auto" w:fill="auto"/>
                  <w:noWrap w:val="0"/>
                  <w:vAlign w:val="center"/>
                </w:tcPr>
                <w:p w14:paraId="1E62D86D">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w:t>
                  </w:r>
                  <w:r>
                    <w:rPr>
                      <w:rFonts w:hint="eastAsia" w:cs="Times New Roman"/>
                      <w:color w:val="auto"/>
                      <w:szCs w:val="21"/>
                      <w:lang w:val="en-US" w:eastAsia="zh-CN"/>
                    </w:rPr>
                    <w:t>38</w:t>
                  </w:r>
                </w:p>
              </w:tc>
              <w:tc>
                <w:tcPr>
                  <w:tcW w:w="167" w:type="pct"/>
                  <w:vMerge w:val="restart"/>
                  <w:tcBorders>
                    <w:tl2br w:val="nil"/>
                    <w:tr2bl w:val="nil"/>
                  </w:tcBorders>
                  <w:noWrap w:val="0"/>
                  <w:vAlign w:val="center"/>
                </w:tcPr>
                <w:p w14:paraId="1D068940">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有组织</w:t>
                  </w:r>
                </w:p>
              </w:tc>
              <w:tc>
                <w:tcPr>
                  <w:tcW w:w="344" w:type="pct"/>
                  <w:vMerge w:val="restart"/>
                  <w:tcBorders>
                    <w:tl2br w:val="nil"/>
                    <w:tr2bl w:val="nil"/>
                  </w:tcBorders>
                  <w:noWrap w:val="0"/>
                  <w:vAlign w:val="center"/>
                </w:tcPr>
                <w:p w14:paraId="36034223">
                  <w:pPr>
                    <w:widowControl/>
                    <w:spacing w:line="240" w:lineRule="auto"/>
                    <w:ind w:firstLine="0" w:firstLineChars="0"/>
                    <w:jc w:val="center"/>
                    <w:rPr>
                      <w:rFonts w:hint="eastAsia"/>
                      <w:bCs/>
                      <w:color w:val="auto"/>
                      <w:spacing w:val="-10"/>
                      <w:szCs w:val="21"/>
                    </w:rPr>
                  </w:pPr>
                  <w:r>
                    <w:rPr>
                      <w:rFonts w:hint="eastAsia"/>
                      <w:bCs/>
                      <w:color w:val="auto"/>
                      <w:spacing w:val="-10"/>
                      <w:szCs w:val="21"/>
                      <w:lang w:val="en-US" w:eastAsia="zh-CN"/>
                    </w:rPr>
                    <w:t>过滤棉+二</w:t>
                  </w:r>
                  <w:r>
                    <w:rPr>
                      <w:rFonts w:hint="eastAsia"/>
                      <w:bCs/>
                      <w:color w:val="auto"/>
                      <w:spacing w:val="-10"/>
                      <w:szCs w:val="21"/>
                    </w:rPr>
                    <w:t>级活性炭吸附</w:t>
                  </w:r>
                </w:p>
              </w:tc>
              <w:tc>
                <w:tcPr>
                  <w:tcW w:w="353" w:type="pct"/>
                  <w:tcBorders>
                    <w:tl2br w:val="nil"/>
                    <w:tr2bl w:val="nil"/>
                  </w:tcBorders>
                  <w:shd w:val="clear" w:color="auto" w:fill="auto"/>
                  <w:noWrap w:val="0"/>
                  <w:vAlign w:val="center"/>
                </w:tcPr>
                <w:p w14:paraId="6FBA5762">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0.0</w:t>
                  </w:r>
                  <w:r>
                    <w:rPr>
                      <w:rFonts w:hint="eastAsia" w:cs="Times New Roman"/>
                      <w:color w:val="auto"/>
                      <w:szCs w:val="21"/>
                      <w:lang w:val="en-US" w:eastAsia="zh-CN"/>
                    </w:rPr>
                    <w:t>5</w:t>
                  </w:r>
                </w:p>
              </w:tc>
              <w:tc>
                <w:tcPr>
                  <w:tcW w:w="408" w:type="pct"/>
                  <w:tcBorders>
                    <w:tl2br w:val="nil"/>
                    <w:tr2bl w:val="nil"/>
                  </w:tcBorders>
                  <w:shd w:val="clear" w:color="auto" w:fill="auto"/>
                  <w:noWrap w:val="0"/>
                  <w:vAlign w:val="center"/>
                </w:tcPr>
                <w:p w14:paraId="55B04632">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6</w:t>
                  </w:r>
                </w:p>
              </w:tc>
              <w:tc>
                <w:tcPr>
                  <w:tcW w:w="487" w:type="pct"/>
                  <w:tcBorders>
                    <w:tl2br w:val="nil"/>
                    <w:tr2bl w:val="nil"/>
                  </w:tcBorders>
                  <w:shd w:val="clear" w:color="auto" w:fill="auto"/>
                  <w:noWrap w:val="0"/>
                  <w:vAlign w:val="center"/>
                </w:tcPr>
                <w:p w14:paraId="18C4E720">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2.9</w:t>
                  </w:r>
                </w:p>
              </w:tc>
              <w:tc>
                <w:tcPr>
                  <w:tcW w:w="274" w:type="pct"/>
                  <w:vMerge w:val="restart"/>
                  <w:tcBorders>
                    <w:tl2br w:val="nil"/>
                    <w:tr2bl w:val="nil"/>
                  </w:tcBorders>
                  <w:noWrap w:val="0"/>
                  <w:vAlign w:val="center"/>
                </w:tcPr>
                <w:p w14:paraId="562C732B">
                  <w:pPr>
                    <w:widowControl/>
                    <w:spacing w:line="240" w:lineRule="auto"/>
                    <w:ind w:firstLine="0" w:firstLineChars="0"/>
                    <w:jc w:val="center"/>
                    <w:rPr>
                      <w:rFonts w:hint="default" w:ascii="Times New Roman" w:hAnsi="Times New Roman" w:cs="Times New Roman"/>
                      <w:color w:val="auto"/>
                      <w:kern w:val="2"/>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95</w:t>
                  </w:r>
                  <w:r>
                    <w:rPr>
                      <w:rFonts w:hint="default" w:ascii="Times New Roman" w:hAnsi="Times New Roman" w:cs="Times New Roman"/>
                      <w:color w:val="auto"/>
                      <w:kern w:val="0"/>
                      <w:sz w:val="21"/>
                      <w:szCs w:val="21"/>
                      <w:highlight w:val="none"/>
                    </w:rPr>
                    <w:t>%</w:t>
                  </w:r>
                </w:p>
              </w:tc>
              <w:tc>
                <w:tcPr>
                  <w:tcW w:w="291" w:type="pct"/>
                  <w:vMerge w:val="restart"/>
                  <w:tcBorders>
                    <w:tl2br w:val="nil"/>
                    <w:tr2bl w:val="nil"/>
                  </w:tcBorders>
                  <w:noWrap w:val="0"/>
                  <w:vAlign w:val="center"/>
                </w:tcPr>
                <w:p w14:paraId="7357A0CD">
                  <w:pPr>
                    <w:widowControl/>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0"/>
                      <w:sz w:val="21"/>
                      <w:szCs w:val="21"/>
                      <w:highlight w:val="none"/>
                      <w:lang w:val="en-US" w:eastAsia="zh-CN"/>
                    </w:rPr>
                    <w:t>36</w:t>
                  </w:r>
                  <w:r>
                    <w:rPr>
                      <w:rFonts w:hint="default" w:ascii="Times New Roman" w:hAnsi="Times New Roman" w:cs="Times New Roman"/>
                      <w:color w:val="auto"/>
                      <w:kern w:val="0"/>
                      <w:sz w:val="21"/>
                      <w:szCs w:val="21"/>
                      <w:highlight w:val="none"/>
                      <w:lang w:eastAsia="zh-CN"/>
                    </w:rPr>
                    <w:t>%</w:t>
                  </w:r>
                </w:p>
              </w:tc>
              <w:tc>
                <w:tcPr>
                  <w:tcW w:w="277" w:type="pct"/>
                  <w:tcBorders>
                    <w:tl2br w:val="nil"/>
                    <w:tr2bl w:val="nil"/>
                  </w:tcBorders>
                  <w:noWrap w:val="0"/>
                  <w:vAlign w:val="center"/>
                </w:tcPr>
                <w:p w14:paraId="233FE5DB">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rPr>
                    <w:t>3.98</w:t>
                  </w:r>
                </w:p>
              </w:tc>
              <w:tc>
                <w:tcPr>
                  <w:tcW w:w="392" w:type="pct"/>
                  <w:tcBorders>
                    <w:tl2br w:val="nil"/>
                    <w:tr2bl w:val="nil"/>
                  </w:tcBorders>
                  <w:noWrap w:val="0"/>
                  <w:vAlign w:val="center"/>
                </w:tcPr>
                <w:p w14:paraId="342B8488">
                  <w:pPr>
                    <w:adjustRightInd w:val="0"/>
                    <w:snapToGrid w:val="0"/>
                    <w:jc w:val="center"/>
                    <w:rPr>
                      <w:rFonts w:hint="default" w:eastAsia="宋体"/>
                      <w:color w:val="auto"/>
                      <w:kern w:val="2"/>
                      <w:sz w:val="21"/>
                      <w:szCs w:val="21"/>
                      <w:lang w:val="en-US" w:eastAsia="zh-CN" w:bidi="ar-SA"/>
                    </w:rPr>
                  </w:pPr>
                  <w:r>
                    <w:rPr>
                      <w:rFonts w:hint="eastAsia" w:eastAsia="宋体"/>
                      <w:color w:val="auto"/>
                      <w:kern w:val="2"/>
                      <w:sz w:val="21"/>
                      <w:szCs w:val="21"/>
                      <w:lang w:val="en-US" w:eastAsia="zh-CN" w:bidi="ar-SA"/>
                    </w:rPr>
                    <w:t>120</w:t>
                  </w:r>
                </w:p>
              </w:tc>
            </w:tr>
            <w:tr w14:paraId="46D36B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Merge w:val="continue"/>
                  <w:tcBorders>
                    <w:tl2br w:val="nil"/>
                    <w:tr2bl w:val="nil"/>
                  </w:tcBorders>
                  <w:noWrap w:val="0"/>
                  <w:vAlign w:val="center"/>
                </w:tcPr>
                <w:p w14:paraId="2C491D3A">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21" w:type="pct"/>
                  <w:tcBorders>
                    <w:tl2br w:val="nil"/>
                    <w:tr2bl w:val="nil"/>
                  </w:tcBorders>
                  <w:noWrap w:val="0"/>
                  <w:vAlign w:val="center"/>
                </w:tcPr>
                <w:p w14:paraId="4311D308">
                  <w:pPr>
                    <w:widowControl/>
                    <w:spacing w:line="240" w:lineRule="auto"/>
                    <w:ind w:firstLine="0" w:firstLineChars="0"/>
                    <w:jc w:val="center"/>
                    <w:rPr>
                      <w:rFonts w:hint="eastAsia" w:ascii="Times New Roman" w:hAnsi="Times New Roman"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rPr>
                    <w:t>非甲烷总烃</w:t>
                  </w:r>
                </w:p>
              </w:tc>
              <w:tc>
                <w:tcPr>
                  <w:tcW w:w="292" w:type="pct"/>
                  <w:vMerge w:val="continue"/>
                  <w:tcBorders>
                    <w:tl2br w:val="nil"/>
                    <w:tr2bl w:val="nil"/>
                  </w:tcBorders>
                  <w:noWrap w:val="0"/>
                  <w:vAlign w:val="center"/>
                </w:tcPr>
                <w:p w14:paraId="7C2AAF6F">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7" w:type="pct"/>
                  <w:vMerge w:val="continue"/>
                  <w:tcBorders>
                    <w:tl2br w:val="nil"/>
                    <w:tr2bl w:val="nil"/>
                  </w:tcBorders>
                  <w:noWrap w:val="0"/>
                  <w:vAlign w:val="center"/>
                </w:tcPr>
                <w:p w14:paraId="7827A5DD">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43" w:type="pct"/>
                  <w:tcBorders>
                    <w:tl2br w:val="nil"/>
                    <w:tr2bl w:val="nil"/>
                  </w:tcBorders>
                  <w:shd w:val="clear" w:color="auto" w:fill="auto"/>
                  <w:noWrap w:val="0"/>
                  <w:vAlign w:val="center"/>
                </w:tcPr>
                <w:p w14:paraId="67106F0E">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865</w:t>
                  </w:r>
                </w:p>
              </w:tc>
              <w:tc>
                <w:tcPr>
                  <w:tcW w:w="409" w:type="pct"/>
                  <w:tcBorders>
                    <w:tl2br w:val="nil"/>
                    <w:tr2bl w:val="nil"/>
                  </w:tcBorders>
                  <w:shd w:val="clear" w:color="auto" w:fill="auto"/>
                  <w:noWrap w:val="0"/>
                  <w:vAlign w:val="center"/>
                </w:tcPr>
                <w:p w14:paraId="25885664">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1.1206</w:t>
                  </w:r>
                </w:p>
              </w:tc>
              <w:tc>
                <w:tcPr>
                  <w:tcW w:w="167" w:type="pct"/>
                  <w:vMerge w:val="continue"/>
                  <w:tcBorders>
                    <w:tl2br w:val="nil"/>
                    <w:tr2bl w:val="nil"/>
                  </w:tcBorders>
                  <w:noWrap w:val="0"/>
                  <w:vAlign w:val="center"/>
                </w:tcPr>
                <w:p w14:paraId="17DA8583">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344" w:type="pct"/>
                  <w:vMerge w:val="continue"/>
                  <w:tcBorders>
                    <w:tl2br w:val="nil"/>
                    <w:tr2bl w:val="nil"/>
                  </w:tcBorders>
                  <w:noWrap w:val="0"/>
                  <w:vAlign w:val="center"/>
                </w:tcPr>
                <w:p w14:paraId="0D4255D7">
                  <w:pPr>
                    <w:widowControl/>
                    <w:spacing w:line="240" w:lineRule="auto"/>
                    <w:ind w:firstLine="0" w:firstLineChars="0"/>
                    <w:jc w:val="center"/>
                    <w:rPr>
                      <w:rFonts w:hint="eastAsia"/>
                      <w:bCs/>
                      <w:color w:val="auto"/>
                      <w:spacing w:val="-10"/>
                      <w:szCs w:val="21"/>
                    </w:rPr>
                  </w:pPr>
                </w:p>
              </w:tc>
              <w:tc>
                <w:tcPr>
                  <w:tcW w:w="353" w:type="pct"/>
                  <w:tcBorders>
                    <w:tl2br w:val="nil"/>
                    <w:tr2bl w:val="nil"/>
                  </w:tcBorders>
                  <w:shd w:val="clear" w:color="auto" w:fill="auto"/>
                  <w:noWrap w:val="0"/>
                  <w:vAlign w:val="center"/>
                </w:tcPr>
                <w:p w14:paraId="33A5F128">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0.</w:t>
                  </w:r>
                  <w:r>
                    <w:rPr>
                      <w:rFonts w:hint="eastAsia" w:cs="Times New Roman"/>
                      <w:color w:val="auto"/>
                      <w:szCs w:val="21"/>
                      <w:lang w:val="en-US" w:eastAsia="zh-CN"/>
                    </w:rPr>
                    <w:t>554</w:t>
                  </w:r>
                </w:p>
              </w:tc>
              <w:tc>
                <w:tcPr>
                  <w:tcW w:w="408" w:type="pct"/>
                  <w:tcBorders>
                    <w:tl2br w:val="nil"/>
                    <w:tr2bl w:val="nil"/>
                  </w:tcBorders>
                  <w:shd w:val="clear" w:color="auto" w:fill="auto"/>
                  <w:noWrap w:val="0"/>
                  <w:vAlign w:val="center"/>
                </w:tcPr>
                <w:p w14:paraId="7F0AD82D">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7203</w:t>
                  </w:r>
                </w:p>
              </w:tc>
              <w:tc>
                <w:tcPr>
                  <w:tcW w:w="487" w:type="pct"/>
                  <w:tcBorders>
                    <w:tl2br w:val="nil"/>
                    <w:tr2bl w:val="nil"/>
                  </w:tcBorders>
                  <w:shd w:val="clear" w:color="auto" w:fill="auto"/>
                  <w:noWrap w:val="0"/>
                  <w:vAlign w:val="center"/>
                </w:tcPr>
                <w:p w14:paraId="103F0AEE">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14.4</w:t>
                  </w:r>
                </w:p>
              </w:tc>
              <w:tc>
                <w:tcPr>
                  <w:tcW w:w="274" w:type="pct"/>
                  <w:vMerge w:val="continue"/>
                  <w:tcBorders>
                    <w:tl2br w:val="nil"/>
                    <w:tr2bl w:val="nil"/>
                  </w:tcBorders>
                  <w:noWrap w:val="0"/>
                  <w:vAlign w:val="center"/>
                </w:tcPr>
                <w:p w14:paraId="02AB18F0">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1" w:type="pct"/>
                  <w:vMerge w:val="continue"/>
                  <w:tcBorders>
                    <w:tl2br w:val="nil"/>
                    <w:tr2bl w:val="nil"/>
                  </w:tcBorders>
                  <w:noWrap w:val="0"/>
                  <w:vAlign w:val="center"/>
                </w:tcPr>
                <w:p w14:paraId="631650F5">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277" w:type="pct"/>
                  <w:tcBorders>
                    <w:tl2br w:val="nil"/>
                    <w:tr2bl w:val="nil"/>
                  </w:tcBorders>
                  <w:noWrap w:val="0"/>
                  <w:vAlign w:val="center"/>
                </w:tcPr>
                <w:p w14:paraId="4A51EE5B">
                  <w:pPr>
                    <w:widowControl/>
                    <w:spacing w:line="240" w:lineRule="auto"/>
                    <w:ind w:firstLine="0" w:firstLineChars="0"/>
                    <w:jc w:val="center"/>
                    <w:rPr>
                      <w:rFonts w:hint="eastAsia" w:ascii="Times New Roman" w:hAnsi="Times New Roman"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392" w:type="pct"/>
                  <w:tcBorders>
                    <w:tl2br w:val="nil"/>
                    <w:tr2bl w:val="nil"/>
                  </w:tcBorders>
                  <w:noWrap w:val="0"/>
                  <w:vAlign w:val="center"/>
                </w:tcPr>
                <w:p w14:paraId="0220D1A9">
                  <w:pPr>
                    <w:adjustRightInd w:val="0"/>
                    <w:snapToGrid w:val="0"/>
                    <w:jc w:val="center"/>
                    <w:rPr>
                      <w:rFonts w:hint="default"/>
                      <w:color w:val="auto"/>
                      <w:kern w:val="2"/>
                      <w:sz w:val="21"/>
                      <w:szCs w:val="21"/>
                      <w:lang w:val="en-US" w:eastAsia="zh-CN" w:bidi="ar-SA"/>
                    </w:rPr>
                  </w:pPr>
                  <w:r>
                    <w:rPr>
                      <w:rFonts w:hint="eastAsia"/>
                      <w:color w:val="auto"/>
                      <w:szCs w:val="21"/>
                      <w:lang w:val="en-US" w:eastAsia="zh-CN"/>
                    </w:rPr>
                    <w:t>50</w:t>
                  </w:r>
                </w:p>
              </w:tc>
            </w:tr>
            <w:tr w14:paraId="188284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Merge w:val="continue"/>
                  <w:tcBorders>
                    <w:tl2br w:val="nil"/>
                    <w:tr2bl w:val="nil"/>
                  </w:tcBorders>
                  <w:noWrap w:val="0"/>
                  <w:vAlign w:val="center"/>
                </w:tcPr>
                <w:p w14:paraId="50A348A9">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21" w:type="pct"/>
                  <w:tcBorders>
                    <w:tl2br w:val="nil"/>
                    <w:tr2bl w:val="nil"/>
                  </w:tcBorders>
                  <w:noWrap w:val="0"/>
                  <w:vAlign w:val="center"/>
                </w:tcPr>
                <w:p w14:paraId="1A62EB67">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甲苯</w:t>
                  </w:r>
                </w:p>
              </w:tc>
              <w:tc>
                <w:tcPr>
                  <w:tcW w:w="292" w:type="pct"/>
                  <w:vMerge w:val="continue"/>
                  <w:tcBorders>
                    <w:tl2br w:val="nil"/>
                    <w:tr2bl w:val="nil"/>
                  </w:tcBorders>
                  <w:noWrap w:val="0"/>
                  <w:vAlign w:val="center"/>
                </w:tcPr>
                <w:p w14:paraId="6D8BEA8F">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7" w:type="pct"/>
                  <w:vMerge w:val="continue"/>
                  <w:tcBorders>
                    <w:tl2br w:val="nil"/>
                    <w:tr2bl w:val="nil"/>
                  </w:tcBorders>
                  <w:noWrap w:val="0"/>
                  <w:vAlign w:val="center"/>
                </w:tcPr>
                <w:p w14:paraId="1BFBE3BA">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43" w:type="pct"/>
                  <w:tcBorders>
                    <w:tl2br w:val="nil"/>
                    <w:tr2bl w:val="nil"/>
                  </w:tcBorders>
                  <w:shd w:val="clear" w:color="auto" w:fill="auto"/>
                  <w:noWrap w:val="0"/>
                  <w:vAlign w:val="center"/>
                </w:tcPr>
                <w:p w14:paraId="214DD56D">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0.0</w:t>
                  </w:r>
                  <w:r>
                    <w:rPr>
                      <w:rFonts w:hint="eastAsia" w:cs="Times New Roman"/>
                      <w:color w:val="auto"/>
                      <w:szCs w:val="21"/>
                      <w:lang w:val="en-US" w:eastAsia="zh-CN"/>
                    </w:rPr>
                    <w:t>62</w:t>
                  </w:r>
                </w:p>
              </w:tc>
              <w:tc>
                <w:tcPr>
                  <w:tcW w:w="409" w:type="pct"/>
                  <w:tcBorders>
                    <w:tl2br w:val="nil"/>
                    <w:tr2bl w:val="nil"/>
                  </w:tcBorders>
                  <w:shd w:val="clear" w:color="auto" w:fill="auto"/>
                  <w:noWrap w:val="0"/>
                  <w:vAlign w:val="center"/>
                </w:tcPr>
                <w:p w14:paraId="2AC524BA">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79</w:t>
                  </w:r>
                </w:p>
              </w:tc>
              <w:tc>
                <w:tcPr>
                  <w:tcW w:w="167" w:type="pct"/>
                  <w:vMerge w:val="continue"/>
                  <w:tcBorders>
                    <w:tl2br w:val="nil"/>
                    <w:tr2bl w:val="nil"/>
                  </w:tcBorders>
                  <w:noWrap w:val="0"/>
                  <w:vAlign w:val="center"/>
                </w:tcPr>
                <w:p w14:paraId="091A22F7">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344" w:type="pct"/>
                  <w:vMerge w:val="continue"/>
                  <w:tcBorders>
                    <w:tl2br w:val="nil"/>
                    <w:tr2bl w:val="nil"/>
                  </w:tcBorders>
                  <w:noWrap w:val="0"/>
                  <w:vAlign w:val="center"/>
                </w:tcPr>
                <w:p w14:paraId="6427159C">
                  <w:pPr>
                    <w:widowControl/>
                    <w:spacing w:line="240" w:lineRule="auto"/>
                    <w:ind w:firstLine="0" w:firstLineChars="0"/>
                    <w:jc w:val="center"/>
                    <w:rPr>
                      <w:rFonts w:hint="eastAsia"/>
                      <w:bCs/>
                      <w:color w:val="auto"/>
                      <w:spacing w:val="-10"/>
                      <w:szCs w:val="21"/>
                    </w:rPr>
                  </w:pPr>
                </w:p>
              </w:tc>
              <w:tc>
                <w:tcPr>
                  <w:tcW w:w="353" w:type="pct"/>
                  <w:tcBorders>
                    <w:tl2br w:val="nil"/>
                    <w:tr2bl w:val="nil"/>
                  </w:tcBorders>
                  <w:shd w:val="clear" w:color="auto" w:fill="auto"/>
                  <w:noWrap w:val="0"/>
                  <w:vAlign w:val="center"/>
                </w:tcPr>
                <w:p w14:paraId="18B44F74">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w:t>
                  </w:r>
                  <w:r>
                    <w:rPr>
                      <w:rFonts w:hint="eastAsia" w:cs="Times New Roman"/>
                      <w:color w:val="auto"/>
                      <w:szCs w:val="21"/>
                      <w:lang w:val="en-US" w:eastAsia="zh-CN"/>
                    </w:rPr>
                    <w:t>04</w:t>
                  </w:r>
                </w:p>
              </w:tc>
              <w:tc>
                <w:tcPr>
                  <w:tcW w:w="408" w:type="pct"/>
                  <w:tcBorders>
                    <w:tl2br w:val="nil"/>
                    <w:tr2bl w:val="nil"/>
                  </w:tcBorders>
                  <w:shd w:val="clear" w:color="auto" w:fill="auto"/>
                  <w:noWrap w:val="0"/>
                  <w:vAlign w:val="center"/>
                </w:tcPr>
                <w:p w14:paraId="7910589B">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5</w:t>
                  </w:r>
                </w:p>
              </w:tc>
              <w:tc>
                <w:tcPr>
                  <w:tcW w:w="487" w:type="pct"/>
                  <w:tcBorders>
                    <w:tl2br w:val="nil"/>
                    <w:tr2bl w:val="nil"/>
                  </w:tcBorders>
                  <w:shd w:val="clear" w:color="auto" w:fill="auto"/>
                  <w:noWrap w:val="0"/>
                  <w:vAlign w:val="center"/>
                </w:tcPr>
                <w:p w14:paraId="7D70E144">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1.0</w:t>
                  </w:r>
                </w:p>
              </w:tc>
              <w:tc>
                <w:tcPr>
                  <w:tcW w:w="274" w:type="pct"/>
                  <w:vMerge w:val="continue"/>
                  <w:tcBorders>
                    <w:tl2br w:val="nil"/>
                    <w:tr2bl w:val="nil"/>
                  </w:tcBorders>
                  <w:noWrap w:val="0"/>
                  <w:vAlign w:val="center"/>
                </w:tcPr>
                <w:p w14:paraId="1EE4D3FC">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1" w:type="pct"/>
                  <w:vMerge w:val="continue"/>
                  <w:tcBorders>
                    <w:tl2br w:val="nil"/>
                    <w:tr2bl w:val="nil"/>
                  </w:tcBorders>
                  <w:noWrap w:val="0"/>
                  <w:vAlign w:val="center"/>
                </w:tcPr>
                <w:p w14:paraId="4E81B21B">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277" w:type="pct"/>
                  <w:tcBorders>
                    <w:tl2br w:val="nil"/>
                    <w:tr2bl w:val="nil"/>
                  </w:tcBorders>
                  <w:noWrap w:val="0"/>
                  <w:vAlign w:val="center"/>
                </w:tcPr>
                <w:p w14:paraId="69EE8BDE">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392" w:type="pct"/>
                  <w:tcBorders>
                    <w:tl2br w:val="nil"/>
                    <w:tr2bl w:val="nil"/>
                  </w:tcBorders>
                  <w:noWrap w:val="0"/>
                  <w:vAlign w:val="center"/>
                </w:tcPr>
                <w:p w14:paraId="3595B92A">
                  <w:pPr>
                    <w:adjustRightInd w:val="0"/>
                    <w:snapToGrid w:val="0"/>
                    <w:jc w:val="center"/>
                    <w:rPr>
                      <w:rFonts w:hint="default" w:eastAsia="宋体"/>
                      <w:color w:val="auto"/>
                      <w:kern w:val="2"/>
                      <w:sz w:val="21"/>
                      <w:szCs w:val="21"/>
                      <w:lang w:val="en-US" w:eastAsia="zh-CN" w:bidi="ar-SA"/>
                    </w:rPr>
                  </w:pPr>
                  <w:r>
                    <w:rPr>
                      <w:rFonts w:hint="eastAsia"/>
                      <w:color w:val="auto"/>
                      <w:szCs w:val="21"/>
                      <w:lang w:val="en-US" w:eastAsia="zh-CN"/>
                    </w:rPr>
                    <w:t>5</w:t>
                  </w:r>
                </w:p>
              </w:tc>
            </w:tr>
            <w:tr w14:paraId="57BBA4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Merge w:val="continue"/>
                  <w:tcBorders>
                    <w:tl2br w:val="nil"/>
                    <w:tr2bl w:val="nil"/>
                  </w:tcBorders>
                  <w:noWrap w:val="0"/>
                  <w:vAlign w:val="center"/>
                </w:tcPr>
                <w:p w14:paraId="11902B7B">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21" w:type="pct"/>
                  <w:tcBorders>
                    <w:tl2br w:val="nil"/>
                    <w:tr2bl w:val="nil"/>
                  </w:tcBorders>
                  <w:noWrap w:val="0"/>
                  <w:vAlign w:val="center"/>
                </w:tcPr>
                <w:p w14:paraId="71EF8D70">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二甲苯</w:t>
                  </w:r>
                </w:p>
              </w:tc>
              <w:tc>
                <w:tcPr>
                  <w:tcW w:w="292" w:type="pct"/>
                  <w:vMerge w:val="continue"/>
                  <w:tcBorders>
                    <w:tl2br w:val="nil"/>
                    <w:tr2bl w:val="nil"/>
                  </w:tcBorders>
                  <w:noWrap w:val="0"/>
                  <w:vAlign w:val="center"/>
                </w:tcPr>
                <w:p w14:paraId="30EAAF0F">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7" w:type="pct"/>
                  <w:vMerge w:val="continue"/>
                  <w:tcBorders>
                    <w:tl2br w:val="nil"/>
                    <w:tr2bl w:val="nil"/>
                  </w:tcBorders>
                  <w:noWrap w:val="0"/>
                  <w:vAlign w:val="center"/>
                </w:tcPr>
                <w:p w14:paraId="276E708F">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43" w:type="pct"/>
                  <w:tcBorders>
                    <w:tl2br w:val="nil"/>
                    <w:tr2bl w:val="nil"/>
                  </w:tcBorders>
                  <w:shd w:val="clear" w:color="auto" w:fill="auto"/>
                  <w:noWrap w:val="0"/>
                  <w:vAlign w:val="center"/>
                </w:tcPr>
                <w:p w14:paraId="2718770E">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25</w:t>
                  </w:r>
                </w:p>
              </w:tc>
              <w:tc>
                <w:tcPr>
                  <w:tcW w:w="409" w:type="pct"/>
                  <w:tcBorders>
                    <w:tl2br w:val="nil"/>
                    <w:tr2bl w:val="nil"/>
                  </w:tcBorders>
                  <w:shd w:val="clear" w:color="auto" w:fill="auto"/>
                  <w:noWrap w:val="0"/>
                  <w:vAlign w:val="center"/>
                </w:tcPr>
                <w:p w14:paraId="5A2BF586">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4</w:t>
                  </w:r>
                </w:p>
              </w:tc>
              <w:tc>
                <w:tcPr>
                  <w:tcW w:w="167" w:type="pct"/>
                  <w:vMerge w:val="continue"/>
                  <w:tcBorders>
                    <w:tl2br w:val="nil"/>
                    <w:tr2bl w:val="nil"/>
                  </w:tcBorders>
                  <w:noWrap w:val="0"/>
                  <w:vAlign w:val="center"/>
                </w:tcPr>
                <w:p w14:paraId="57CDCE3F">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344" w:type="pct"/>
                  <w:vMerge w:val="continue"/>
                  <w:tcBorders>
                    <w:tl2br w:val="nil"/>
                    <w:tr2bl w:val="nil"/>
                  </w:tcBorders>
                  <w:noWrap w:val="0"/>
                  <w:vAlign w:val="center"/>
                </w:tcPr>
                <w:p w14:paraId="3E9BCEC6">
                  <w:pPr>
                    <w:widowControl/>
                    <w:spacing w:line="240" w:lineRule="auto"/>
                    <w:ind w:firstLine="0" w:firstLineChars="0"/>
                    <w:jc w:val="center"/>
                    <w:rPr>
                      <w:rFonts w:hint="eastAsia"/>
                      <w:bCs/>
                      <w:color w:val="auto"/>
                      <w:spacing w:val="-10"/>
                      <w:szCs w:val="21"/>
                    </w:rPr>
                  </w:pPr>
                </w:p>
              </w:tc>
              <w:tc>
                <w:tcPr>
                  <w:tcW w:w="353" w:type="pct"/>
                  <w:tcBorders>
                    <w:tl2br w:val="nil"/>
                    <w:tr2bl w:val="nil"/>
                  </w:tcBorders>
                  <w:shd w:val="clear" w:color="auto" w:fill="auto"/>
                  <w:noWrap w:val="0"/>
                  <w:vAlign w:val="center"/>
                </w:tcPr>
                <w:p w14:paraId="68D77D4D">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0.0</w:t>
                  </w:r>
                  <w:r>
                    <w:rPr>
                      <w:rFonts w:hint="eastAsia" w:cs="Times New Roman"/>
                      <w:color w:val="auto"/>
                      <w:szCs w:val="21"/>
                      <w:lang w:val="en-US" w:eastAsia="zh-CN"/>
                    </w:rPr>
                    <w:t>16</w:t>
                  </w:r>
                </w:p>
              </w:tc>
              <w:tc>
                <w:tcPr>
                  <w:tcW w:w="408" w:type="pct"/>
                  <w:tcBorders>
                    <w:tl2br w:val="nil"/>
                    <w:tr2bl w:val="nil"/>
                  </w:tcBorders>
                  <w:shd w:val="clear" w:color="auto" w:fill="auto"/>
                  <w:noWrap w:val="0"/>
                  <w:vAlign w:val="center"/>
                </w:tcPr>
                <w:p w14:paraId="0B077B2D">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14</w:t>
                  </w:r>
                </w:p>
              </w:tc>
              <w:tc>
                <w:tcPr>
                  <w:tcW w:w="487" w:type="pct"/>
                  <w:tcBorders>
                    <w:tl2br w:val="nil"/>
                    <w:tr2bl w:val="nil"/>
                  </w:tcBorders>
                  <w:shd w:val="clear" w:color="auto" w:fill="auto"/>
                  <w:noWrap w:val="0"/>
                  <w:vAlign w:val="center"/>
                </w:tcPr>
                <w:p w14:paraId="09755A0A">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3</w:t>
                  </w:r>
                </w:p>
              </w:tc>
              <w:tc>
                <w:tcPr>
                  <w:tcW w:w="274" w:type="pct"/>
                  <w:vMerge w:val="continue"/>
                  <w:tcBorders>
                    <w:tl2br w:val="nil"/>
                    <w:tr2bl w:val="nil"/>
                  </w:tcBorders>
                  <w:noWrap w:val="0"/>
                  <w:vAlign w:val="center"/>
                </w:tcPr>
                <w:p w14:paraId="4963655D">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1" w:type="pct"/>
                  <w:vMerge w:val="continue"/>
                  <w:tcBorders>
                    <w:tl2br w:val="nil"/>
                    <w:tr2bl w:val="nil"/>
                  </w:tcBorders>
                  <w:noWrap w:val="0"/>
                  <w:vAlign w:val="center"/>
                </w:tcPr>
                <w:p w14:paraId="34797F05">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277" w:type="pct"/>
                  <w:tcBorders>
                    <w:tl2br w:val="nil"/>
                    <w:tr2bl w:val="nil"/>
                  </w:tcBorders>
                  <w:noWrap w:val="0"/>
                  <w:vAlign w:val="center"/>
                </w:tcPr>
                <w:p w14:paraId="63B2088B">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392" w:type="pct"/>
                  <w:tcBorders>
                    <w:tl2br w:val="nil"/>
                    <w:tr2bl w:val="nil"/>
                  </w:tcBorders>
                  <w:noWrap w:val="0"/>
                  <w:vAlign w:val="center"/>
                </w:tcPr>
                <w:p w14:paraId="4FF74BE5">
                  <w:pPr>
                    <w:adjustRightInd w:val="0"/>
                    <w:snapToGrid w:val="0"/>
                    <w:jc w:val="center"/>
                    <w:rPr>
                      <w:rFonts w:hint="default" w:eastAsia="宋体"/>
                      <w:color w:val="auto"/>
                      <w:kern w:val="2"/>
                      <w:sz w:val="21"/>
                      <w:szCs w:val="21"/>
                      <w:lang w:val="en-US" w:eastAsia="zh-CN" w:bidi="ar-SA"/>
                    </w:rPr>
                  </w:pPr>
                  <w:r>
                    <w:rPr>
                      <w:rFonts w:hint="eastAsia"/>
                      <w:color w:val="auto"/>
                      <w:szCs w:val="21"/>
                      <w:lang w:val="en-US" w:eastAsia="zh-CN"/>
                    </w:rPr>
                    <w:t>15</w:t>
                  </w:r>
                </w:p>
              </w:tc>
            </w:tr>
            <w:tr w14:paraId="3ADBBA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Merge w:val="continue"/>
                  <w:tcBorders>
                    <w:tl2br w:val="nil"/>
                    <w:tr2bl w:val="nil"/>
                  </w:tcBorders>
                  <w:noWrap w:val="0"/>
                  <w:vAlign w:val="center"/>
                </w:tcPr>
                <w:p w14:paraId="129E27F1">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21" w:type="pct"/>
                  <w:tcBorders>
                    <w:tl2br w:val="nil"/>
                    <w:tr2bl w:val="nil"/>
                  </w:tcBorders>
                  <w:noWrap w:val="0"/>
                  <w:vAlign w:val="center"/>
                </w:tcPr>
                <w:p w14:paraId="4C26E253">
                  <w:pPr>
                    <w:widowControl/>
                    <w:spacing w:line="240" w:lineRule="auto"/>
                    <w:ind w:firstLine="0" w:firstLineChars="0"/>
                    <w:jc w:val="center"/>
                    <w:rPr>
                      <w:rFonts w:hint="eastAsia" w:ascii="Times New Roman" w:hAnsi="Times New Roman"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bidi="ar-SA"/>
                    </w:rPr>
                    <w:t>颗粒物</w:t>
                  </w:r>
                </w:p>
              </w:tc>
              <w:tc>
                <w:tcPr>
                  <w:tcW w:w="292" w:type="pct"/>
                  <w:vMerge w:val="continue"/>
                  <w:tcBorders>
                    <w:tl2br w:val="nil"/>
                    <w:tr2bl w:val="nil"/>
                  </w:tcBorders>
                  <w:noWrap w:val="0"/>
                  <w:vAlign w:val="center"/>
                </w:tcPr>
                <w:p w14:paraId="3FBC7AF8">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7" w:type="pct"/>
                  <w:vMerge w:val="restart"/>
                  <w:tcBorders>
                    <w:tl2br w:val="nil"/>
                    <w:tr2bl w:val="nil"/>
                  </w:tcBorders>
                  <w:noWrap w:val="0"/>
                  <w:vAlign w:val="center"/>
                </w:tcPr>
                <w:p w14:paraId="11E6496D">
                  <w:pPr>
                    <w:widowControl/>
                    <w:spacing w:line="240" w:lineRule="auto"/>
                    <w:ind w:firstLine="0" w:firstLineChars="0"/>
                    <w:jc w:val="center"/>
                    <w:rPr>
                      <w:rFonts w:hint="eastAsia"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危废贮存库2#</w:t>
                  </w:r>
                </w:p>
                <w:p w14:paraId="5E11188B">
                  <w:pPr>
                    <w:widowControl/>
                    <w:spacing w:line="240" w:lineRule="auto"/>
                    <w:ind w:firstLine="0" w:firstLineChars="0"/>
                    <w:jc w:val="center"/>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8760h</w:t>
                  </w:r>
                </w:p>
              </w:tc>
              <w:tc>
                <w:tcPr>
                  <w:tcW w:w="343" w:type="pct"/>
                  <w:tcBorders>
                    <w:tl2br w:val="nil"/>
                    <w:tr2bl w:val="nil"/>
                  </w:tcBorders>
                  <w:shd w:val="clear" w:color="auto" w:fill="auto"/>
                  <w:noWrap w:val="0"/>
                  <w:vAlign w:val="center"/>
                </w:tcPr>
                <w:p w14:paraId="4C7B6BFE">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18</w:t>
                  </w:r>
                </w:p>
              </w:tc>
              <w:tc>
                <w:tcPr>
                  <w:tcW w:w="409" w:type="pct"/>
                  <w:tcBorders>
                    <w:tl2br w:val="nil"/>
                    <w:tr2bl w:val="nil"/>
                  </w:tcBorders>
                  <w:shd w:val="clear" w:color="auto" w:fill="auto"/>
                  <w:noWrap w:val="0"/>
                  <w:vAlign w:val="center"/>
                </w:tcPr>
                <w:p w14:paraId="471A6545">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167" w:type="pct"/>
                  <w:vMerge w:val="restart"/>
                  <w:tcBorders>
                    <w:tl2br w:val="nil"/>
                    <w:tr2bl w:val="nil"/>
                  </w:tcBorders>
                  <w:noWrap w:val="0"/>
                  <w:vAlign w:val="center"/>
                </w:tcPr>
                <w:p w14:paraId="06A89ADB">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无组织</w:t>
                  </w:r>
                </w:p>
              </w:tc>
              <w:tc>
                <w:tcPr>
                  <w:tcW w:w="344" w:type="pct"/>
                  <w:vMerge w:val="restart"/>
                  <w:tcBorders>
                    <w:tl2br w:val="nil"/>
                    <w:tr2bl w:val="nil"/>
                  </w:tcBorders>
                  <w:noWrap w:val="0"/>
                  <w:vAlign w:val="center"/>
                </w:tcPr>
                <w:p w14:paraId="448D378A">
                  <w:pPr>
                    <w:widowControl/>
                    <w:spacing w:line="240" w:lineRule="auto"/>
                    <w:ind w:firstLine="0" w:firstLineChars="0"/>
                    <w:jc w:val="center"/>
                    <w:rPr>
                      <w:rFonts w:hint="eastAsia" w:eastAsia="宋体"/>
                      <w:bCs/>
                      <w:color w:val="auto"/>
                      <w:spacing w:val="-10"/>
                      <w:szCs w:val="21"/>
                      <w:lang w:val="en-US" w:eastAsia="zh-CN"/>
                    </w:rPr>
                  </w:pPr>
                  <w:r>
                    <w:rPr>
                      <w:rFonts w:hint="eastAsia"/>
                      <w:bCs/>
                      <w:color w:val="auto"/>
                      <w:spacing w:val="-10"/>
                      <w:szCs w:val="21"/>
                      <w:lang w:val="en-US" w:eastAsia="zh-CN"/>
                    </w:rPr>
                    <w:t>/</w:t>
                  </w:r>
                </w:p>
              </w:tc>
              <w:tc>
                <w:tcPr>
                  <w:tcW w:w="353" w:type="pct"/>
                  <w:tcBorders>
                    <w:tl2br w:val="nil"/>
                    <w:tr2bl w:val="nil"/>
                  </w:tcBorders>
                  <w:shd w:val="clear" w:color="auto" w:fill="auto"/>
                  <w:noWrap w:val="0"/>
                  <w:vAlign w:val="center"/>
                </w:tcPr>
                <w:p w14:paraId="599A2B56">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18</w:t>
                  </w:r>
                </w:p>
              </w:tc>
              <w:tc>
                <w:tcPr>
                  <w:tcW w:w="408" w:type="pct"/>
                  <w:tcBorders>
                    <w:tl2br w:val="nil"/>
                    <w:tr2bl w:val="nil"/>
                  </w:tcBorders>
                  <w:shd w:val="clear" w:color="auto" w:fill="auto"/>
                  <w:noWrap w:val="0"/>
                  <w:vAlign w:val="center"/>
                </w:tcPr>
                <w:p w14:paraId="62D44137">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487" w:type="pct"/>
                  <w:tcBorders>
                    <w:tl2br w:val="nil"/>
                    <w:tr2bl w:val="nil"/>
                  </w:tcBorders>
                  <w:shd w:val="clear" w:color="auto" w:fill="auto"/>
                  <w:noWrap w:val="0"/>
                  <w:vAlign w:val="center"/>
                </w:tcPr>
                <w:p w14:paraId="216F78F8">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274" w:type="pct"/>
                  <w:tcBorders>
                    <w:tl2br w:val="nil"/>
                    <w:tr2bl w:val="nil"/>
                  </w:tcBorders>
                  <w:noWrap w:val="0"/>
                  <w:vAlign w:val="center"/>
                </w:tcPr>
                <w:p w14:paraId="70E7C614">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291" w:type="pct"/>
                  <w:tcBorders>
                    <w:tl2br w:val="nil"/>
                    <w:tr2bl w:val="nil"/>
                  </w:tcBorders>
                  <w:noWrap w:val="0"/>
                  <w:vAlign w:val="center"/>
                </w:tcPr>
                <w:p w14:paraId="4CF2D142">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277" w:type="pct"/>
                  <w:tcBorders>
                    <w:tl2br w:val="nil"/>
                    <w:tr2bl w:val="nil"/>
                  </w:tcBorders>
                  <w:noWrap w:val="0"/>
                  <w:vAlign w:val="center"/>
                </w:tcPr>
                <w:p w14:paraId="10B8277D">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392" w:type="pct"/>
                  <w:tcBorders>
                    <w:tl2br w:val="nil"/>
                    <w:tr2bl w:val="nil"/>
                  </w:tcBorders>
                  <w:noWrap w:val="0"/>
                  <w:vAlign w:val="center"/>
                </w:tcPr>
                <w:p w14:paraId="64D1BF66">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1.0</w:t>
                  </w:r>
                </w:p>
              </w:tc>
            </w:tr>
            <w:tr w14:paraId="623DF5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39" w:type="pct"/>
                  <w:vMerge w:val="continue"/>
                  <w:tcBorders>
                    <w:tl2br w:val="nil"/>
                    <w:tr2bl w:val="nil"/>
                  </w:tcBorders>
                  <w:noWrap w:val="0"/>
                  <w:vAlign w:val="center"/>
                </w:tcPr>
                <w:p w14:paraId="4CB17BDE">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21" w:type="pct"/>
                  <w:tcBorders>
                    <w:tl2br w:val="nil"/>
                    <w:tr2bl w:val="nil"/>
                  </w:tcBorders>
                  <w:noWrap w:val="0"/>
                  <w:vAlign w:val="center"/>
                </w:tcPr>
                <w:p w14:paraId="159CE515">
                  <w:pPr>
                    <w:widowControl/>
                    <w:spacing w:line="240" w:lineRule="auto"/>
                    <w:ind w:firstLine="0" w:firstLineChars="0"/>
                    <w:jc w:val="center"/>
                    <w:rPr>
                      <w:rFonts w:hint="eastAsia" w:ascii="Times New Roman" w:hAnsi="Times New Roman"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rPr>
                    <w:t>非甲烷总烃</w:t>
                  </w:r>
                </w:p>
              </w:tc>
              <w:tc>
                <w:tcPr>
                  <w:tcW w:w="292" w:type="pct"/>
                  <w:vMerge w:val="continue"/>
                  <w:tcBorders>
                    <w:tl2br w:val="nil"/>
                    <w:tr2bl w:val="nil"/>
                  </w:tcBorders>
                  <w:noWrap w:val="0"/>
                  <w:vAlign w:val="center"/>
                </w:tcPr>
                <w:p w14:paraId="25F81838">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7" w:type="pct"/>
                  <w:vMerge w:val="continue"/>
                  <w:tcBorders>
                    <w:tl2br w:val="nil"/>
                    <w:tr2bl w:val="nil"/>
                  </w:tcBorders>
                  <w:noWrap w:val="0"/>
                  <w:vAlign w:val="center"/>
                </w:tcPr>
                <w:p w14:paraId="73D5F6D5">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43" w:type="pct"/>
                  <w:tcBorders>
                    <w:tl2br w:val="nil"/>
                    <w:tr2bl w:val="nil"/>
                  </w:tcBorders>
                  <w:shd w:val="clear" w:color="auto" w:fill="auto"/>
                  <w:noWrap w:val="0"/>
                  <w:vAlign w:val="center"/>
                </w:tcPr>
                <w:p w14:paraId="2A6D9158">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56</w:t>
                  </w:r>
                </w:p>
              </w:tc>
              <w:tc>
                <w:tcPr>
                  <w:tcW w:w="409" w:type="pct"/>
                  <w:tcBorders>
                    <w:tl2br w:val="nil"/>
                    <w:tr2bl w:val="nil"/>
                  </w:tcBorders>
                  <w:shd w:val="clear" w:color="auto" w:fill="auto"/>
                  <w:noWrap w:val="0"/>
                  <w:vAlign w:val="center"/>
                </w:tcPr>
                <w:p w14:paraId="3F6508C0">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167" w:type="pct"/>
                  <w:vMerge w:val="continue"/>
                  <w:tcBorders>
                    <w:tl2br w:val="nil"/>
                    <w:tr2bl w:val="nil"/>
                  </w:tcBorders>
                  <w:noWrap w:val="0"/>
                  <w:vAlign w:val="center"/>
                </w:tcPr>
                <w:p w14:paraId="7CA00329">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344" w:type="pct"/>
                  <w:vMerge w:val="continue"/>
                  <w:tcBorders>
                    <w:tl2br w:val="nil"/>
                    <w:tr2bl w:val="nil"/>
                  </w:tcBorders>
                  <w:noWrap w:val="0"/>
                  <w:vAlign w:val="center"/>
                </w:tcPr>
                <w:p w14:paraId="1645DECE">
                  <w:pPr>
                    <w:widowControl/>
                    <w:spacing w:line="240" w:lineRule="auto"/>
                    <w:ind w:firstLine="0" w:firstLineChars="0"/>
                    <w:jc w:val="center"/>
                    <w:rPr>
                      <w:rFonts w:hint="eastAsia"/>
                      <w:bCs/>
                      <w:color w:val="auto"/>
                      <w:spacing w:val="-10"/>
                      <w:szCs w:val="21"/>
                    </w:rPr>
                  </w:pPr>
                </w:p>
              </w:tc>
              <w:tc>
                <w:tcPr>
                  <w:tcW w:w="353" w:type="pct"/>
                  <w:tcBorders>
                    <w:tl2br w:val="nil"/>
                    <w:tr2bl w:val="nil"/>
                  </w:tcBorders>
                  <w:shd w:val="clear" w:color="auto" w:fill="auto"/>
                  <w:noWrap w:val="0"/>
                  <w:vAlign w:val="center"/>
                </w:tcPr>
                <w:p w14:paraId="5E840325">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56</w:t>
                  </w:r>
                </w:p>
              </w:tc>
              <w:tc>
                <w:tcPr>
                  <w:tcW w:w="408" w:type="pct"/>
                  <w:tcBorders>
                    <w:tl2br w:val="nil"/>
                    <w:tr2bl w:val="nil"/>
                  </w:tcBorders>
                  <w:shd w:val="clear" w:color="auto" w:fill="auto"/>
                  <w:noWrap w:val="0"/>
                  <w:vAlign w:val="center"/>
                </w:tcPr>
                <w:p w14:paraId="1AD206F3">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487" w:type="pct"/>
                  <w:tcBorders>
                    <w:tl2br w:val="nil"/>
                    <w:tr2bl w:val="nil"/>
                  </w:tcBorders>
                  <w:shd w:val="clear" w:color="auto" w:fill="auto"/>
                  <w:noWrap w:val="0"/>
                  <w:vAlign w:val="center"/>
                </w:tcPr>
                <w:p w14:paraId="120606A7">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274" w:type="pct"/>
                  <w:tcBorders>
                    <w:tl2br w:val="nil"/>
                    <w:tr2bl w:val="nil"/>
                  </w:tcBorders>
                  <w:noWrap w:val="0"/>
                  <w:vAlign w:val="center"/>
                </w:tcPr>
                <w:p w14:paraId="35069E4F">
                  <w:pPr>
                    <w:widowControl/>
                    <w:spacing w:line="240" w:lineRule="auto"/>
                    <w:ind w:firstLine="0" w:firstLineChars="0"/>
                    <w:jc w:val="center"/>
                    <w:rPr>
                      <w:rFonts w:hint="default" w:ascii="Times New Roman" w:hAnsi="Times New Roman"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291" w:type="pct"/>
                  <w:tcBorders>
                    <w:tl2br w:val="nil"/>
                    <w:tr2bl w:val="nil"/>
                  </w:tcBorders>
                  <w:noWrap w:val="0"/>
                  <w:vAlign w:val="center"/>
                </w:tcPr>
                <w:p w14:paraId="32B75C5A">
                  <w:pPr>
                    <w:widowControl/>
                    <w:spacing w:line="240" w:lineRule="auto"/>
                    <w:ind w:firstLine="0" w:firstLineChars="0"/>
                    <w:jc w:val="center"/>
                    <w:rPr>
                      <w:rFonts w:hint="eastAsia" w:ascii="Times New Roman" w:hAnsi="Times New Roman"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277" w:type="pct"/>
                  <w:tcBorders>
                    <w:tl2br w:val="nil"/>
                    <w:tr2bl w:val="nil"/>
                  </w:tcBorders>
                  <w:noWrap w:val="0"/>
                  <w:vAlign w:val="center"/>
                </w:tcPr>
                <w:p w14:paraId="237FBA68">
                  <w:pPr>
                    <w:widowControl/>
                    <w:spacing w:line="240" w:lineRule="auto"/>
                    <w:ind w:firstLine="0" w:firstLineChars="0"/>
                    <w:jc w:val="center"/>
                    <w:rPr>
                      <w:rFonts w:hint="eastAsia" w:ascii="Times New Roman" w:hAnsi="Times New Roman"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392" w:type="pct"/>
                  <w:tcBorders>
                    <w:tl2br w:val="nil"/>
                    <w:tr2bl w:val="nil"/>
                  </w:tcBorders>
                  <w:noWrap w:val="0"/>
                  <w:vAlign w:val="center"/>
                </w:tcPr>
                <w:p w14:paraId="0551C7A5">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3.0</w:t>
                  </w:r>
                </w:p>
              </w:tc>
            </w:tr>
            <w:tr w14:paraId="52CF79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 w:type="pct"/>
                  <w:vMerge w:val="continue"/>
                  <w:tcBorders>
                    <w:tl2br w:val="nil"/>
                    <w:tr2bl w:val="nil"/>
                  </w:tcBorders>
                  <w:noWrap w:val="0"/>
                  <w:vAlign w:val="center"/>
                </w:tcPr>
                <w:p w14:paraId="0955298F">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21" w:type="pct"/>
                  <w:tcBorders>
                    <w:tl2br w:val="nil"/>
                    <w:tr2bl w:val="nil"/>
                  </w:tcBorders>
                  <w:noWrap w:val="0"/>
                  <w:vAlign w:val="center"/>
                </w:tcPr>
                <w:p w14:paraId="266E561E">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甲苯</w:t>
                  </w:r>
                </w:p>
              </w:tc>
              <w:tc>
                <w:tcPr>
                  <w:tcW w:w="292" w:type="pct"/>
                  <w:vMerge w:val="continue"/>
                  <w:tcBorders>
                    <w:tl2br w:val="nil"/>
                    <w:tr2bl w:val="nil"/>
                  </w:tcBorders>
                  <w:noWrap w:val="0"/>
                  <w:vAlign w:val="center"/>
                </w:tcPr>
                <w:p w14:paraId="299E9F71">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7" w:type="pct"/>
                  <w:vMerge w:val="restart"/>
                  <w:tcBorders>
                    <w:tl2br w:val="nil"/>
                    <w:tr2bl w:val="nil"/>
                  </w:tcBorders>
                  <w:noWrap w:val="0"/>
                  <w:vAlign w:val="center"/>
                </w:tcPr>
                <w:p w14:paraId="6CD6B1F7">
                  <w:pPr>
                    <w:widowControl/>
                    <w:spacing w:line="240" w:lineRule="auto"/>
                    <w:ind w:firstLine="0" w:firstLineChars="0"/>
                    <w:jc w:val="center"/>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调漆350h</w:t>
                  </w:r>
                </w:p>
              </w:tc>
              <w:tc>
                <w:tcPr>
                  <w:tcW w:w="343" w:type="pct"/>
                  <w:tcBorders>
                    <w:tl2br w:val="nil"/>
                    <w:tr2bl w:val="nil"/>
                  </w:tcBorders>
                  <w:shd w:val="clear" w:color="auto" w:fill="auto"/>
                  <w:noWrap w:val="0"/>
                  <w:vAlign w:val="center"/>
                </w:tcPr>
                <w:p w14:paraId="0987EFE2">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0.00</w:t>
                  </w:r>
                  <w:r>
                    <w:rPr>
                      <w:rFonts w:hint="eastAsia" w:cs="Times New Roman"/>
                      <w:color w:val="auto"/>
                      <w:szCs w:val="21"/>
                      <w:lang w:val="en-US" w:eastAsia="zh-CN"/>
                    </w:rPr>
                    <w:t>4</w:t>
                  </w:r>
                </w:p>
              </w:tc>
              <w:tc>
                <w:tcPr>
                  <w:tcW w:w="409" w:type="pct"/>
                  <w:tcBorders>
                    <w:tl2br w:val="nil"/>
                    <w:tr2bl w:val="nil"/>
                  </w:tcBorders>
                  <w:shd w:val="clear" w:color="auto" w:fill="auto"/>
                  <w:noWrap w:val="0"/>
                  <w:vAlign w:val="center"/>
                </w:tcPr>
                <w:p w14:paraId="02EC02AA">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167" w:type="pct"/>
                  <w:vMerge w:val="continue"/>
                  <w:tcBorders>
                    <w:tl2br w:val="nil"/>
                    <w:tr2bl w:val="nil"/>
                  </w:tcBorders>
                  <w:noWrap w:val="0"/>
                  <w:vAlign w:val="center"/>
                </w:tcPr>
                <w:p w14:paraId="7F96D689">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344" w:type="pct"/>
                  <w:vMerge w:val="continue"/>
                  <w:tcBorders>
                    <w:tl2br w:val="nil"/>
                    <w:tr2bl w:val="nil"/>
                  </w:tcBorders>
                  <w:noWrap w:val="0"/>
                  <w:vAlign w:val="center"/>
                </w:tcPr>
                <w:p w14:paraId="70C84246">
                  <w:pPr>
                    <w:widowControl/>
                    <w:spacing w:line="240" w:lineRule="auto"/>
                    <w:ind w:firstLine="0" w:firstLineChars="0"/>
                    <w:jc w:val="center"/>
                    <w:rPr>
                      <w:rFonts w:hint="eastAsia"/>
                      <w:bCs/>
                      <w:color w:val="auto"/>
                      <w:spacing w:val="-10"/>
                      <w:szCs w:val="21"/>
                    </w:rPr>
                  </w:pPr>
                </w:p>
              </w:tc>
              <w:tc>
                <w:tcPr>
                  <w:tcW w:w="353" w:type="pct"/>
                  <w:tcBorders>
                    <w:tl2br w:val="nil"/>
                    <w:tr2bl w:val="nil"/>
                  </w:tcBorders>
                  <w:shd w:val="clear" w:color="auto" w:fill="auto"/>
                  <w:noWrap w:val="0"/>
                  <w:vAlign w:val="center"/>
                </w:tcPr>
                <w:p w14:paraId="60B44098">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0.00</w:t>
                  </w:r>
                  <w:r>
                    <w:rPr>
                      <w:rFonts w:hint="eastAsia" w:cs="Times New Roman"/>
                      <w:color w:val="auto"/>
                      <w:szCs w:val="21"/>
                      <w:lang w:val="en-US" w:eastAsia="zh-CN"/>
                    </w:rPr>
                    <w:t>4</w:t>
                  </w:r>
                </w:p>
              </w:tc>
              <w:tc>
                <w:tcPr>
                  <w:tcW w:w="408" w:type="pct"/>
                  <w:tcBorders>
                    <w:tl2br w:val="nil"/>
                    <w:tr2bl w:val="nil"/>
                  </w:tcBorders>
                  <w:shd w:val="clear" w:color="auto" w:fill="auto"/>
                  <w:noWrap w:val="0"/>
                  <w:vAlign w:val="center"/>
                </w:tcPr>
                <w:p w14:paraId="655928E9">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487" w:type="pct"/>
                  <w:tcBorders>
                    <w:tl2br w:val="nil"/>
                    <w:tr2bl w:val="nil"/>
                  </w:tcBorders>
                  <w:shd w:val="clear" w:color="auto" w:fill="auto"/>
                  <w:noWrap w:val="0"/>
                  <w:vAlign w:val="center"/>
                </w:tcPr>
                <w:p w14:paraId="04E8327C">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274" w:type="pct"/>
                  <w:tcBorders>
                    <w:tl2br w:val="nil"/>
                    <w:tr2bl w:val="nil"/>
                  </w:tcBorders>
                  <w:noWrap w:val="0"/>
                  <w:vAlign w:val="center"/>
                </w:tcPr>
                <w:p w14:paraId="7766F892">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291" w:type="pct"/>
                  <w:tcBorders>
                    <w:tl2br w:val="nil"/>
                    <w:tr2bl w:val="nil"/>
                  </w:tcBorders>
                  <w:noWrap w:val="0"/>
                  <w:vAlign w:val="center"/>
                </w:tcPr>
                <w:p w14:paraId="3C2A9D50">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277" w:type="pct"/>
                  <w:tcBorders>
                    <w:tl2br w:val="nil"/>
                    <w:tr2bl w:val="nil"/>
                  </w:tcBorders>
                  <w:noWrap w:val="0"/>
                  <w:vAlign w:val="center"/>
                </w:tcPr>
                <w:p w14:paraId="7ADA3130">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392" w:type="pct"/>
                  <w:tcBorders>
                    <w:tl2br w:val="nil"/>
                    <w:tr2bl w:val="nil"/>
                  </w:tcBorders>
                  <w:noWrap w:val="0"/>
                  <w:vAlign w:val="center"/>
                </w:tcPr>
                <w:p w14:paraId="621C0F7B">
                  <w:pPr>
                    <w:adjustRightInd w:val="0"/>
                    <w:snapToGrid w:val="0"/>
                    <w:jc w:val="center"/>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0.3</w:t>
                  </w:r>
                </w:p>
              </w:tc>
            </w:tr>
            <w:tr w14:paraId="5C9330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 w:type="pct"/>
                  <w:vMerge w:val="continue"/>
                  <w:tcBorders>
                    <w:tl2br w:val="nil"/>
                    <w:tr2bl w:val="nil"/>
                  </w:tcBorders>
                  <w:noWrap w:val="0"/>
                  <w:vAlign w:val="center"/>
                </w:tcPr>
                <w:p w14:paraId="3A6E110B">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21" w:type="pct"/>
                  <w:tcBorders>
                    <w:tl2br w:val="nil"/>
                    <w:tr2bl w:val="nil"/>
                  </w:tcBorders>
                  <w:noWrap w:val="0"/>
                  <w:vAlign w:val="center"/>
                </w:tcPr>
                <w:p w14:paraId="02385898">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二甲苯</w:t>
                  </w:r>
                </w:p>
              </w:tc>
              <w:tc>
                <w:tcPr>
                  <w:tcW w:w="292" w:type="pct"/>
                  <w:vMerge w:val="continue"/>
                  <w:tcBorders>
                    <w:tl2br w:val="nil"/>
                    <w:tr2bl w:val="nil"/>
                  </w:tcBorders>
                  <w:noWrap w:val="0"/>
                  <w:vAlign w:val="center"/>
                </w:tcPr>
                <w:p w14:paraId="1B128400">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297" w:type="pct"/>
                  <w:vMerge w:val="continue"/>
                  <w:tcBorders>
                    <w:tl2br w:val="nil"/>
                    <w:tr2bl w:val="nil"/>
                  </w:tcBorders>
                  <w:noWrap w:val="0"/>
                  <w:vAlign w:val="center"/>
                </w:tcPr>
                <w:p w14:paraId="1E9CB9AE">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43" w:type="pct"/>
                  <w:tcBorders>
                    <w:tl2br w:val="nil"/>
                    <w:tr2bl w:val="nil"/>
                  </w:tcBorders>
                  <w:shd w:val="clear" w:color="auto" w:fill="auto"/>
                  <w:noWrap w:val="0"/>
                  <w:vAlign w:val="center"/>
                </w:tcPr>
                <w:p w14:paraId="14E08991">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w:t>
                  </w:r>
                  <w:r>
                    <w:rPr>
                      <w:rFonts w:hint="eastAsia" w:cs="Times New Roman"/>
                      <w:color w:val="auto"/>
                      <w:szCs w:val="21"/>
                      <w:lang w:val="en-US" w:eastAsia="zh-CN"/>
                    </w:rPr>
                    <w:t>.002</w:t>
                  </w:r>
                </w:p>
              </w:tc>
              <w:tc>
                <w:tcPr>
                  <w:tcW w:w="409" w:type="pct"/>
                  <w:tcBorders>
                    <w:tl2br w:val="nil"/>
                    <w:tr2bl w:val="nil"/>
                  </w:tcBorders>
                  <w:shd w:val="clear" w:color="auto" w:fill="auto"/>
                  <w:noWrap w:val="0"/>
                  <w:vAlign w:val="center"/>
                </w:tcPr>
                <w:p w14:paraId="49C8033A">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167" w:type="pct"/>
                  <w:vMerge w:val="continue"/>
                  <w:tcBorders>
                    <w:tl2br w:val="nil"/>
                    <w:tr2bl w:val="nil"/>
                  </w:tcBorders>
                  <w:noWrap w:val="0"/>
                  <w:vAlign w:val="center"/>
                </w:tcPr>
                <w:p w14:paraId="046061EA">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344" w:type="pct"/>
                  <w:vMerge w:val="continue"/>
                  <w:tcBorders>
                    <w:tl2br w:val="nil"/>
                    <w:tr2bl w:val="nil"/>
                  </w:tcBorders>
                  <w:noWrap w:val="0"/>
                  <w:vAlign w:val="center"/>
                </w:tcPr>
                <w:p w14:paraId="1731CB59">
                  <w:pPr>
                    <w:widowControl/>
                    <w:spacing w:line="240" w:lineRule="auto"/>
                    <w:ind w:firstLine="0" w:firstLineChars="0"/>
                    <w:jc w:val="center"/>
                    <w:rPr>
                      <w:rFonts w:hint="eastAsia"/>
                      <w:bCs/>
                      <w:color w:val="auto"/>
                      <w:spacing w:val="-10"/>
                      <w:szCs w:val="21"/>
                    </w:rPr>
                  </w:pPr>
                </w:p>
              </w:tc>
              <w:tc>
                <w:tcPr>
                  <w:tcW w:w="353" w:type="pct"/>
                  <w:tcBorders>
                    <w:tl2br w:val="nil"/>
                    <w:tr2bl w:val="nil"/>
                  </w:tcBorders>
                  <w:shd w:val="clear" w:color="auto" w:fill="auto"/>
                  <w:noWrap w:val="0"/>
                  <w:vAlign w:val="center"/>
                </w:tcPr>
                <w:p w14:paraId="6A9BFC63">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w:t>
                  </w:r>
                  <w:r>
                    <w:rPr>
                      <w:rFonts w:hint="eastAsia" w:cs="Times New Roman"/>
                      <w:color w:val="auto"/>
                      <w:szCs w:val="21"/>
                      <w:lang w:val="en-US" w:eastAsia="zh-CN"/>
                    </w:rPr>
                    <w:t>.002</w:t>
                  </w:r>
                </w:p>
              </w:tc>
              <w:tc>
                <w:tcPr>
                  <w:tcW w:w="408" w:type="pct"/>
                  <w:tcBorders>
                    <w:tl2br w:val="nil"/>
                    <w:tr2bl w:val="nil"/>
                  </w:tcBorders>
                  <w:shd w:val="clear" w:color="auto" w:fill="auto"/>
                  <w:noWrap w:val="0"/>
                  <w:vAlign w:val="center"/>
                </w:tcPr>
                <w:p w14:paraId="7C2A22AD">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487" w:type="pct"/>
                  <w:tcBorders>
                    <w:tl2br w:val="nil"/>
                    <w:tr2bl w:val="nil"/>
                  </w:tcBorders>
                  <w:shd w:val="clear" w:color="auto" w:fill="auto"/>
                  <w:noWrap w:val="0"/>
                  <w:vAlign w:val="center"/>
                </w:tcPr>
                <w:p w14:paraId="3ADD9A01">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274" w:type="pct"/>
                  <w:tcBorders>
                    <w:tl2br w:val="nil"/>
                    <w:tr2bl w:val="nil"/>
                  </w:tcBorders>
                  <w:noWrap w:val="0"/>
                  <w:vAlign w:val="center"/>
                </w:tcPr>
                <w:p w14:paraId="777D1AE7">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291" w:type="pct"/>
                  <w:tcBorders>
                    <w:tl2br w:val="nil"/>
                    <w:tr2bl w:val="nil"/>
                  </w:tcBorders>
                  <w:noWrap w:val="0"/>
                  <w:vAlign w:val="center"/>
                </w:tcPr>
                <w:p w14:paraId="042DE487">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277" w:type="pct"/>
                  <w:tcBorders>
                    <w:tl2br w:val="nil"/>
                    <w:tr2bl w:val="nil"/>
                  </w:tcBorders>
                  <w:noWrap w:val="0"/>
                  <w:vAlign w:val="center"/>
                </w:tcPr>
                <w:p w14:paraId="75CBF812">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392" w:type="pct"/>
                  <w:tcBorders>
                    <w:tl2br w:val="nil"/>
                    <w:tr2bl w:val="nil"/>
                  </w:tcBorders>
                  <w:noWrap w:val="0"/>
                  <w:vAlign w:val="center"/>
                </w:tcPr>
                <w:p w14:paraId="487CE1CA">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0.3</w:t>
                  </w:r>
                </w:p>
              </w:tc>
            </w:tr>
            <w:tr w14:paraId="3E9125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 w:type="pct"/>
                  <w:vMerge w:val="restart"/>
                  <w:tcBorders>
                    <w:tl2br w:val="nil"/>
                    <w:tr2bl w:val="nil"/>
                  </w:tcBorders>
                  <w:noWrap w:val="0"/>
                  <w:vAlign w:val="center"/>
                </w:tcPr>
                <w:p w14:paraId="34FCEFBB">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焊接、打磨抛光（DA004）</w:t>
                  </w:r>
                </w:p>
              </w:tc>
              <w:tc>
                <w:tcPr>
                  <w:tcW w:w="321" w:type="pct"/>
                  <w:tcBorders>
                    <w:tl2br w:val="nil"/>
                    <w:tr2bl w:val="nil"/>
                  </w:tcBorders>
                  <w:noWrap w:val="0"/>
                  <w:vAlign w:val="center"/>
                </w:tcPr>
                <w:p w14:paraId="458D8A90">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eastAsia" w:cs="Times New Roman"/>
                      <w:color w:val="auto"/>
                      <w:kern w:val="0"/>
                      <w:sz w:val="21"/>
                      <w:szCs w:val="21"/>
                      <w:highlight w:val="none"/>
                      <w:lang w:val="en-US" w:eastAsia="zh-CN"/>
                    </w:rPr>
                    <w:t>颗粒物</w:t>
                  </w:r>
                </w:p>
              </w:tc>
              <w:tc>
                <w:tcPr>
                  <w:tcW w:w="292" w:type="pct"/>
                  <w:vMerge w:val="restart"/>
                  <w:tcBorders>
                    <w:tl2br w:val="nil"/>
                    <w:tr2bl w:val="nil"/>
                  </w:tcBorders>
                  <w:noWrap w:val="0"/>
                  <w:vAlign w:val="center"/>
                </w:tcPr>
                <w:p w14:paraId="33E1F51C">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15000</w:t>
                  </w:r>
                </w:p>
              </w:tc>
              <w:tc>
                <w:tcPr>
                  <w:tcW w:w="297" w:type="pct"/>
                  <w:vMerge w:val="restart"/>
                  <w:tcBorders>
                    <w:tl2br w:val="nil"/>
                    <w:tr2bl w:val="nil"/>
                  </w:tcBorders>
                  <w:noWrap w:val="0"/>
                  <w:vAlign w:val="center"/>
                </w:tcPr>
                <w:p w14:paraId="164A1268">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1200</w:t>
                  </w:r>
                </w:p>
              </w:tc>
              <w:tc>
                <w:tcPr>
                  <w:tcW w:w="343" w:type="pct"/>
                  <w:tcBorders>
                    <w:tl2br w:val="nil"/>
                    <w:tr2bl w:val="nil"/>
                  </w:tcBorders>
                  <w:shd w:val="clear" w:color="auto" w:fill="auto"/>
                  <w:noWrap w:val="0"/>
                  <w:vAlign w:val="center"/>
                </w:tcPr>
                <w:p w14:paraId="6C188A10">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0.456</w:t>
                  </w:r>
                </w:p>
              </w:tc>
              <w:tc>
                <w:tcPr>
                  <w:tcW w:w="409" w:type="pct"/>
                  <w:tcBorders>
                    <w:tl2br w:val="nil"/>
                    <w:tr2bl w:val="nil"/>
                  </w:tcBorders>
                  <w:shd w:val="clear" w:color="auto" w:fill="auto"/>
                  <w:noWrap w:val="0"/>
                  <w:vAlign w:val="center"/>
                </w:tcPr>
                <w:p w14:paraId="34BE401D">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38</w:t>
                  </w:r>
                </w:p>
              </w:tc>
              <w:tc>
                <w:tcPr>
                  <w:tcW w:w="167" w:type="pct"/>
                  <w:vMerge w:val="restart"/>
                  <w:tcBorders>
                    <w:tl2br w:val="nil"/>
                    <w:tr2bl w:val="nil"/>
                  </w:tcBorders>
                  <w:noWrap w:val="0"/>
                  <w:vAlign w:val="center"/>
                </w:tcPr>
                <w:p w14:paraId="7B87F5FD">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有组织</w:t>
                  </w:r>
                </w:p>
              </w:tc>
              <w:tc>
                <w:tcPr>
                  <w:tcW w:w="344" w:type="pct"/>
                  <w:vMerge w:val="restart"/>
                  <w:tcBorders>
                    <w:tl2br w:val="nil"/>
                    <w:tr2bl w:val="nil"/>
                  </w:tcBorders>
                  <w:shd w:val="clear" w:color="auto" w:fill="auto"/>
                  <w:noWrap w:val="0"/>
                  <w:vAlign w:val="center"/>
                </w:tcPr>
                <w:p w14:paraId="60803BF5">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过滤棉</w:t>
                  </w:r>
                  <w:r>
                    <w:rPr>
                      <w:rFonts w:hint="eastAsia" w:cs="Times New Roman"/>
                      <w:color w:val="auto"/>
                      <w:kern w:val="0"/>
                      <w:sz w:val="21"/>
                      <w:szCs w:val="21"/>
                      <w:highlight w:val="none"/>
                      <w:lang w:val="en-US" w:eastAsia="zh-CN"/>
                    </w:rPr>
                    <w:t>+</w:t>
                  </w:r>
                  <w:r>
                    <w:rPr>
                      <w:rFonts w:hint="eastAsia"/>
                      <w:bCs/>
                      <w:color w:val="auto"/>
                      <w:spacing w:val="-10"/>
                      <w:szCs w:val="21"/>
                    </w:rPr>
                    <w:t>活性炭吸附</w:t>
                  </w:r>
                </w:p>
              </w:tc>
              <w:tc>
                <w:tcPr>
                  <w:tcW w:w="353" w:type="pct"/>
                  <w:tcBorders>
                    <w:tl2br w:val="nil"/>
                    <w:tr2bl w:val="nil"/>
                  </w:tcBorders>
                  <w:shd w:val="clear" w:color="auto" w:fill="auto"/>
                  <w:noWrap w:val="0"/>
                  <w:vAlign w:val="center"/>
                </w:tcPr>
                <w:p w14:paraId="259169C5">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274</w:t>
                  </w:r>
                </w:p>
              </w:tc>
              <w:tc>
                <w:tcPr>
                  <w:tcW w:w="408" w:type="pct"/>
                  <w:tcBorders>
                    <w:tl2br w:val="nil"/>
                    <w:tr2bl w:val="nil"/>
                  </w:tcBorders>
                  <w:shd w:val="clear" w:color="auto" w:fill="auto"/>
                  <w:noWrap w:val="0"/>
                  <w:vAlign w:val="center"/>
                </w:tcPr>
                <w:p w14:paraId="5ADCEEB8">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23</w:t>
                  </w:r>
                </w:p>
              </w:tc>
              <w:tc>
                <w:tcPr>
                  <w:tcW w:w="487" w:type="pct"/>
                  <w:tcBorders>
                    <w:tl2br w:val="nil"/>
                    <w:tr2bl w:val="nil"/>
                  </w:tcBorders>
                  <w:shd w:val="clear" w:color="auto" w:fill="auto"/>
                  <w:noWrap w:val="0"/>
                  <w:vAlign w:val="center"/>
                </w:tcPr>
                <w:p w14:paraId="7D73F21F">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15.3</w:t>
                  </w:r>
                </w:p>
              </w:tc>
              <w:tc>
                <w:tcPr>
                  <w:tcW w:w="274" w:type="pct"/>
                  <w:tcBorders>
                    <w:tl2br w:val="nil"/>
                    <w:tr2bl w:val="nil"/>
                  </w:tcBorders>
                  <w:noWrap w:val="0"/>
                  <w:vAlign w:val="center"/>
                </w:tcPr>
                <w:p w14:paraId="3001E2D5">
                  <w:pPr>
                    <w:widowControl/>
                    <w:spacing w:line="240" w:lineRule="auto"/>
                    <w:ind w:firstLine="0" w:firstLineChars="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kern w:val="0"/>
                      <w:sz w:val="21"/>
                      <w:szCs w:val="21"/>
                      <w:highlight w:val="none"/>
                      <w:lang w:val="en-US" w:eastAsia="zh-CN"/>
                    </w:rPr>
                    <w:t>80%</w:t>
                  </w:r>
                </w:p>
              </w:tc>
              <w:tc>
                <w:tcPr>
                  <w:tcW w:w="291" w:type="pct"/>
                  <w:tcBorders>
                    <w:tl2br w:val="nil"/>
                    <w:tr2bl w:val="nil"/>
                  </w:tcBorders>
                  <w:noWrap w:val="0"/>
                  <w:vAlign w:val="center"/>
                </w:tcPr>
                <w:p w14:paraId="7D16FDB6">
                  <w:pPr>
                    <w:widowControl/>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4</w:t>
                  </w:r>
                  <w:r>
                    <w:rPr>
                      <w:rFonts w:hint="eastAsia" w:eastAsia="宋体" w:cs="Times New Roman"/>
                      <w:color w:val="auto"/>
                      <w:sz w:val="21"/>
                      <w:szCs w:val="21"/>
                      <w:highlight w:val="none"/>
                      <w:lang w:val="en-US" w:eastAsia="zh-CN"/>
                    </w:rPr>
                    <w:t>0%</w:t>
                  </w:r>
                </w:p>
              </w:tc>
              <w:tc>
                <w:tcPr>
                  <w:tcW w:w="277" w:type="pct"/>
                  <w:tcBorders>
                    <w:tl2br w:val="nil"/>
                    <w:tr2bl w:val="nil"/>
                  </w:tcBorders>
                  <w:noWrap w:val="0"/>
                  <w:vAlign w:val="center"/>
                </w:tcPr>
                <w:p w14:paraId="5033B33F">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3.98</w:t>
                  </w:r>
                </w:p>
              </w:tc>
              <w:tc>
                <w:tcPr>
                  <w:tcW w:w="392" w:type="pct"/>
                  <w:tcBorders>
                    <w:tl2br w:val="nil"/>
                    <w:tr2bl w:val="nil"/>
                  </w:tcBorders>
                  <w:noWrap w:val="0"/>
                  <w:vAlign w:val="center"/>
                </w:tcPr>
                <w:p w14:paraId="0F85740F">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120</w:t>
                  </w:r>
                </w:p>
              </w:tc>
            </w:tr>
            <w:tr w14:paraId="13D792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39" w:type="pct"/>
                  <w:vMerge w:val="continue"/>
                  <w:tcBorders>
                    <w:tl2br w:val="nil"/>
                    <w:tr2bl w:val="nil"/>
                  </w:tcBorders>
                  <w:noWrap w:val="0"/>
                  <w:vAlign w:val="center"/>
                </w:tcPr>
                <w:p w14:paraId="74DC720E">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rPr>
                  </w:pPr>
                </w:p>
              </w:tc>
              <w:tc>
                <w:tcPr>
                  <w:tcW w:w="321" w:type="pct"/>
                  <w:tcBorders>
                    <w:tl2br w:val="nil"/>
                    <w:tr2bl w:val="nil"/>
                  </w:tcBorders>
                  <w:noWrap w:val="0"/>
                  <w:vAlign w:val="center"/>
                </w:tcPr>
                <w:p w14:paraId="3A9A6B53">
                  <w:pPr>
                    <w:widowControl/>
                    <w:spacing w:line="240" w:lineRule="auto"/>
                    <w:ind w:firstLine="0" w:firstLineChars="0"/>
                    <w:jc w:val="center"/>
                    <w:rPr>
                      <w:rFonts w:hint="eastAsia"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rPr>
                    <w:t>非甲烷总烃</w:t>
                  </w:r>
                </w:p>
              </w:tc>
              <w:tc>
                <w:tcPr>
                  <w:tcW w:w="292" w:type="pct"/>
                  <w:vMerge w:val="continue"/>
                  <w:tcBorders>
                    <w:tl2br w:val="nil"/>
                    <w:tr2bl w:val="nil"/>
                  </w:tcBorders>
                  <w:noWrap w:val="0"/>
                  <w:vAlign w:val="center"/>
                </w:tcPr>
                <w:p w14:paraId="1BDBAC8A">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297" w:type="pct"/>
                  <w:vMerge w:val="continue"/>
                  <w:tcBorders>
                    <w:tl2br w:val="nil"/>
                    <w:tr2bl w:val="nil"/>
                  </w:tcBorders>
                  <w:noWrap w:val="0"/>
                  <w:vAlign w:val="center"/>
                </w:tcPr>
                <w:p w14:paraId="5855AF1D">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rPr>
                  </w:pPr>
                </w:p>
              </w:tc>
              <w:tc>
                <w:tcPr>
                  <w:tcW w:w="343" w:type="pct"/>
                  <w:tcBorders>
                    <w:tl2br w:val="nil"/>
                    <w:tr2bl w:val="nil"/>
                  </w:tcBorders>
                  <w:shd w:val="clear" w:color="auto" w:fill="auto"/>
                  <w:noWrap w:val="0"/>
                  <w:vAlign w:val="center"/>
                </w:tcPr>
                <w:p w14:paraId="621CC1E9">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0.03</w:t>
                  </w:r>
                </w:p>
              </w:tc>
              <w:tc>
                <w:tcPr>
                  <w:tcW w:w="409" w:type="pct"/>
                  <w:tcBorders>
                    <w:tl2br w:val="nil"/>
                    <w:tr2bl w:val="nil"/>
                  </w:tcBorders>
                  <w:shd w:val="clear" w:color="auto" w:fill="auto"/>
                  <w:noWrap w:val="0"/>
                  <w:vAlign w:val="center"/>
                </w:tcPr>
                <w:p w14:paraId="7AC49F9A">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0.03</w:t>
                  </w:r>
                </w:p>
              </w:tc>
              <w:tc>
                <w:tcPr>
                  <w:tcW w:w="167" w:type="pct"/>
                  <w:vMerge w:val="continue"/>
                  <w:tcBorders>
                    <w:tl2br w:val="nil"/>
                    <w:tr2bl w:val="nil"/>
                  </w:tcBorders>
                  <w:noWrap w:val="0"/>
                  <w:vAlign w:val="center"/>
                </w:tcPr>
                <w:p w14:paraId="32074B6C">
                  <w:pPr>
                    <w:widowControl/>
                    <w:spacing w:line="240" w:lineRule="auto"/>
                    <w:ind w:firstLine="0" w:firstLineChars="0"/>
                    <w:jc w:val="center"/>
                    <w:rPr>
                      <w:rFonts w:hint="eastAsia" w:ascii="Times New Roman" w:hAnsi="Times New Roman" w:cs="Times New Roman"/>
                      <w:color w:val="auto"/>
                      <w:kern w:val="0"/>
                      <w:sz w:val="21"/>
                      <w:szCs w:val="21"/>
                      <w:highlight w:val="none"/>
                      <w:lang w:val="en-US" w:eastAsia="zh-CN"/>
                    </w:rPr>
                  </w:pPr>
                </w:p>
              </w:tc>
              <w:tc>
                <w:tcPr>
                  <w:tcW w:w="344" w:type="pct"/>
                  <w:vMerge w:val="continue"/>
                  <w:tcBorders>
                    <w:tl2br w:val="nil"/>
                    <w:tr2bl w:val="nil"/>
                  </w:tcBorders>
                  <w:shd w:val="clear" w:color="auto" w:fill="auto"/>
                  <w:noWrap w:val="0"/>
                  <w:vAlign w:val="center"/>
                </w:tcPr>
                <w:p w14:paraId="55B7AA01">
                  <w:pPr>
                    <w:widowControl/>
                    <w:spacing w:line="240" w:lineRule="auto"/>
                    <w:ind w:firstLine="0" w:firstLineChars="0"/>
                    <w:jc w:val="center"/>
                    <w:rPr>
                      <w:rFonts w:hint="eastAsia" w:ascii="Times New Roman" w:hAnsi="Times New Roman" w:eastAsia="宋体" w:cs="Times New Roman"/>
                      <w:bCs/>
                      <w:color w:val="auto"/>
                      <w:spacing w:val="-10"/>
                      <w:kern w:val="2"/>
                      <w:sz w:val="21"/>
                      <w:szCs w:val="21"/>
                      <w:lang w:val="en-US" w:eastAsia="zh-CN" w:bidi="ar-SA"/>
                    </w:rPr>
                  </w:pPr>
                </w:p>
              </w:tc>
              <w:tc>
                <w:tcPr>
                  <w:tcW w:w="353" w:type="pct"/>
                  <w:tcBorders>
                    <w:tl2br w:val="nil"/>
                    <w:tr2bl w:val="nil"/>
                  </w:tcBorders>
                  <w:shd w:val="clear" w:color="auto" w:fill="auto"/>
                  <w:noWrap w:val="0"/>
                  <w:vAlign w:val="center"/>
                </w:tcPr>
                <w:p w14:paraId="0AD51127">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0.024</w:t>
                  </w:r>
                </w:p>
              </w:tc>
              <w:tc>
                <w:tcPr>
                  <w:tcW w:w="408" w:type="pct"/>
                  <w:tcBorders>
                    <w:tl2br w:val="nil"/>
                    <w:tr2bl w:val="nil"/>
                  </w:tcBorders>
                  <w:shd w:val="clear" w:color="auto" w:fill="auto"/>
                  <w:noWrap w:val="0"/>
                  <w:vAlign w:val="center"/>
                </w:tcPr>
                <w:p w14:paraId="3EAC2983">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0.02</w:t>
                  </w:r>
                </w:p>
              </w:tc>
              <w:tc>
                <w:tcPr>
                  <w:tcW w:w="487" w:type="pct"/>
                  <w:tcBorders>
                    <w:tl2br w:val="nil"/>
                    <w:tr2bl w:val="nil"/>
                  </w:tcBorders>
                  <w:shd w:val="clear" w:color="auto" w:fill="auto"/>
                  <w:noWrap w:val="0"/>
                  <w:vAlign w:val="center"/>
                </w:tcPr>
                <w:p w14:paraId="1BC6189F">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1.3</w:t>
                  </w:r>
                </w:p>
              </w:tc>
              <w:tc>
                <w:tcPr>
                  <w:tcW w:w="274" w:type="pct"/>
                  <w:tcBorders>
                    <w:tl2br w:val="nil"/>
                    <w:tr2bl w:val="nil"/>
                  </w:tcBorders>
                  <w:noWrap w:val="0"/>
                  <w:vAlign w:val="center"/>
                </w:tcPr>
                <w:p w14:paraId="06CD9514">
                  <w:pPr>
                    <w:widowControl/>
                    <w:spacing w:line="240" w:lineRule="auto"/>
                    <w:ind w:firstLine="0" w:firstLineChars="0"/>
                    <w:jc w:val="center"/>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80%</w:t>
                  </w:r>
                </w:p>
              </w:tc>
              <w:tc>
                <w:tcPr>
                  <w:tcW w:w="291" w:type="pct"/>
                  <w:tcBorders>
                    <w:tl2br w:val="nil"/>
                    <w:tr2bl w:val="nil"/>
                  </w:tcBorders>
                  <w:noWrap w:val="0"/>
                  <w:vAlign w:val="center"/>
                </w:tcPr>
                <w:p w14:paraId="1F3AD872">
                  <w:pPr>
                    <w:widowControl/>
                    <w:spacing w:line="240" w:lineRule="auto"/>
                    <w:ind w:firstLine="0" w:firstLineChars="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20%</w:t>
                  </w:r>
                </w:p>
              </w:tc>
              <w:tc>
                <w:tcPr>
                  <w:tcW w:w="277" w:type="pct"/>
                  <w:tcBorders>
                    <w:tl2br w:val="nil"/>
                    <w:tr2bl w:val="nil"/>
                  </w:tcBorders>
                  <w:noWrap w:val="0"/>
                  <w:vAlign w:val="center"/>
                </w:tcPr>
                <w:p w14:paraId="5A20239E">
                  <w:pPr>
                    <w:widowControl/>
                    <w:spacing w:line="240" w:lineRule="auto"/>
                    <w:ind w:firstLine="0" w:firstLineChars="0"/>
                    <w:jc w:val="center"/>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w:t>
                  </w:r>
                </w:p>
              </w:tc>
              <w:tc>
                <w:tcPr>
                  <w:tcW w:w="392" w:type="pct"/>
                  <w:tcBorders>
                    <w:tl2br w:val="nil"/>
                    <w:tr2bl w:val="nil"/>
                  </w:tcBorders>
                  <w:noWrap w:val="0"/>
                  <w:vAlign w:val="center"/>
                </w:tcPr>
                <w:p w14:paraId="1A626A47">
                  <w:pPr>
                    <w:widowControl/>
                    <w:spacing w:line="240" w:lineRule="auto"/>
                    <w:ind w:firstLine="0" w:firstLineChars="0"/>
                    <w:jc w:val="center"/>
                    <w:rPr>
                      <w:rFonts w:hint="default" w:ascii="Times New Roman" w:hAnsi="Times New Roman"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50</w:t>
                  </w:r>
                </w:p>
              </w:tc>
            </w:tr>
            <w:tr w14:paraId="56DA55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Merge w:val="continue"/>
                  <w:tcBorders>
                    <w:tl2br w:val="nil"/>
                    <w:tr2bl w:val="nil"/>
                  </w:tcBorders>
                  <w:noWrap w:val="0"/>
                  <w:vAlign w:val="center"/>
                </w:tcPr>
                <w:p w14:paraId="24B4716A">
                  <w:pPr>
                    <w:widowControl/>
                    <w:spacing w:line="240" w:lineRule="auto"/>
                    <w:ind w:firstLine="0" w:firstLineChars="0"/>
                    <w:jc w:val="center"/>
                    <w:rPr>
                      <w:rFonts w:hint="eastAsia"/>
                      <w:color w:val="auto"/>
                    </w:rPr>
                  </w:pPr>
                </w:p>
              </w:tc>
              <w:tc>
                <w:tcPr>
                  <w:tcW w:w="321" w:type="pct"/>
                  <w:tcBorders>
                    <w:tl2br w:val="nil"/>
                    <w:tr2bl w:val="nil"/>
                  </w:tcBorders>
                  <w:shd w:val="clear" w:color="auto" w:fill="auto"/>
                  <w:noWrap w:val="0"/>
                  <w:vAlign w:val="center"/>
                </w:tcPr>
                <w:p w14:paraId="217065CE">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rPr>
                    <w:t>颗粒物</w:t>
                  </w:r>
                </w:p>
              </w:tc>
              <w:tc>
                <w:tcPr>
                  <w:tcW w:w="292" w:type="pct"/>
                  <w:vMerge w:val="continue"/>
                  <w:tcBorders>
                    <w:tl2br w:val="nil"/>
                    <w:tr2bl w:val="nil"/>
                  </w:tcBorders>
                  <w:noWrap w:val="0"/>
                  <w:vAlign w:val="center"/>
                </w:tcPr>
                <w:p w14:paraId="05881E27">
                  <w:pPr>
                    <w:widowControl/>
                    <w:spacing w:line="240" w:lineRule="auto"/>
                    <w:ind w:firstLine="0" w:firstLineChars="0"/>
                    <w:jc w:val="center"/>
                    <w:rPr>
                      <w:rFonts w:hint="default" w:cs="Times New Roman"/>
                      <w:color w:val="auto"/>
                      <w:kern w:val="0"/>
                      <w:sz w:val="21"/>
                      <w:szCs w:val="21"/>
                      <w:highlight w:val="none"/>
                      <w:lang w:val="en-US" w:eastAsia="zh-CN"/>
                    </w:rPr>
                  </w:pPr>
                </w:p>
              </w:tc>
              <w:tc>
                <w:tcPr>
                  <w:tcW w:w="297" w:type="pct"/>
                  <w:vMerge w:val="continue"/>
                  <w:tcBorders>
                    <w:tl2br w:val="nil"/>
                    <w:tr2bl w:val="nil"/>
                  </w:tcBorders>
                  <w:noWrap w:val="0"/>
                  <w:vAlign w:val="center"/>
                </w:tcPr>
                <w:p w14:paraId="67C09E11">
                  <w:pPr>
                    <w:widowControl/>
                    <w:spacing w:line="240" w:lineRule="auto"/>
                    <w:ind w:firstLine="0" w:firstLineChars="0"/>
                    <w:jc w:val="center"/>
                    <w:rPr>
                      <w:rFonts w:hint="default" w:cs="Times New Roman"/>
                      <w:color w:val="auto"/>
                      <w:kern w:val="0"/>
                      <w:sz w:val="21"/>
                      <w:szCs w:val="21"/>
                      <w:highlight w:val="none"/>
                      <w:lang w:val="en-US" w:eastAsia="zh-CN"/>
                    </w:rPr>
                  </w:pPr>
                </w:p>
              </w:tc>
              <w:tc>
                <w:tcPr>
                  <w:tcW w:w="343" w:type="pct"/>
                  <w:tcBorders>
                    <w:tl2br w:val="nil"/>
                    <w:tr2bl w:val="nil"/>
                  </w:tcBorders>
                  <w:shd w:val="clear" w:color="auto" w:fill="auto"/>
                  <w:noWrap w:val="0"/>
                  <w:vAlign w:val="center"/>
                </w:tcPr>
                <w:p w14:paraId="5CC1D3CA">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0.114</w:t>
                  </w:r>
                </w:p>
              </w:tc>
              <w:tc>
                <w:tcPr>
                  <w:tcW w:w="409" w:type="pct"/>
                  <w:tcBorders>
                    <w:tl2br w:val="nil"/>
                    <w:tr2bl w:val="nil"/>
                  </w:tcBorders>
                  <w:shd w:val="clear" w:color="auto" w:fill="auto"/>
                  <w:noWrap w:val="0"/>
                  <w:vAlign w:val="center"/>
                </w:tcPr>
                <w:p w14:paraId="5ABD3659">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167" w:type="pct"/>
                  <w:vMerge w:val="restart"/>
                  <w:tcBorders>
                    <w:tl2br w:val="nil"/>
                    <w:tr2bl w:val="nil"/>
                  </w:tcBorders>
                  <w:noWrap w:val="0"/>
                  <w:vAlign w:val="center"/>
                </w:tcPr>
                <w:p w14:paraId="55FA584E">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无组织</w:t>
                  </w:r>
                </w:p>
              </w:tc>
              <w:tc>
                <w:tcPr>
                  <w:tcW w:w="344" w:type="pct"/>
                  <w:tcBorders>
                    <w:tl2br w:val="nil"/>
                    <w:tr2bl w:val="nil"/>
                  </w:tcBorders>
                  <w:noWrap w:val="0"/>
                  <w:vAlign w:val="center"/>
                </w:tcPr>
                <w:p w14:paraId="0A0D37E3">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w:t>
                  </w:r>
                </w:p>
              </w:tc>
              <w:tc>
                <w:tcPr>
                  <w:tcW w:w="353" w:type="pct"/>
                  <w:tcBorders>
                    <w:tl2br w:val="nil"/>
                    <w:tr2bl w:val="nil"/>
                  </w:tcBorders>
                  <w:shd w:val="clear" w:color="auto" w:fill="auto"/>
                  <w:noWrap w:val="0"/>
                  <w:vAlign w:val="center"/>
                </w:tcPr>
                <w:p w14:paraId="03E6E4FA">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0.114</w:t>
                  </w:r>
                </w:p>
              </w:tc>
              <w:tc>
                <w:tcPr>
                  <w:tcW w:w="408" w:type="pct"/>
                  <w:tcBorders>
                    <w:tl2br w:val="nil"/>
                    <w:tr2bl w:val="nil"/>
                  </w:tcBorders>
                  <w:shd w:val="clear" w:color="auto" w:fill="auto"/>
                  <w:noWrap w:val="0"/>
                  <w:vAlign w:val="center"/>
                </w:tcPr>
                <w:p w14:paraId="6ED98902">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487" w:type="pct"/>
                  <w:tcBorders>
                    <w:tl2br w:val="nil"/>
                    <w:tr2bl w:val="nil"/>
                  </w:tcBorders>
                  <w:shd w:val="clear" w:color="auto" w:fill="auto"/>
                  <w:noWrap w:val="0"/>
                  <w:vAlign w:val="center"/>
                </w:tcPr>
                <w:p w14:paraId="36542F15">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274" w:type="pct"/>
                  <w:tcBorders>
                    <w:tl2br w:val="nil"/>
                    <w:tr2bl w:val="nil"/>
                  </w:tcBorders>
                  <w:noWrap w:val="0"/>
                  <w:vAlign w:val="center"/>
                </w:tcPr>
                <w:p w14:paraId="5C3C2C49">
                  <w:pPr>
                    <w:widowControl/>
                    <w:spacing w:line="240" w:lineRule="auto"/>
                    <w:ind w:firstLine="0" w:firstLineChars="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291" w:type="pct"/>
                  <w:tcBorders>
                    <w:tl2br w:val="nil"/>
                    <w:tr2bl w:val="nil"/>
                  </w:tcBorders>
                  <w:noWrap w:val="0"/>
                  <w:vAlign w:val="center"/>
                </w:tcPr>
                <w:p w14:paraId="31BA3867">
                  <w:pPr>
                    <w:widowControl/>
                    <w:spacing w:line="240" w:lineRule="auto"/>
                    <w:ind w:firstLine="0" w:firstLineChars="0"/>
                    <w:jc w:val="center"/>
                    <w:rPr>
                      <w:rFonts w:hint="default"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w:t>
                  </w:r>
                </w:p>
              </w:tc>
              <w:tc>
                <w:tcPr>
                  <w:tcW w:w="277" w:type="pct"/>
                  <w:tcBorders>
                    <w:tl2br w:val="nil"/>
                    <w:tr2bl w:val="nil"/>
                  </w:tcBorders>
                  <w:noWrap w:val="0"/>
                  <w:vAlign w:val="center"/>
                </w:tcPr>
                <w:p w14:paraId="06FB27FD">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w:t>
                  </w:r>
                </w:p>
              </w:tc>
              <w:tc>
                <w:tcPr>
                  <w:tcW w:w="392" w:type="pct"/>
                  <w:tcBorders>
                    <w:tl2br w:val="nil"/>
                    <w:tr2bl w:val="nil"/>
                  </w:tcBorders>
                  <w:noWrap w:val="0"/>
                  <w:vAlign w:val="center"/>
                </w:tcPr>
                <w:p w14:paraId="45B274CD">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1.0</w:t>
                  </w:r>
                </w:p>
              </w:tc>
            </w:tr>
            <w:tr w14:paraId="525FEE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39" w:type="pct"/>
                  <w:vMerge w:val="continue"/>
                  <w:tcBorders>
                    <w:tl2br w:val="nil"/>
                    <w:tr2bl w:val="nil"/>
                  </w:tcBorders>
                  <w:noWrap w:val="0"/>
                  <w:vAlign w:val="center"/>
                </w:tcPr>
                <w:p w14:paraId="18F5ECFA">
                  <w:pPr>
                    <w:widowControl/>
                    <w:spacing w:line="240" w:lineRule="auto"/>
                    <w:ind w:firstLine="0" w:firstLineChars="0"/>
                    <w:jc w:val="center"/>
                    <w:rPr>
                      <w:rFonts w:hint="eastAsia"/>
                      <w:color w:val="auto"/>
                    </w:rPr>
                  </w:pPr>
                </w:p>
              </w:tc>
              <w:tc>
                <w:tcPr>
                  <w:tcW w:w="321" w:type="pct"/>
                  <w:tcBorders>
                    <w:tl2br w:val="nil"/>
                    <w:tr2bl w:val="nil"/>
                  </w:tcBorders>
                  <w:shd w:val="clear" w:color="auto" w:fill="auto"/>
                  <w:noWrap w:val="0"/>
                  <w:vAlign w:val="center"/>
                </w:tcPr>
                <w:p w14:paraId="17778492">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rPr>
                    <w:t>非甲烷总烃</w:t>
                  </w:r>
                </w:p>
              </w:tc>
              <w:tc>
                <w:tcPr>
                  <w:tcW w:w="292" w:type="pct"/>
                  <w:vMerge w:val="continue"/>
                  <w:tcBorders>
                    <w:tl2br w:val="nil"/>
                    <w:tr2bl w:val="nil"/>
                  </w:tcBorders>
                  <w:noWrap w:val="0"/>
                  <w:vAlign w:val="center"/>
                </w:tcPr>
                <w:p w14:paraId="775C475C">
                  <w:pPr>
                    <w:widowControl/>
                    <w:spacing w:line="240" w:lineRule="auto"/>
                    <w:ind w:firstLine="0" w:firstLineChars="0"/>
                    <w:jc w:val="center"/>
                    <w:rPr>
                      <w:rFonts w:hint="default" w:cs="Times New Roman"/>
                      <w:color w:val="auto"/>
                      <w:kern w:val="0"/>
                      <w:sz w:val="21"/>
                      <w:szCs w:val="21"/>
                      <w:highlight w:val="none"/>
                      <w:lang w:val="en-US" w:eastAsia="zh-CN"/>
                    </w:rPr>
                  </w:pPr>
                </w:p>
              </w:tc>
              <w:tc>
                <w:tcPr>
                  <w:tcW w:w="297" w:type="pct"/>
                  <w:vMerge w:val="continue"/>
                  <w:tcBorders>
                    <w:tl2br w:val="nil"/>
                    <w:tr2bl w:val="nil"/>
                  </w:tcBorders>
                  <w:noWrap w:val="0"/>
                  <w:vAlign w:val="center"/>
                </w:tcPr>
                <w:p w14:paraId="4026B28A">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43" w:type="pct"/>
                  <w:tcBorders>
                    <w:tl2br w:val="nil"/>
                    <w:tr2bl w:val="nil"/>
                  </w:tcBorders>
                  <w:shd w:val="clear" w:color="auto" w:fill="auto"/>
                  <w:noWrap w:val="0"/>
                  <w:vAlign w:val="center"/>
                </w:tcPr>
                <w:p w14:paraId="16C5582B">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0.007</w:t>
                  </w:r>
                </w:p>
              </w:tc>
              <w:tc>
                <w:tcPr>
                  <w:tcW w:w="409" w:type="pct"/>
                  <w:tcBorders>
                    <w:tl2br w:val="nil"/>
                    <w:tr2bl w:val="nil"/>
                  </w:tcBorders>
                  <w:shd w:val="clear" w:color="auto" w:fill="auto"/>
                  <w:noWrap w:val="0"/>
                  <w:vAlign w:val="center"/>
                </w:tcPr>
                <w:p w14:paraId="2631CA09">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167" w:type="pct"/>
                  <w:vMerge w:val="continue"/>
                  <w:tcBorders>
                    <w:tl2br w:val="nil"/>
                    <w:tr2bl w:val="nil"/>
                  </w:tcBorders>
                  <w:noWrap w:val="0"/>
                  <w:vAlign w:val="center"/>
                </w:tcPr>
                <w:p w14:paraId="29DD275D">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344" w:type="pct"/>
                  <w:tcBorders>
                    <w:tl2br w:val="nil"/>
                    <w:tr2bl w:val="nil"/>
                  </w:tcBorders>
                  <w:noWrap w:val="0"/>
                  <w:vAlign w:val="center"/>
                </w:tcPr>
                <w:p w14:paraId="465DACCC">
                  <w:pPr>
                    <w:widowControl/>
                    <w:spacing w:line="240" w:lineRule="auto"/>
                    <w:ind w:firstLine="0" w:firstLineChars="0"/>
                    <w:jc w:val="center"/>
                    <w:rPr>
                      <w:rFonts w:hint="default" w:ascii="Times New Roman" w:hAnsi="Times New Roman"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w:t>
                  </w:r>
                </w:p>
              </w:tc>
              <w:tc>
                <w:tcPr>
                  <w:tcW w:w="353" w:type="pct"/>
                  <w:tcBorders>
                    <w:tl2br w:val="nil"/>
                    <w:tr2bl w:val="nil"/>
                  </w:tcBorders>
                  <w:shd w:val="clear" w:color="auto" w:fill="auto"/>
                  <w:noWrap w:val="0"/>
                  <w:vAlign w:val="center"/>
                </w:tcPr>
                <w:p w14:paraId="3696F4FA">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0.007</w:t>
                  </w:r>
                </w:p>
              </w:tc>
              <w:tc>
                <w:tcPr>
                  <w:tcW w:w="408" w:type="pct"/>
                  <w:tcBorders>
                    <w:tl2br w:val="nil"/>
                    <w:tr2bl w:val="nil"/>
                  </w:tcBorders>
                  <w:shd w:val="clear" w:color="auto" w:fill="auto"/>
                  <w:noWrap w:val="0"/>
                  <w:vAlign w:val="center"/>
                </w:tcPr>
                <w:p w14:paraId="0F24F2C0">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487" w:type="pct"/>
                  <w:tcBorders>
                    <w:tl2br w:val="nil"/>
                    <w:tr2bl w:val="nil"/>
                  </w:tcBorders>
                  <w:shd w:val="clear" w:color="auto" w:fill="auto"/>
                  <w:noWrap w:val="0"/>
                  <w:vAlign w:val="center"/>
                </w:tcPr>
                <w:p w14:paraId="7104E038">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274" w:type="pct"/>
                  <w:tcBorders>
                    <w:tl2br w:val="nil"/>
                    <w:tr2bl w:val="nil"/>
                  </w:tcBorders>
                  <w:noWrap w:val="0"/>
                  <w:vAlign w:val="center"/>
                </w:tcPr>
                <w:p w14:paraId="457544A1">
                  <w:pPr>
                    <w:widowControl/>
                    <w:spacing w:line="240" w:lineRule="auto"/>
                    <w:ind w:firstLine="0" w:firstLineChars="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291" w:type="pct"/>
                  <w:tcBorders>
                    <w:tl2br w:val="nil"/>
                    <w:tr2bl w:val="nil"/>
                  </w:tcBorders>
                  <w:noWrap w:val="0"/>
                  <w:vAlign w:val="center"/>
                </w:tcPr>
                <w:p w14:paraId="0C721D4B">
                  <w:pPr>
                    <w:widowControl/>
                    <w:spacing w:line="240" w:lineRule="auto"/>
                    <w:ind w:firstLine="0" w:firstLineChars="0"/>
                    <w:jc w:val="center"/>
                    <w:rPr>
                      <w:rFonts w:hint="default"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277" w:type="pct"/>
                  <w:tcBorders>
                    <w:tl2br w:val="nil"/>
                    <w:tr2bl w:val="nil"/>
                  </w:tcBorders>
                  <w:noWrap w:val="0"/>
                  <w:vAlign w:val="center"/>
                </w:tcPr>
                <w:p w14:paraId="022F11EF">
                  <w:pPr>
                    <w:widowControl/>
                    <w:spacing w:line="240" w:lineRule="auto"/>
                    <w:ind w:firstLine="0" w:firstLineChars="0"/>
                    <w:jc w:val="center"/>
                    <w:rPr>
                      <w:rFonts w:hint="default" w:ascii="Times New Roman" w:hAnsi="Times New Roman"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w:t>
                  </w:r>
                </w:p>
              </w:tc>
              <w:tc>
                <w:tcPr>
                  <w:tcW w:w="392" w:type="pct"/>
                  <w:tcBorders>
                    <w:tl2br w:val="nil"/>
                    <w:tr2bl w:val="nil"/>
                  </w:tcBorders>
                  <w:noWrap w:val="0"/>
                  <w:vAlign w:val="center"/>
                </w:tcPr>
                <w:p w14:paraId="715A8856">
                  <w:pPr>
                    <w:widowControl/>
                    <w:spacing w:line="240" w:lineRule="auto"/>
                    <w:ind w:firstLine="0" w:firstLineChars="0"/>
                    <w:jc w:val="center"/>
                    <w:rPr>
                      <w:rFonts w:hint="default" w:ascii="Times New Roman" w:hAnsi="Times New Roman"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3.0</w:t>
                  </w:r>
                </w:p>
              </w:tc>
            </w:tr>
            <w:tr w14:paraId="25BE7C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Merge w:val="restart"/>
                  <w:tcBorders>
                    <w:tl2br w:val="nil"/>
                    <w:tr2bl w:val="nil"/>
                  </w:tcBorders>
                  <w:noWrap w:val="0"/>
                  <w:vAlign w:val="center"/>
                </w:tcPr>
                <w:p w14:paraId="55B47654">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焊接、打磨抛光（DA005）</w:t>
                  </w:r>
                </w:p>
              </w:tc>
              <w:tc>
                <w:tcPr>
                  <w:tcW w:w="321" w:type="pct"/>
                  <w:tcBorders>
                    <w:tl2br w:val="nil"/>
                    <w:tr2bl w:val="nil"/>
                  </w:tcBorders>
                  <w:noWrap w:val="0"/>
                  <w:vAlign w:val="center"/>
                </w:tcPr>
                <w:p w14:paraId="06483DD9">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颗粒物</w:t>
                  </w:r>
                </w:p>
              </w:tc>
              <w:tc>
                <w:tcPr>
                  <w:tcW w:w="292" w:type="pct"/>
                  <w:vMerge w:val="restart"/>
                  <w:tcBorders>
                    <w:tl2br w:val="nil"/>
                    <w:tr2bl w:val="nil"/>
                  </w:tcBorders>
                  <w:noWrap w:val="0"/>
                  <w:vAlign w:val="center"/>
                </w:tcPr>
                <w:p w14:paraId="7A995DAE">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w:t>
                  </w:r>
                  <w:r>
                    <w:rPr>
                      <w:rFonts w:hint="eastAsia" w:ascii="Times New Roman" w:hAnsi="Times New Roman" w:eastAsia="宋体" w:cs="Times New Roman"/>
                      <w:color w:val="auto"/>
                      <w:kern w:val="0"/>
                      <w:sz w:val="21"/>
                      <w:szCs w:val="21"/>
                      <w:highlight w:val="none"/>
                      <w:lang w:val="en-US" w:eastAsia="zh-CN"/>
                    </w:rPr>
                    <w:t>5000</w:t>
                  </w:r>
                </w:p>
              </w:tc>
              <w:tc>
                <w:tcPr>
                  <w:tcW w:w="297" w:type="pct"/>
                  <w:vMerge w:val="restart"/>
                  <w:tcBorders>
                    <w:tl2br w:val="nil"/>
                    <w:tr2bl w:val="nil"/>
                  </w:tcBorders>
                  <w:noWrap w:val="0"/>
                  <w:vAlign w:val="center"/>
                </w:tcPr>
                <w:p w14:paraId="78536C87">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1800</w:t>
                  </w:r>
                </w:p>
              </w:tc>
              <w:tc>
                <w:tcPr>
                  <w:tcW w:w="343" w:type="pct"/>
                  <w:tcBorders>
                    <w:tl2br w:val="nil"/>
                    <w:tr2bl w:val="nil"/>
                  </w:tcBorders>
                  <w:shd w:val="clear" w:color="auto" w:fill="auto"/>
                  <w:noWrap w:val="0"/>
                  <w:vAlign w:val="center"/>
                </w:tcPr>
                <w:p w14:paraId="2351ABA3">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w:t>
                  </w:r>
                  <w:r>
                    <w:rPr>
                      <w:rFonts w:hint="eastAsia" w:cs="Times New Roman"/>
                      <w:color w:val="auto"/>
                      <w:kern w:val="2"/>
                      <w:sz w:val="21"/>
                      <w:szCs w:val="21"/>
                      <w:lang w:val="en-US" w:eastAsia="zh-CN" w:bidi="ar-SA"/>
                    </w:rPr>
                    <w:t>68</w:t>
                  </w:r>
                </w:p>
              </w:tc>
              <w:tc>
                <w:tcPr>
                  <w:tcW w:w="409" w:type="pct"/>
                  <w:tcBorders>
                    <w:tl2br w:val="nil"/>
                    <w:tr2bl w:val="nil"/>
                  </w:tcBorders>
                  <w:shd w:val="clear" w:color="auto" w:fill="auto"/>
                  <w:noWrap w:val="0"/>
                  <w:vAlign w:val="center"/>
                </w:tcPr>
                <w:p w14:paraId="59CF4022">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38</w:t>
                  </w:r>
                </w:p>
              </w:tc>
              <w:tc>
                <w:tcPr>
                  <w:tcW w:w="167" w:type="pct"/>
                  <w:vMerge w:val="restart"/>
                  <w:tcBorders>
                    <w:tl2br w:val="nil"/>
                    <w:tr2bl w:val="nil"/>
                  </w:tcBorders>
                  <w:noWrap w:val="0"/>
                  <w:vAlign w:val="center"/>
                </w:tcPr>
                <w:p w14:paraId="6082F934">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有组织</w:t>
                  </w:r>
                </w:p>
              </w:tc>
              <w:tc>
                <w:tcPr>
                  <w:tcW w:w="344" w:type="pct"/>
                  <w:vMerge w:val="restart"/>
                  <w:tcBorders>
                    <w:tl2br w:val="nil"/>
                    <w:tr2bl w:val="nil"/>
                  </w:tcBorders>
                  <w:shd w:val="clear" w:color="auto" w:fill="auto"/>
                  <w:noWrap w:val="0"/>
                  <w:vAlign w:val="center"/>
                </w:tcPr>
                <w:p w14:paraId="3EDC0872">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过滤棉</w:t>
                  </w:r>
                  <w:r>
                    <w:rPr>
                      <w:rFonts w:hint="eastAsia" w:cs="Times New Roman"/>
                      <w:color w:val="auto"/>
                      <w:kern w:val="0"/>
                      <w:sz w:val="21"/>
                      <w:szCs w:val="21"/>
                      <w:highlight w:val="none"/>
                      <w:lang w:val="en-US" w:eastAsia="zh-CN"/>
                    </w:rPr>
                    <w:t>+</w:t>
                  </w:r>
                  <w:r>
                    <w:rPr>
                      <w:rFonts w:hint="eastAsia"/>
                      <w:bCs/>
                      <w:color w:val="auto"/>
                      <w:spacing w:val="-10"/>
                      <w:szCs w:val="21"/>
                    </w:rPr>
                    <w:t>活性炭吸附</w:t>
                  </w:r>
                </w:p>
              </w:tc>
              <w:tc>
                <w:tcPr>
                  <w:tcW w:w="353" w:type="pct"/>
                  <w:tcBorders>
                    <w:tl2br w:val="nil"/>
                    <w:tr2bl w:val="nil"/>
                  </w:tcBorders>
                  <w:shd w:val="clear" w:color="auto" w:fill="auto"/>
                  <w:noWrap w:val="0"/>
                  <w:vAlign w:val="center"/>
                </w:tcPr>
                <w:p w14:paraId="3FCEA2E5">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0.4</w:t>
                  </w:r>
                  <w:r>
                    <w:rPr>
                      <w:rFonts w:hint="eastAsia" w:cs="Times New Roman"/>
                      <w:color w:val="auto"/>
                      <w:szCs w:val="21"/>
                      <w:lang w:val="en-US" w:eastAsia="zh-CN"/>
                    </w:rPr>
                    <w:t>08</w:t>
                  </w:r>
                </w:p>
              </w:tc>
              <w:tc>
                <w:tcPr>
                  <w:tcW w:w="408" w:type="pct"/>
                  <w:tcBorders>
                    <w:tl2br w:val="nil"/>
                    <w:tr2bl w:val="nil"/>
                  </w:tcBorders>
                  <w:shd w:val="clear" w:color="auto" w:fill="auto"/>
                  <w:noWrap w:val="0"/>
                  <w:vAlign w:val="center"/>
                </w:tcPr>
                <w:p w14:paraId="33AC6DBF">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0.2</w:t>
                  </w:r>
                  <w:r>
                    <w:rPr>
                      <w:rFonts w:hint="eastAsia" w:cs="Times New Roman"/>
                      <w:color w:val="auto"/>
                      <w:szCs w:val="21"/>
                      <w:lang w:val="en-US" w:eastAsia="zh-CN"/>
                    </w:rPr>
                    <w:t>3</w:t>
                  </w:r>
                </w:p>
              </w:tc>
              <w:tc>
                <w:tcPr>
                  <w:tcW w:w="487" w:type="pct"/>
                  <w:tcBorders>
                    <w:tl2br w:val="nil"/>
                    <w:tr2bl w:val="nil"/>
                  </w:tcBorders>
                  <w:shd w:val="clear" w:color="auto" w:fill="auto"/>
                  <w:noWrap w:val="0"/>
                  <w:vAlign w:val="center"/>
                </w:tcPr>
                <w:p w14:paraId="4B7DD19A">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15.3</w:t>
                  </w:r>
                </w:p>
              </w:tc>
              <w:tc>
                <w:tcPr>
                  <w:tcW w:w="274" w:type="pct"/>
                  <w:tcBorders>
                    <w:tl2br w:val="nil"/>
                    <w:tr2bl w:val="nil"/>
                  </w:tcBorders>
                  <w:shd w:val="clear" w:color="auto" w:fill="auto"/>
                  <w:noWrap w:val="0"/>
                  <w:vAlign w:val="center"/>
                </w:tcPr>
                <w:p w14:paraId="4DABA46A">
                  <w:pPr>
                    <w:widowControl/>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0"/>
                      <w:sz w:val="21"/>
                      <w:szCs w:val="21"/>
                      <w:highlight w:val="none"/>
                      <w:lang w:val="en-US" w:eastAsia="zh-CN"/>
                    </w:rPr>
                    <w:t>80%</w:t>
                  </w:r>
                </w:p>
              </w:tc>
              <w:tc>
                <w:tcPr>
                  <w:tcW w:w="291" w:type="pct"/>
                  <w:tcBorders>
                    <w:tl2br w:val="nil"/>
                    <w:tr2bl w:val="nil"/>
                  </w:tcBorders>
                  <w:shd w:val="clear" w:color="auto" w:fill="auto"/>
                  <w:noWrap w:val="0"/>
                  <w:vAlign w:val="center"/>
                </w:tcPr>
                <w:p w14:paraId="3803FE80">
                  <w:pPr>
                    <w:widowControl/>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4</w:t>
                  </w:r>
                  <w:r>
                    <w:rPr>
                      <w:rFonts w:hint="eastAsia" w:eastAsia="宋体" w:cs="Times New Roman"/>
                      <w:color w:val="auto"/>
                      <w:sz w:val="21"/>
                      <w:szCs w:val="21"/>
                      <w:highlight w:val="none"/>
                      <w:lang w:val="en-US" w:eastAsia="zh-CN"/>
                    </w:rPr>
                    <w:t>0%</w:t>
                  </w:r>
                </w:p>
              </w:tc>
              <w:tc>
                <w:tcPr>
                  <w:tcW w:w="277" w:type="pct"/>
                  <w:tcBorders>
                    <w:tl2br w:val="nil"/>
                    <w:tr2bl w:val="nil"/>
                  </w:tcBorders>
                  <w:shd w:val="clear" w:color="auto" w:fill="auto"/>
                  <w:noWrap w:val="0"/>
                  <w:vAlign w:val="center"/>
                </w:tcPr>
                <w:p w14:paraId="301C68D0">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rPr>
                    <w:t>3.98</w:t>
                  </w:r>
                </w:p>
              </w:tc>
              <w:tc>
                <w:tcPr>
                  <w:tcW w:w="392" w:type="pct"/>
                  <w:tcBorders>
                    <w:tl2br w:val="nil"/>
                    <w:tr2bl w:val="nil"/>
                  </w:tcBorders>
                  <w:shd w:val="clear" w:color="auto" w:fill="auto"/>
                  <w:noWrap w:val="0"/>
                  <w:vAlign w:val="center"/>
                </w:tcPr>
                <w:p w14:paraId="016FAF4F">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120</w:t>
                  </w:r>
                </w:p>
              </w:tc>
            </w:tr>
            <w:tr w14:paraId="07310D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39" w:type="pct"/>
                  <w:vMerge w:val="continue"/>
                  <w:tcBorders>
                    <w:tl2br w:val="nil"/>
                    <w:tr2bl w:val="nil"/>
                  </w:tcBorders>
                  <w:noWrap w:val="0"/>
                  <w:vAlign w:val="center"/>
                </w:tcPr>
                <w:p w14:paraId="65EDC237">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21" w:type="pct"/>
                  <w:tcBorders>
                    <w:tl2br w:val="nil"/>
                    <w:tr2bl w:val="nil"/>
                  </w:tcBorders>
                  <w:noWrap w:val="0"/>
                  <w:vAlign w:val="center"/>
                </w:tcPr>
                <w:p w14:paraId="45A9B583">
                  <w:pPr>
                    <w:widowControl/>
                    <w:spacing w:line="240" w:lineRule="auto"/>
                    <w:ind w:firstLine="0" w:firstLineChars="0"/>
                    <w:jc w:val="center"/>
                    <w:rPr>
                      <w:rFonts w:hint="eastAsia" w:ascii="Times New Roman" w:hAnsi="Times New Roman"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rPr>
                    <w:t>非甲烷总烃</w:t>
                  </w:r>
                </w:p>
              </w:tc>
              <w:tc>
                <w:tcPr>
                  <w:tcW w:w="292" w:type="pct"/>
                  <w:vMerge w:val="continue"/>
                  <w:tcBorders>
                    <w:tl2br w:val="nil"/>
                    <w:tr2bl w:val="nil"/>
                  </w:tcBorders>
                  <w:noWrap w:val="0"/>
                  <w:vAlign w:val="center"/>
                </w:tcPr>
                <w:p w14:paraId="51450962">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297" w:type="pct"/>
                  <w:vMerge w:val="continue"/>
                  <w:tcBorders>
                    <w:tl2br w:val="nil"/>
                    <w:tr2bl w:val="nil"/>
                  </w:tcBorders>
                  <w:noWrap w:val="0"/>
                  <w:vAlign w:val="center"/>
                </w:tcPr>
                <w:p w14:paraId="1DB0095F">
                  <w:pPr>
                    <w:widowControl/>
                    <w:spacing w:line="240" w:lineRule="auto"/>
                    <w:ind w:firstLine="0" w:firstLineChars="0"/>
                    <w:jc w:val="center"/>
                    <w:rPr>
                      <w:rFonts w:hint="default" w:cs="Times New Roman"/>
                      <w:color w:val="auto"/>
                      <w:kern w:val="0"/>
                      <w:sz w:val="21"/>
                      <w:szCs w:val="21"/>
                      <w:highlight w:val="none"/>
                      <w:lang w:val="en-US" w:eastAsia="zh-CN"/>
                    </w:rPr>
                  </w:pPr>
                </w:p>
              </w:tc>
              <w:tc>
                <w:tcPr>
                  <w:tcW w:w="343" w:type="pct"/>
                  <w:tcBorders>
                    <w:tl2br w:val="nil"/>
                    <w:tr2bl w:val="nil"/>
                  </w:tcBorders>
                  <w:shd w:val="clear" w:color="auto" w:fill="auto"/>
                  <w:noWrap w:val="0"/>
                  <w:vAlign w:val="center"/>
                </w:tcPr>
                <w:p w14:paraId="083DB4EC">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0.044</w:t>
                  </w:r>
                </w:p>
              </w:tc>
              <w:tc>
                <w:tcPr>
                  <w:tcW w:w="409" w:type="pct"/>
                  <w:tcBorders>
                    <w:tl2br w:val="nil"/>
                    <w:tr2bl w:val="nil"/>
                  </w:tcBorders>
                  <w:shd w:val="clear" w:color="auto" w:fill="auto"/>
                  <w:noWrap w:val="0"/>
                  <w:vAlign w:val="center"/>
                </w:tcPr>
                <w:p w14:paraId="395FA3AA">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0.02</w:t>
                  </w:r>
                </w:p>
              </w:tc>
              <w:tc>
                <w:tcPr>
                  <w:tcW w:w="167" w:type="pct"/>
                  <w:vMerge w:val="continue"/>
                  <w:tcBorders>
                    <w:tl2br w:val="nil"/>
                    <w:tr2bl w:val="nil"/>
                  </w:tcBorders>
                  <w:noWrap w:val="0"/>
                  <w:vAlign w:val="center"/>
                </w:tcPr>
                <w:p w14:paraId="151AE6F8">
                  <w:pPr>
                    <w:widowControl/>
                    <w:spacing w:line="240" w:lineRule="auto"/>
                    <w:ind w:firstLine="0" w:firstLineChars="0"/>
                    <w:jc w:val="center"/>
                    <w:rPr>
                      <w:rFonts w:hint="default" w:ascii="Times New Roman" w:hAnsi="Times New Roman" w:cs="Times New Roman"/>
                      <w:color w:val="auto"/>
                      <w:kern w:val="0"/>
                      <w:sz w:val="21"/>
                      <w:szCs w:val="21"/>
                      <w:highlight w:val="none"/>
                      <w:lang w:val="en-US" w:eastAsia="zh-CN" w:bidi="ar-SA"/>
                    </w:rPr>
                  </w:pPr>
                </w:p>
              </w:tc>
              <w:tc>
                <w:tcPr>
                  <w:tcW w:w="344" w:type="pct"/>
                  <w:vMerge w:val="continue"/>
                  <w:tcBorders>
                    <w:tl2br w:val="nil"/>
                    <w:tr2bl w:val="nil"/>
                  </w:tcBorders>
                  <w:shd w:val="clear" w:color="auto" w:fill="auto"/>
                  <w:noWrap w:val="0"/>
                  <w:vAlign w:val="center"/>
                </w:tcPr>
                <w:p w14:paraId="5A59FD47">
                  <w:pPr>
                    <w:widowControl/>
                    <w:spacing w:line="240" w:lineRule="auto"/>
                    <w:ind w:firstLine="0" w:firstLineChars="0"/>
                    <w:jc w:val="center"/>
                    <w:rPr>
                      <w:rFonts w:hint="eastAsia" w:ascii="Times New Roman" w:hAnsi="Times New Roman" w:eastAsia="宋体" w:cs="Times New Roman"/>
                      <w:bCs/>
                      <w:color w:val="auto"/>
                      <w:spacing w:val="-10"/>
                      <w:kern w:val="2"/>
                      <w:sz w:val="21"/>
                      <w:szCs w:val="21"/>
                      <w:lang w:val="en-US" w:eastAsia="zh-CN" w:bidi="ar-SA"/>
                    </w:rPr>
                  </w:pPr>
                </w:p>
              </w:tc>
              <w:tc>
                <w:tcPr>
                  <w:tcW w:w="353" w:type="pct"/>
                  <w:tcBorders>
                    <w:tl2br w:val="nil"/>
                    <w:tr2bl w:val="nil"/>
                  </w:tcBorders>
                  <w:shd w:val="clear" w:color="auto" w:fill="auto"/>
                  <w:noWrap w:val="0"/>
                  <w:vAlign w:val="center"/>
                </w:tcPr>
                <w:p w14:paraId="127B0808">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0.035</w:t>
                  </w:r>
                </w:p>
              </w:tc>
              <w:tc>
                <w:tcPr>
                  <w:tcW w:w="408" w:type="pct"/>
                  <w:tcBorders>
                    <w:tl2br w:val="nil"/>
                    <w:tr2bl w:val="nil"/>
                  </w:tcBorders>
                  <w:shd w:val="clear" w:color="auto" w:fill="auto"/>
                  <w:noWrap w:val="0"/>
                  <w:vAlign w:val="center"/>
                </w:tcPr>
                <w:p w14:paraId="2D51CD98">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0.02</w:t>
                  </w:r>
                </w:p>
              </w:tc>
              <w:tc>
                <w:tcPr>
                  <w:tcW w:w="487" w:type="pct"/>
                  <w:tcBorders>
                    <w:tl2br w:val="nil"/>
                    <w:tr2bl w:val="nil"/>
                  </w:tcBorders>
                  <w:shd w:val="clear" w:color="auto" w:fill="auto"/>
                  <w:noWrap w:val="0"/>
                  <w:vAlign w:val="center"/>
                </w:tcPr>
                <w:p w14:paraId="0A1DDB35">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1.3</w:t>
                  </w:r>
                </w:p>
              </w:tc>
              <w:tc>
                <w:tcPr>
                  <w:tcW w:w="274" w:type="pct"/>
                  <w:tcBorders>
                    <w:tl2br w:val="nil"/>
                    <w:tr2bl w:val="nil"/>
                  </w:tcBorders>
                  <w:shd w:val="clear" w:color="auto" w:fill="auto"/>
                  <w:noWrap w:val="0"/>
                  <w:vAlign w:val="center"/>
                </w:tcPr>
                <w:p w14:paraId="4DC499B0">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rPr>
                    <w:t>80%</w:t>
                  </w:r>
                </w:p>
              </w:tc>
              <w:tc>
                <w:tcPr>
                  <w:tcW w:w="291" w:type="pct"/>
                  <w:tcBorders>
                    <w:tl2br w:val="nil"/>
                    <w:tr2bl w:val="nil"/>
                  </w:tcBorders>
                  <w:shd w:val="clear" w:color="auto" w:fill="auto"/>
                  <w:noWrap w:val="0"/>
                  <w:vAlign w:val="center"/>
                </w:tcPr>
                <w:p w14:paraId="06D4DDEF">
                  <w:pPr>
                    <w:widowControl/>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20%</w:t>
                  </w:r>
                </w:p>
              </w:tc>
              <w:tc>
                <w:tcPr>
                  <w:tcW w:w="277" w:type="pct"/>
                  <w:tcBorders>
                    <w:tl2br w:val="nil"/>
                    <w:tr2bl w:val="nil"/>
                  </w:tcBorders>
                  <w:shd w:val="clear" w:color="auto" w:fill="auto"/>
                  <w:noWrap w:val="0"/>
                  <w:vAlign w:val="center"/>
                </w:tcPr>
                <w:p w14:paraId="0EC84866">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rPr>
                    <w:t>/</w:t>
                  </w:r>
                </w:p>
              </w:tc>
              <w:tc>
                <w:tcPr>
                  <w:tcW w:w="392" w:type="pct"/>
                  <w:tcBorders>
                    <w:tl2br w:val="nil"/>
                    <w:tr2bl w:val="nil"/>
                  </w:tcBorders>
                  <w:shd w:val="clear" w:color="auto" w:fill="auto"/>
                  <w:noWrap w:val="0"/>
                  <w:vAlign w:val="center"/>
                </w:tcPr>
                <w:p w14:paraId="6B0EA2EC">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rPr>
                    <w:t>50</w:t>
                  </w:r>
                </w:p>
              </w:tc>
            </w:tr>
            <w:tr w14:paraId="369E72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39" w:type="pct"/>
                  <w:vMerge w:val="continue"/>
                  <w:tcBorders>
                    <w:tl2br w:val="nil"/>
                    <w:tr2bl w:val="nil"/>
                  </w:tcBorders>
                  <w:noWrap w:val="0"/>
                  <w:vAlign w:val="center"/>
                </w:tcPr>
                <w:p w14:paraId="31BD5DFC">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21" w:type="pct"/>
                  <w:tcBorders>
                    <w:tl2br w:val="nil"/>
                    <w:tr2bl w:val="nil"/>
                  </w:tcBorders>
                  <w:noWrap w:val="0"/>
                  <w:vAlign w:val="center"/>
                </w:tcPr>
                <w:p w14:paraId="32CA7807">
                  <w:pPr>
                    <w:widowControl/>
                    <w:spacing w:line="240" w:lineRule="auto"/>
                    <w:ind w:firstLine="0" w:firstLineChars="0"/>
                    <w:jc w:val="center"/>
                    <w:rPr>
                      <w:rFonts w:hint="eastAsia" w:ascii="Times New Roman" w:hAnsi="Times New Roman"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bidi="ar-SA"/>
                    </w:rPr>
                    <w:t>颗粒物</w:t>
                  </w:r>
                </w:p>
              </w:tc>
              <w:tc>
                <w:tcPr>
                  <w:tcW w:w="292" w:type="pct"/>
                  <w:vMerge w:val="continue"/>
                  <w:tcBorders>
                    <w:tl2br w:val="nil"/>
                    <w:tr2bl w:val="nil"/>
                  </w:tcBorders>
                  <w:noWrap w:val="0"/>
                  <w:vAlign w:val="center"/>
                </w:tcPr>
                <w:p w14:paraId="607E1916">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297" w:type="pct"/>
                  <w:vMerge w:val="continue"/>
                  <w:tcBorders>
                    <w:tl2br w:val="nil"/>
                    <w:tr2bl w:val="nil"/>
                  </w:tcBorders>
                  <w:noWrap w:val="0"/>
                  <w:vAlign w:val="center"/>
                </w:tcPr>
                <w:p w14:paraId="149937F5">
                  <w:pPr>
                    <w:widowControl/>
                    <w:spacing w:line="240" w:lineRule="auto"/>
                    <w:ind w:firstLine="0" w:firstLineChars="0"/>
                    <w:jc w:val="center"/>
                    <w:rPr>
                      <w:rFonts w:hint="default" w:cs="Times New Roman"/>
                      <w:color w:val="auto"/>
                      <w:kern w:val="0"/>
                      <w:sz w:val="21"/>
                      <w:szCs w:val="21"/>
                      <w:highlight w:val="none"/>
                      <w:lang w:val="en-US" w:eastAsia="zh-CN"/>
                    </w:rPr>
                  </w:pPr>
                </w:p>
              </w:tc>
              <w:tc>
                <w:tcPr>
                  <w:tcW w:w="343" w:type="pct"/>
                  <w:tcBorders>
                    <w:tl2br w:val="nil"/>
                    <w:tr2bl w:val="nil"/>
                  </w:tcBorders>
                  <w:shd w:val="clear" w:color="auto" w:fill="auto"/>
                  <w:noWrap w:val="0"/>
                  <w:vAlign w:val="center"/>
                </w:tcPr>
                <w:p w14:paraId="6B8C4398">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17</w:t>
                  </w:r>
                </w:p>
              </w:tc>
              <w:tc>
                <w:tcPr>
                  <w:tcW w:w="409" w:type="pct"/>
                  <w:tcBorders>
                    <w:tl2br w:val="nil"/>
                    <w:tr2bl w:val="nil"/>
                  </w:tcBorders>
                  <w:shd w:val="clear" w:color="auto" w:fill="auto"/>
                  <w:noWrap w:val="0"/>
                  <w:vAlign w:val="center"/>
                </w:tcPr>
                <w:p w14:paraId="27DAE93B">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167" w:type="pct"/>
                  <w:vMerge w:val="restart"/>
                  <w:tcBorders>
                    <w:tl2br w:val="nil"/>
                    <w:tr2bl w:val="nil"/>
                  </w:tcBorders>
                  <w:noWrap w:val="0"/>
                  <w:vAlign w:val="center"/>
                </w:tcPr>
                <w:p w14:paraId="6368003A">
                  <w:pPr>
                    <w:widowControl/>
                    <w:spacing w:line="240" w:lineRule="auto"/>
                    <w:ind w:firstLine="0" w:firstLineChars="0"/>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无组织</w:t>
                  </w:r>
                </w:p>
              </w:tc>
              <w:tc>
                <w:tcPr>
                  <w:tcW w:w="344" w:type="pct"/>
                  <w:tcBorders>
                    <w:tl2br w:val="nil"/>
                    <w:tr2bl w:val="nil"/>
                  </w:tcBorders>
                  <w:noWrap w:val="0"/>
                  <w:vAlign w:val="center"/>
                </w:tcPr>
                <w:p w14:paraId="6DE959F2">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w:t>
                  </w:r>
                </w:p>
              </w:tc>
              <w:tc>
                <w:tcPr>
                  <w:tcW w:w="353" w:type="pct"/>
                  <w:tcBorders>
                    <w:tl2br w:val="nil"/>
                    <w:tr2bl w:val="nil"/>
                  </w:tcBorders>
                  <w:shd w:val="clear" w:color="auto" w:fill="auto"/>
                  <w:noWrap w:val="0"/>
                  <w:vAlign w:val="center"/>
                </w:tcPr>
                <w:p w14:paraId="6FBAD607">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w:t>
                  </w:r>
                  <w:r>
                    <w:rPr>
                      <w:rFonts w:hint="eastAsia" w:cs="Times New Roman"/>
                      <w:color w:val="auto"/>
                      <w:kern w:val="2"/>
                      <w:sz w:val="21"/>
                      <w:szCs w:val="21"/>
                      <w:lang w:val="en-US" w:eastAsia="zh-CN" w:bidi="ar-SA"/>
                    </w:rPr>
                    <w:t>17</w:t>
                  </w:r>
                </w:p>
              </w:tc>
              <w:tc>
                <w:tcPr>
                  <w:tcW w:w="408" w:type="pct"/>
                  <w:tcBorders>
                    <w:tl2br w:val="nil"/>
                    <w:tr2bl w:val="nil"/>
                  </w:tcBorders>
                  <w:shd w:val="clear" w:color="auto" w:fill="auto"/>
                  <w:noWrap w:val="0"/>
                  <w:vAlign w:val="center"/>
                </w:tcPr>
                <w:p w14:paraId="65F53C37">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487" w:type="pct"/>
                  <w:tcBorders>
                    <w:tl2br w:val="nil"/>
                    <w:tr2bl w:val="nil"/>
                  </w:tcBorders>
                  <w:shd w:val="clear" w:color="auto" w:fill="auto"/>
                  <w:noWrap w:val="0"/>
                  <w:vAlign w:val="center"/>
                </w:tcPr>
                <w:p w14:paraId="579809A7">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274" w:type="pct"/>
                  <w:tcBorders>
                    <w:tl2br w:val="nil"/>
                    <w:tr2bl w:val="nil"/>
                  </w:tcBorders>
                  <w:shd w:val="clear" w:color="auto" w:fill="auto"/>
                  <w:noWrap w:val="0"/>
                  <w:vAlign w:val="center"/>
                </w:tcPr>
                <w:p w14:paraId="4B511EE8">
                  <w:pPr>
                    <w:widowControl/>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w:t>
                  </w:r>
                </w:p>
              </w:tc>
              <w:tc>
                <w:tcPr>
                  <w:tcW w:w="291" w:type="pct"/>
                  <w:tcBorders>
                    <w:tl2br w:val="nil"/>
                    <w:tr2bl w:val="nil"/>
                  </w:tcBorders>
                  <w:shd w:val="clear" w:color="auto" w:fill="auto"/>
                  <w:noWrap w:val="0"/>
                  <w:vAlign w:val="center"/>
                </w:tcPr>
                <w:p w14:paraId="1EE022D8">
                  <w:pPr>
                    <w:widowControl/>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sz w:val="21"/>
                      <w:szCs w:val="21"/>
                      <w:highlight w:val="none"/>
                      <w:lang w:val="en-US" w:eastAsia="zh-CN"/>
                    </w:rPr>
                    <w:t>/</w:t>
                  </w:r>
                </w:p>
              </w:tc>
              <w:tc>
                <w:tcPr>
                  <w:tcW w:w="277" w:type="pct"/>
                  <w:tcBorders>
                    <w:tl2br w:val="nil"/>
                    <w:tr2bl w:val="nil"/>
                  </w:tcBorders>
                  <w:shd w:val="clear" w:color="auto" w:fill="auto"/>
                  <w:noWrap w:val="0"/>
                  <w:vAlign w:val="center"/>
                </w:tcPr>
                <w:p w14:paraId="1DA7AC6A">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w:t>
                  </w:r>
                </w:p>
              </w:tc>
              <w:tc>
                <w:tcPr>
                  <w:tcW w:w="392" w:type="pct"/>
                  <w:tcBorders>
                    <w:tl2br w:val="nil"/>
                    <w:tr2bl w:val="nil"/>
                  </w:tcBorders>
                  <w:shd w:val="clear" w:color="auto" w:fill="auto"/>
                  <w:noWrap w:val="0"/>
                  <w:vAlign w:val="center"/>
                </w:tcPr>
                <w:p w14:paraId="05915E79">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rPr>
                    <w:t>1.0</w:t>
                  </w:r>
                </w:p>
              </w:tc>
            </w:tr>
            <w:tr w14:paraId="6724E6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39" w:type="pct"/>
                  <w:vMerge w:val="continue"/>
                  <w:tcBorders>
                    <w:tl2br w:val="nil"/>
                    <w:tr2bl w:val="nil"/>
                  </w:tcBorders>
                  <w:noWrap w:val="0"/>
                  <w:vAlign w:val="center"/>
                </w:tcPr>
                <w:p w14:paraId="0966211C">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321" w:type="pct"/>
                  <w:tcBorders>
                    <w:tl2br w:val="nil"/>
                    <w:tr2bl w:val="nil"/>
                  </w:tcBorders>
                  <w:noWrap w:val="0"/>
                  <w:vAlign w:val="center"/>
                </w:tcPr>
                <w:p w14:paraId="2AA56B9C">
                  <w:pPr>
                    <w:widowControl/>
                    <w:spacing w:line="240" w:lineRule="auto"/>
                    <w:ind w:firstLine="0" w:firstLineChars="0"/>
                    <w:jc w:val="center"/>
                    <w:rPr>
                      <w:rFonts w:hint="eastAsia" w:ascii="Times New Roman" w:hAnsi="Times New Roman"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rPr>
                    <w:t>非甲烷总烃</w:t>
                  </w:r>
                </w:p>
              </w:tc>
              <w:tc>
                <w:tcPr>
                  <w:tcW w:w="292" w:type="pct"/>
                  <w:vMerge w:val="continue"/>
                  <w:tcBorders>
                    <w:tl2br w:val="nil"/>
                    <w:tr2bl w:val="nil"/>
                  </w:tcBorders>
                  <w:noWrap w:val="0"/>
                  <w:vAlign w:val="center"/>
                </w:tcPr>
                <w:p w14:paraId="64675B8F">
                  <w:pPr>
                    <w:widowControl/>
                    <w:spacing w:line="240" w:lineRule="auto"/>
                    <w:ind w:firstLine="0" w:firstLineChars="0"/>
                    <w:jc w:val="center"/>
                    <w:rPr>
                      <w:rFonts w:hint="eastAsia" w:cs="Times New Roman"/>
                      <w:color w:val="auto"/>
                      <w:kern w:val="0"/>
                      <w:sz w:val="21"/>
                      <w:szCs w:val="21"/>
                      <w:highlight w:val="none"/>
                      <w:lang w:val="en-US" w:eastAsia="zh-CN"/>
                    </w:rPr>
                  </w:pPr>
                </w:p>
              </w:tc>
              <w:tc>
                <w:tcPr>
                  <w:tcW w:w="297" w:type="pct"/>
                  <w:vMerge w:val="continue"/>
                  <w:tcBorders>
                    <w:tl2br w:val="nil"/>
                    <w:tr2bl w:val="nil"/>
                  </w:tcBorders>
                  <w:noWrap w:val="0"/>
                  <w:vAlign w:val="center"/>
                </w:tcPr>
                <w:p w14:paraId="7AC53263">
                  <w:pPr>
                    <w:widowControl/>
                    <w:spacing w:line="240" w:lineRule="auto"/>
                    <w:ind w:firstLine="0" w:firstLineChars="0"/>
                    <w:jc w:val="center"/>
                    <w:rPr>
                      <w:rFonts w:hint="default" w:cs="Times New Roman"/>
                      <w:color w:val="auto"/>
                      <w:kern w:val="0"/>
                      <w:sz w:val="21"/>
                      <w:szCs w:val="21"/>
                      <w:highlight w:val="none"/>
                      <w:lang w:val="en-US" w:eastAsia="zh-CN"/>
                    </w:rPr>
                  </w:pPr>
                </w:p>
              </w:tc>
              <w:tc>
                <w:tcPr>
                  <w:tcW w:w="343" w:type="pct"/>
                  <w:tcBorders>
                    <w:tl2br w:val="nil"/>
                    <w:tr2bl w:val="nil"/>
                  </w:tcBorders>
                  <w:shd w:val="clear" w:color="auto" w:fill="auto"/>
                  <w:noWrap w:val="0"/>
                  <w:vAlign w:val="center"/>
                </w:tcPr>
                <w:p w14:paraId="7BE11370">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0.011</w:t>
                  </w:r>
                </w:p>
              </w:tc>
              <w:tc>
                <w:tcPr>
                  <w:tcW w:w="409" w:type="pct"/>
                  <w:tcBorders>
                    <w:tl2br w:val="nil"/>
                    <w:tr2bl w:val="nil"/>
                  </w:tcBorders>
                  <w:shd w:val="clear" w:color="auto" w:fill="auto"/>
                  <w:noWrap w:val="0"/>
                  <w:vAlign w:val="center"/>
                </w:tcPr>
                <w:p w14:paraId="2D9B0790">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167" w:type="pct"/>
                  <w:vMerge w:val="continue"/>
                  <w:tcBorders>
                    <w:tl2br w:val="nil"/>
                    <w:tr2bl w:val="nil"/>
                  </w:tcBorders>
                  <w:noWrap w:val="0"/>
                  <w:vAlign w:val="center"/>
                </w:tcPr>
                <w:p w14:paraId="263479C6">
                  <w:pPr>
                    <w:widowControl/>
                    <w:spacing w:line="240" w:lineRule="auto"/>
                    <w:ind w:firstLine="0" w:firstLineChars="0"/>
                    <w:jc w:val="center"/>
                    <w:rPr>
                      <w:rFonts w:hint="default" w:ascii="Times New Roman" w:hAnsi="Times New Roman" w:cs="Times New Roman"/>
                      <w:color w:val="auto"/>
                      <w:kern w:val="0"/>
                      <w:sz w:val="21"/>
                      <w:szCs w:val="21"/>
                      <w:highlight w:val="none"/>
                    </w:rPr>
                  </w:pPr>
                </w:p>
              </w:tc>
              <w:tc>
                <w:tcPr>
                  <w:tcW w:w="344" w:type="pct"/>
                  <w:tcBorders>
                    <w:tl2br w:val="nil"/>
                    <w:tr2bl w:val="nil"/>
                  </w:tcBorders>
                  <w:noWrap w:val="0"/>
                  <w:vAlign w:val="center"/>
                </w:tcPr>
                <w:p w14:paraId="6EC38ABF">
                  <w:pPr>
                    <w:widowControl/>
                    <w:spacing w:line="240" w:lineRule="auto"/>
                    <w:ind w:firstLine="0" w:firstLineChars="0"/>
                    <w:jc w:val="center"/>
                    <w:rPr>
                      <w:rFonts w:hint="default"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w:t>
                  </w:r>
                </w:p>
              </w:tc>
              <w:tc>
                <w:tcPr>
                  <w:tcW w:w="353" w:type="pct"/>
                  <w:tcBorders>
                    <w:tl2br w:val="nil"/>
                    <w:tr2bl w:val="nil"/>
                  </w:tcBorders>
                  <w:shd w:val="clear" w:color="auto" w:fill="auto"/>
                  <w:noWrap w:val="0"/>
                  <w:vAlign w:val="center"/>
                </w:tcPr>
                <w:p w14:paraId="63E61704">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0.011</w:t>
                  </w:r>
                </w:p>
              </w:tc>
              <w:tc>
                <w:tcPr>
                  <w:tcW w:w="408" w:type="pct"/>
                  <w:tcBorders>
                    <w:tl2br w:val="nil"/>
                    <w:tr2bl w:val="nil"/>
                  </w:tcBorders>
                  <w:shd w:val="clear" w:color="auto" w:fill="auto"/>
                  <w:noWrap w:val="0"/>
                  <w:vAlign w:val="center"/>
                </w:tcPr>
                <w:p w14:paraId="68AADCD8">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487" w:type="pct"/>
                  <w:tcBorders>
                    <w:tl2br w:val="nil"/>
                    <w:tr2bl w:val="nil"/>
                  </w:tcBorders>
                  <w:shd w:val="clear" w:color="auto" w:fill="auto"/>
                  <w:noWrap w:val="0"/>
                  <w:vAlign w:val="center"/>
                </w:tcPr>
                <w:p w14:paraId="72F2AD33">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274" w:type="pct"/>
                  <w:tcBorders>
                    <w:tl2br w:val="nil"/>
                    <w:tr2bl w:val="nil"/>
                  </w:tcBorders>
                  <w:shd w:val="clear" w:color="auto" w:fill="auto"/>
                  <w:noWrap w:val="0"/>
                  <w:vAlign w:val="center"/>
                </w:tcPr>
                <w:p w14:paraId="2F2E30B3">
                  <w:pPr>
                    <w:widowControl/>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w:t>
                  </w:r>
                </w:p>
              </w:tc>
              <w:tc>
                <w:tcPr>
                  <w:tcW w:w="291" w:type="pct"/>
                  <w:tcBorders>
                    <w:tl2br w:val="nil"/>
                    <w:tr2bl w:val="nil"/>
                  </w:tcBorders>
                  <w:shd w:val="clear" w:color="auto" w:fill="auto"/>
                  <w:noWrap w:val="0"/>
                  <w:vAlign w:val="center"/>
                </w:tcPr>
                <w:p w14:paraId="12DBE72B">
                  <w:pPr>
                    <w:widowControl/>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w:t>
                  </w:r>
                </w:p>
              </w:tc>
              <w:tc>
                <w:tcPr>
                  <w:tcW w:w="277" w:type="pct"/>
                  <w:tcBorders>
                    <w:tl2br w:val="nil"/>
                    <w:tr2bl w:val="nil"/>
                  </w:tcBorders>
                  <w:shd w:val="clear" w:color="auto" w:fill="auto"/>
                  <w:noWrap w:val="0"/>
                  <w:vAlign w:val="center"/>
                </w:tcPr>
                <w:p w14:paraId="5CD756D6">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rPr>
                    <w:t>/</w:t>
                  </w:r>
                </w:p>
              </w:tc>
              <w:tc>
                <w:tcPr>
                  <w:tcW w:w="392" w:type="pct"/>
                  <w:tcBorders>
                    <w:tl2br w:val="nil"/>
                    <w:tr2bl w:val="nil"/>
                  </w:tcBorders>
                  <w:shd w:val="clear" w:color="auto" w:fill="auto"/>
                  <w:noWrap w:val="0"/>
                  <w:vAlign w:val="center"/>
                </w:tcPr>
                <w:p w14:paraId="17C57923">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rPr>
                    <w:t>3.0</w:t>
                  </w:r>
                </w:p>
              </w:tc>
            </w:tr>
            <w:tr w14:paraId="1B8285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39" w:type="pct"/>
                  <w:tcBorders>
                    <w:tl2br w:val="nil"/>
                    <w:tr2bl w:val="nil"/>
                  </w:tcBorders>
                  <w:noWrap w:val="0"/>
                  <w:vAlign w:val="center"/>
                </w:tcPr>
                <w:p w14:paraId="42C8B87D">
                  <w:pPr>
                    <w:widowControl/>
                    <w:spacing w:line="240" w:lineRule="auto"/>
                    <w:ind w:firstLine="0" w:firstLineChars="0"/>
                    <w:jc w:val="center"/>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危废贮存库1#</w:t>
                  </w:r>
                </w:p>
              </w:tc>
              <w:tc>
                <w:tcPr>
                  <w:tcW w:w="321" w:type="pct"/>
                  <w:tcBorders>
                    <w:tl2br w:val="nil"/>
                    <w:tr2bl w:val="nil"/>
                  </w:tcBorders>
                  <w:noWrap w:val="0"/>
                  <w:vAlign w:val="center"/>
                </w:tcPr>
                <w:p w14:paraId="17B9A838">
                  <w:pPr>
                    <w:widowControl/>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非甲烷总烃</w:t>
                  </w:r>
                </w:p>
              </w:tc>
              <w:tc>
                <w:tcPr>
                  <w:tcW w:w="292" w:type="pct"/>
                  <w:tcBorders>
                    <w:tl2br w:val="nil"/>
                    <w:tr2bl w:val="nil"/>
                  </w:tcBorders>
                  <w:noWrap w:val="0"/>
                  <w:vAlign w:val="center"/>
                </w:tcPr>
                <w:p w14:paraId="223C53FA">
                  <w:pPr>
                    <w:widowControl/>
                    <w:spacing w:line="240" w:lineRule="auto"/>
                    <w:ind w:firstLine="0" w:firstLineChars="0"/>
                    <w:jc w:val="center"/>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w:t>
                  </w:r>
                </w:p>
              </w:tc>
              <w:tc>
                <w:tcPr>
                  <w:tcW w:w="297" w:type="pct"/>
                  <w:tcBorders>
                    <w:tl2br w:val="nil"/>
                    <w:tr2bl w:val="nil"/>
                  </w:tcBorders>
                  <w:noWrap w:val="0"/>
                  <w:vAlign w:val="center"/>
                </w:tcPr>
                <w:p w14:paraId="09EAB990">
                  <w:pPr>
                    <w:widowControl/>
                    <w:spacing w:line="240" w:lineRule="auto"/>
                    <w:ind w:firstLine="0" w:firstLineChars="0"/>
                    <w:jc w:val="center"/>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8760</w:t>
                  </w:r>
                </w:p>
              </w:tc>
              <w:tc>
                <w:tcPr>
                  <w:tcW w:w="343" w:type="pct"/>
                  <w:tcBorders>
                    <w:tl2br w:val="nil"/>
                    <w:tr2bl w:val="nil"/>
                  </w:tcBorders>
                  <w:shd w:val="clear" w:color="auto" w:fill="auto"/>
                  <w:noWrap w:val="0"/>
                  <w:vAlign w:val="center"/>
                </w:tcPr>
                <w:p w14:paraId="0128A4AA">
                  <w:pPr>
                    <w:adjustRightInd w:val="0"/>
                    <w:snapToGrid w:val="0"/>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0.003</w:t>
                  </w:r>
                </w:p>
              </w:tc>
              <w:tc>
                <w:tcPr>
                  <w:tcW w:w="409" w:type="pct"/>
                  <w:tcBorders>
                    <w:tl2br w:val="nil"/>
                    <w:tr2bl w:val="nil"/>
                  </w:tcBorders>
                  <w:shd w:val="clear" w:color="auto" w:fill="auto"/>
                  <w:noWrap w:val="0"/>
                  <w:vAlign w:val="center"/>
                </w:tcPr>
                <w:p w14:paraId="639D33CC">
                  <w:pPr>
                    <w:adjustRightInd w:val="0"/>
                    <w:snapToGrid w:val="0"/>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167" w:type="pct"/>
                  <w:tcBorders>
                    <w:tl2br w:val="nil"/>
                    <w:tr2bl w:val="nil"/>
                  </w:tcBorders>
                  <w:noWrap w:val="0"/>
                  <w:vAlign w:val="center"/>
                </w:tcPr>
                <w:p w14:paraId="387D0AA9">
                  <w:pPr>
                    <w:widowControl/>
                    <w:spacing w:line="240" w:lineRule="auto"/>
                    <w:ind w:firstLine="0" w:firstLineChars="0"/>
                    <w:jc w:val="center"/>
                    <w:rPr>
                      <w:rFonts w:hint="eastAsia"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无组织</w:t>
                  </w:r>
                </w:p>
              </w:tc>
              <w:tc>
                <w:tcPr>
                  <w:tcW w:w="344" w:type="pct"/>
                  <w:tcBorders>
                    <w:tl2br w:val="nil"/>
                    <w:tr2bl w:val="nil"/>
                  </w:tcBorders>
                  <w:noWrap w:val="0"/>
                  <w:vAlign w:val="center"/>
                </w:tcPr>
                <w:p w14:paraId="2FACEB2B">
                  <w:pPr>
                    <w:widowControl/>
                    <w:spacing w:line="240" w:lineRule="auto"/>
                    <w:ind w:firstLine="0" w:firstLineChars="0"/>
                    <w:jc w:val="center"/>
                    <w:rPr>
                      <w:rFonts w:hint="default"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活性炭吸附</w:t>
                  </w:r>
                </w:p>
              </w:tc>
              <w:tc>
                <w:tcPr>
                  <w:tcW w:w="353" w:type="pct"/>
                  <w:tcBorders>
                    <w:tl2br w:val="nil"/>
                    <w:tr2bl w:val="nil"/>
                  </w:tcBorders>
                  <w:shd w:val="clear" w:color="auto" w:fill="auto"/>
                  <w:noWrap w:val="0"/>
                  <w:vAlign w:val="center"/>
                </w:tcPr>
                <w:p w14:paraId="539FF6B0">
                  <w:pPr>
                    <w:adjustRightInd w:val="0"/>
                    <w:snapToGrid w:val="0"/>
                    <w:jc w:val="center"/>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0.003</w:t>
                  </w:r>
                </w:p>
              </w:tc>
              <w:tc>
                <w:tcPr>
                  <w:tcW w:w="408" w:type="pct"/>
                  <w:tcBorders>
                    <w:tl2br w:val="nil"/>
                    <w:tr2bl w:val="nil"/>
                  </w:tcBorders>
                  <w:shd w:val="clear" w:color="auto" w:fill="auto"/>
                  <w:noWrap w:val="0"/>
                  <w:vAlign w:val="center"/>
                </w:tcPr>
                <w:p w14:paraId="15B13CCD">
                  <w:pPr>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w:t>
                  </w:r>
                </w:p>
              </w:tc>
              <w:tc>
                <w:tcPr>
                  <w:tcW w:w="487" w:type="pct"/>
                  <w:tcBorders>
                    <w:tl2br w:val="nil"/>
                    <w:tr2bl w:val="nil"/>
                  </w:tcBorders>
                  <w:shd w:val="clear" w:color="auto" w:fill="auto"/>
                  <w:noWrap w:val="0"/>
                  <w:vAlign w:val="center"/>
                </w:tcPr>
                <w:p w14:paraId="2F0A4178">
                  <w:pPr>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w:t>
                  </w:r>
                </w:p>
              </w:tc>
              <w:tc>
                <w:tcPr>
                  <w:tcW w:w="274" w:type="pct"/>
                  <w:tcBorders>
                    <w:tl2br w:val="nil"/>
                    <w:tr2bl w:val="nil"/>
                  </w:tcBorders>
                  <w:shd w:val="clear" w:color="auto" w:fill="auto"/>
                  <w:noWrap w:val="0"/>
                  <w:vAlign w:val="center"/>
                </w:tcPr>
                <w:p w14:paraId="1AF6B65A">
                  <w:pPr>
                    <w:widowControl/>
                    <w:spacing w:line="240" w:lineRule="auto"/>
                    <w:ind w:firstLine="0" w:firstLineChars="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80%</w:t>
                  </w:r>
                </w:p>
              </w:tc>
              <w:tc>
                <w:tcPr>
                  <w:tcW w:w="291" w:type="pct"/>
                  <w:tcBorders>
                    <w:tl2br w:val="nil"/>
                    <w:tr2bl w:val="nil"/>
                  </w:tcBorders>
                  <w:shd w:val="clear" w:color="auto" w:fill="auto"/>
                  <w:noWrap w:val="0"/>
                  <w:vAlign w:val="center"/>
                </w:tcPr>
                <w:p w14:paraId="7F53BBB5">
                  <w:pPr>
                    <w:widowControl/>
                    <w:spacing w:line="240" w:lineRule="auto"/>
                    <w:ind w:firstLine="0" w:firstLineChars="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20%</w:t>
                  </w:r>
                </w:p>
              </w:tc>
              <w:tc>
                <w:tcPr>
                  <w:tcW w:w="277" w:type="pct"/>
                  <w:tcBorders>
                    <w:tl2br w:val="nil"/>
                    <w:tr2bl w:val="nil"/>
                  </w:tcBorders>
                  <w:shd w:val="clear" w:color="auto" w:fill="auto"/>
                  <w:noWrap w:val="0"/>
                  <w:vAlign w:val="center"/>
                </w:tcPr>
                <w:p w14:paraId="5894466E">
                  <w:pPr>
                    <w:widowControl/>
                    <w:spacing w:line="240" w:lineRule="auto"/>
                    <w:ind w:firstLine="0" w:firstLineChars="0"/>
                    <w:jc w:val="center"/>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w:t>
                  </w:r>
                </w:p>
              </w:tc>
              <w:tc>
                <w:tcPr>
                  <w:tcW w:w="392" w:type="pct"/>
                  <w:tcBorders>
                    <w:tl2br w:val="nil"/>
                    <w:tr2bl w:val="nil"/>
                  </w:tcBorders>
                  <w:shd w:val="clear" w:color="auto" w:fill="auto"/>
                  <w:noWrap w:val="0"/>
                  <w:vAlign w:val="center"/>
                </w:tcPr>
                <w:p w14:paraId="3E1B895D">
                  <w:pPr>
                    <w:widowControl/>
                    <w:spacing w:line="240" w:lineRule="auto"/>
                    <w:ind w:firstLine="0" w:firstLineChars="0"/>
                    <w:jc w:val="center"/>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3.0</w:t>
                  </w:r>
                </w:p>
              </w:tc>
            </w:tr>
          </w:tbl>
          <w:p w14:paraId="5B990042">
            <w:pPr>
              <w:pStyle w:val="10"/>
              <w:adjustRightInd w:val="0"/>
              <w:snapToGrid w:val="0"/>
              <w:spacing w:after="0" w:line="360" w:lineRule="auto"/>
              <w:ind w:left="0" w:leftChars="0" w:firstLine="0" w:firstLineChars="0"/>
              <w:jc w:val="left"/>
              <w:rPr>
                <w:color w:val="auto"/>
              </w:rPr>
            </w:pPr>
          </w:p>
          <w:p w14:paraId="34048B9A">
            <w:pPr>
              <w:pStyle w:val="10"/>
              <w:adjustRightInd w:val="0"/>
              <w:snapToGrid w:val="0"/>
              <w:spacing w:after="0" w:line="360" w:lineRule="auto"/>
              <w:ind w:left="0" w:leftChars="0" w:firstLine="0" w:firstLineChars="0"/>
              <w:jc w:val="left"/>
              <w:rPr>
                <w:color w:val="auto"/>
              </w:rPr>
            </w:pPr>
          </w:p>
          <w:p w14:paraId="632A721A">
            <w:pPr>
              <w:pStyle w:val="10"/>
              <w:adjustRightInd w:val="0"/>
              <w:snapToGrid w:val="0"/>
              <w:spacing w:after="0" w:line="360" w:lineRule="auto"/>
              <w:ind w:left="0" w:leftChars="0" w:firstLine="0" w:firstLineChars="0"/>
              <w:jc w:val="left"/>
              <w:rPr>
                <w:color w:val="auto"/>
              </w:rPr>
            </w:pPr>
          </w:p>
        </w:tc>
      </w:tr>
    </w:tbl>
    <w:p w14:paraId="1D1A8C6B">
      <w:pPr>
        <w:pStyle w:val="22"/>
        <w:jc w:val="center"/>
        <w:outlineLvl w:val="0"/>
        <w:rPr>
          <w:rFonts w:ascii="黑体" w:hAnsi="黑体" w:eastAsia="黑体"/>
          <w:snapToGrid w:val="0"/>
          <w:color w:val="auto"/>
          <w:sz w:val="30"/>
          <w:szCs w:val="30"/>
        </w:rPr>
        <w:sectPr>
          <w:pgSz w:w="16840" w:h="11907" w:orient="landscape"/>
          <w:pgMar w:top="1531" w:right="1701" w:bottom="1531" w:left="2127" w:header="851" w:footer="851" w:gutter="0"/>
          <w:pgBorders>
            <w:top w:val="none" w:sz="0" w:space="0"/>
            <w:left w:val="none" w:sz="0" w:space="0"/>
            <w:bottom w:val="none" w:sz="0" w:space="0"/>
            <w:right w:val="none" w:sz="0" w:space="0"/>
          </w:pgBorders>
          <w:cols w:space="720" w:num="1"/>
          <w:docGrid w:linePitch="312" w:charSpace="0"/>
        </w:sectPr>
      </w:pPr>
    </w:p>
    <w:tbl>
      <w:tblPr>
        <w:tblStyle w:val="25"/>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46"/>
        <w:gridCol w:w="8162"/>
      </w:tblGrid>
      <w:tr w14:paraId="2C6C5A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49" w:hRule="atLeast"/>
          <w:jc w:val="center"/>
        </w:trPr>
        <w:tc>
          <w:tcPr>
            <w:tcW w:w="746" w:type="dxa"/>
            <w:noWrap w:val="0"/>
            <w:tcMar>
              <w:left w:w="28" w:type="dxa"/>
              <w:right w:w="28" w:type="dxa"/>
            </w:tcMar>
            <w:vAlign w:val="center"/>
          </w:tcPr>
          <w:p w14:paraId="242F82B0">
            <w:pPr>
              <w:pStyle w:val="22"/>
              <w:adjustRightInd w:val="0"/>
              <w:snapToGrid w:val="0"/>
              <w:spacing w:before="0" w:beforeAutospacing="0" w:after="0" w:afterAutospacing="0"/>
              <w:jc w:val="center"/>
              <w:rPr>
                <w:rFonts w:ascii="Times New Roman" w:hAnsi="Times New Roman"/>
                <w:color w:val="auto"/>
                <w:kern w:val="2"/>
                <w:szCs w:val="24"/>
              </w:rPr>
            </w:pPr>
            <w:r>
              <w:rPr>
                <w:rFonts w:hint="eastAsia" w:cs="宋体"/>
                <w:bCs/>
                <w:color w:val="auto"/>
              </w:rPr>
              <w:t>运营期环境影响和保护措施</w:t>
            </w:r>
          </w:p>
        </w:tc>
        <w:tc>
          <w:tcPr>
            <w:tcW w:w="8162" w:type="dxa"/>
            <w:noWrap w:val="0"/>
            <w:vAlign w:val="center"/>
          </w:tcPr>
          <w:p w14:paraId="1EFAD3E1">
            <w:pPr>
              <w:keepNext w:val="0"/>
              <w:pageBreakBefore w:val="0"/>
              <w:widowControl w:val="0"/>
              <w:kinsoku/>
              <w:wordWrap/>
              <w:overflowPunct/>
              <w:topLinePunct w:val="0"/>
              <w:autoSpaceDE/>
              <w:autoSpaceDN/>
              <w:bidi w:val="0"/>
              <w:adjustRightInd w:val="0"/>
              <w:snapToGrid w:val="0"/>
              <w:spacing w:before="120" w:beforeLines="50" w:line="312" w:lineRule="auto"/>
              <w:ind w:firstLine="480" w:firstLineChars="200"/>
              <w:textAlignment w:val="auto"/>
              <w:rPr>
                <w:bCs/>
                <w:color w:val="auto"/>
                <w:sz w:val="24"/>
              </w:rPr>
            </w:pPr>
            <w:r>
              <w:rPr>
                <w:rFonts w:hint="eastAsia"/>
                <w:bCs/>
                <w:color w:val="auto"/>
                <w:sz w:val="24"/>
              </w:rPr>
              <w:t>（2）</w:t>
            </w:r>
            <w:r>
              <w:rPr>
                <w:bCs/>
                <w:color w:val="auto"/>
                <w:sz w:val="24"/>
              </w:rPr>
              <w:t>废气排放源强核算</w:t>
            </w:r>
          </w:p>
          <w:p w14:paraId="2E0A3213">
            <w:pPr>
              <w:keepNext w:val="0"/>
              <w:keepLines/>
              <w:pageBreakBefore w:val="0"/>
              <w:widowControl w:val="0"/>
              <w:kinsoku/>
              <w:wordWrap/>
              <w:overflowPunct/>
              <w:topLinePunct w:val="0"/>
              <w:autoSpaceDE/>
              <w:autoSpaceDN/>
              <w:bidi w:val="0"/>
              <w:spacing w:line="312" w:lineRule="auto"/>
              <w:ind w:firstLine="480" w:firstLineChars="200"/>
              <w:textAlignment w:val="auto"/>
              <w:rPr>
                <w:rFonts w:hint="eastAsia"/>
                <w:color w:val="auto"/>
                <w:sz w:val="24"/>
                <w:lang w:val="en-US" w:eastAsia="zh-CN"/>
              </w:rPr>
            </w:pPr>
            <w:r>
              <w:rPr>
                <w:rFonts w:hint="eastAsia"/>
                <w:color w:val="auto"/>
                <w:sz w:val="24"/>
              </w:rPr>
              <w:t>本项目运营期废气主要是</w:t>
            </w:r>
            <w:r>
              <w:rPr>
                <w:rFonts w:hint="eastAsia"/>
                <w:color w:val="auto"/>
                <w:sz w:val="24"/>
                <w:lang w:val="en-US" w:eastAsia="zh-CN"/>
              </w:rPr>
              <w:t>中涂、</w:t>
            </w:r>
            <w:r>
              <w:rPr>
                <w:rFonts w:hint="eastAsia"/>
                <w:color w:val="auto"/>
                <w:sz w:val="24"/>
                <w:lang w:eastAsia="zh-CN"/>
              </w:rPr>
              <w:t>喷烤漆</w:t>
            </w:r>
            <w:r>
              <w:rPr>
                <w:rFonts w:hint="eastAsia"/>
                <w:color w:val="auto"/>
                <w:sz w:val="24"/>
              </w:rPr>
              <w:t>产生的废气</w:t>
            </w:r>
            <w:r>
              <w:rPr>
                <w:rFonts w:hint="eastAsia"/>
                <w:color w:val="auto"/>
                <w:sz w:val="24"/>
                <w:lang w:eastAsia="zh-CN"/>
              </w:rPr>
              <w:t>（</w:t>
            </w:r>
            <w:r>
              <w:rPr>
                <w:rFonts w:hint="eastAsia"/>
                <w:color w:val="auto"/>
                <w:sz w:val="24"/>
                <w:lang w:val="en-US" w:eastAsia="zh-CN"/>
              </w:rPr>
              <w:t>颗粒物、非甲烷总烃、甲苯和二甲苯</w:t>
            </w:r>
            <w:r>
              <w:rPr>
                <w:rFonts w:hint="eastAsia"/>
                <w:color w:val="auto"/>
                <w:sz w:val="24"/>
                <w:lang w:eastAsia="zh-CN"/>
              </w:rPr>
              <w:t>），</w:t>
            </w:r>
            <w:r>
              <w:rPr>
                <w:rFonts w:hint="eastAsia"/>
                <w:color w:val="auto"/>
                <w:sz w:val="24"/>
                <w:lang w:val="en-US" w:eastAsia="zh-CN"/>
              </w:rPr>
              <w:t>调漆</w:t>
            </w:r>
            <w:r>
              <w:rPr>
                <w:rFonts w:hint="eastAsia"/>
                <w:color w:val="auto"/>
                <w:sz w:val="24"/>
              </w:rPr>
              <w:t>产生的</w:t>
            </w:r>
            <w:r>
              <w:rPr>
                <w:rFonts w:hint="eastAsia"/>
                <w:color w:val="auto"/>
                <w:sz w:val="24"/>
                <w:lang w:val="en-US" w:eastAsia="zh-CN"/>
              </w:rPr>
              <w:t>有机</w:t>
            </w:r>
            <w:r>
              <w:rPr>
                <w:rFonts w:hint="eastAsia"/>
                <w:color w:val="auto"/>
                <w:sz w:val="24"/>
              </w:rPr>
              <w:t>废气</w:t>
            </w:r>
            <w:r>
              <w:rPr>
                <w:rFonts w:hint="eastAsia"/>
                <w:color w:val="auto"/>
                <w:sz w:val="24"/>
                <w:lang w:eastAsia="zh-CN"/>
              </w:rPr>
              <w:t>（</w:t>
            </w:r>
            <w:r>
              <w:rPr>
                <w:rFonts w:hint="eastAsia"/>
                <w:color w:val="auto"/>
                <w:sz w:val="24"/>
                <w:lang w:val="en-US" w:eastAsia="zh-CN"/>
              </w:rPr>
              <w:t>非甲烷总烃、甲苯和二甲苯</w:t>
            </w:r>
            <w:r>
              <w:rPr>
                <w:rFonts w:hint="eastAsia"/>
                <w:color w:val="auto"/>
                <w:sz w:val="24"/>
                <w:lang w:eastAsia="zh-CN"/>
              </w:rPr>
              <w:t>），焊接、打磨、抛光</w:t>
            </w:r>
            <w:r>
              <w:rPr>
                <w:rFonts w:hint="eastAsia"/>
                <w:color w:val="auto"/>
                <w:sz w:val="24"/>
                <w:lang w:val="en-US" w:eastAsia="zh-CN"/>
              </w:rPr>
              <w:t>产生的粉尘（颗粒物）、涂原子灰废气</w:t>
            </w:r>
            <w:r>
              <w:rPr>
                <w:rFonts w:hint="eastAsia"/>
                <w:color w:val="auto"/>
                <w:sz w:val="24"/>
                <w:lang w:eastAsia="zh-CN"/>
              </w:rPr>
              <w:t>（</w:t>
            </w:r>
            <w:r>
              <w:rPr>
                <w:rFonts w:hint="eastAsia"/>
                <w:color w:val="auto"/>
                <w:sz w:val="24"/>
                <w:lang w:val="en-US" w:eastAsia="zh-CN"/>
              </w:rPr>
              <w:t>非甲烷总烃</w:t>
            </w:r>
            <w:r>
              <w:rPr>
                <w:rFonts w:hint="eastAsia"/>
                <w:color w:val="auto"/>
                <w:sz w:val="24"/>
                <w:lang w:eastAsia="zh-CN"/>
              </w:rPr>
              <w:t>）</w:t>
            </w:r>
            <w:r>
              <w:rPr>
                <w:rFonts w:hint="eastAsia"/>
                <w:color w:val="auto"/>
                <w:sz w:val="24"/>
                <w:lang w:val="en-US" w:eastAsia="zh-CN"/>
              </w:rPr>
              <w:t>和危废贮存库1#、危废贮存库2#产生的有机废气（非甲烷总烃）。</w:t>
            </w:r>
          </w:p>
          <w:p w14:paraId="56DE22F9">
            <w:pPr>
              <w:keepNext w:val="0"/>
              <w:keepLines/>
              <w:pageBreakBefore w:val="0"/>
              <w:widowControl w:val="0"/>
              <w:kinsoku/>
              <w:wordWrap/>
              <w:overflowPunct/>
              <w:topLinePunct w:val="0"/>
              <w:autoSpaceDE/>
              <w:autoSpaceDN/>
              <w:bidi w:val="0"/>
              <w:adjustRightInd/>
              <w:snapToGrid/>
              <w:spacing w:line="312" w:lineRule="auto"/>
              <w:ind w:firstLine="480" w:firstLineChars="200"/>
              <w:textAlignment w:val="auto"/>
              <w:rPr>
                <w:rFonts w:hint="default"/>
                <w:color w:val="auto"/>
                <w:sz w:val="24"/>
                <w:lang w:val="en-US" w:eastAsia="zh-CN"/>
              </w:rPr>
            </w:pPr>
            <w:r>
              <w:rPr>
                <w:rFonts w:hint="eastAsia"/>
                <w:color w:val="auto"/>
                <w:sz w:val="24"/>
                <w:lang w:val="en-US" w:eastAsia="zh-CN"/>
              </w:rPr>
              <w:t>1）涂原子灰废气</w:t>
            </w:r>
          </w:p>
          <w:p w14:paraId="475F625A">
            <w:pPr>
              <w:keepNext w:val="0"/>
              <w:keepLines/>
              <w:pageBreakBefore w:val="0"/>
              <w:widowControl w:val="0"/>
              <w:kinsoku/>
              <w:wordWrap/>
              <w:overflowPunct/>
              <w:topLinePunct w:val="0"/>
              <w:autoSpaceDE/>
              <w:autoSpaceDN/>
              <w:bidi w:val="0"/>
              <w:spacing w:line="312" w:lineRule="auto"/>
              <w:ind w:firstLine="480" w:firstLineChars="200"/>
              <w:textAlignment w:val="auto"/>
              <w:rPr>
                <w:rFonts w:hint="default"/>
                <w:color w:val="auto"/>
                <w:sz w:val="24"/>
                <w:lang w:val="en-US" w:eastAsia="zh-CN"/>
              </w:rPr>
            </w:pPr>
            <w:r>
              <w:rPr>
                <w:rFonts w:hint="eastAsia"/>
                <w:color w:val="auto"/>
                <w:sz w:val="24"/>
                <w:lang w:val="en-US" w:eastAsia="zh-CN"/>
              </w:rPr>
              <w:t>车辆维修过程中需对钣金部位涂抹原子灰，该操作在打磨房内进行，原子灰中含有的挥发性有机物（以非甲烷总烃计）在涂抹及自然晾干过程中会部分挥发。</w:t>
            </w:r>
            <w:r>
              <w:rPr>
                <w:rFonts w:hint="eastAsia" w:cs="Times New Roman"/>
                <w:color w:val="auto"/>
                <w:sz w:val="24"/>
                <w:lang w:val="en-US" w:eastAsia="zh-CN"/>
              </w:rPr>
              <w:t>涂原子灰</w:t>
            </w:r>
            <w:r>
              <w:rPr>
                <w:rFonts w:hint="eastAsia"/>
                <w:color w:val="auto"/>
                <w:sz w:val="24"/>
                <w:lang w:val="en-US" w:eastAsia="zh-CN"/>
              </w:rPr>
              <w:t>年运行时间为400h，</w:t>
            </w:r>
            <w:r>
              <w:rPr>
                <w:rFonts w:hint="eastAsia" w:cs="Times New Roman"/>
                <w:color w:val="auto"/>
                <w:sz w:val="24"/>
                <w:lang w:val="en-US" w:eastAsia="zh-CN"/>
              </w:rPr>
              <w:t>废气收集效率为80%，活性炭为颗粒活性炭处理效率为20%，监测时运行工况为50%。</w:t>
            </w:r>
            <w:r>
              <w:rPr>
                <w:rFonts w:hint="eastAsia"/>
                <w:color w:val="auto"/>
                <w:sz w:val="24"/>
                <w:lang w:val="en-US" w:eastAsia="zh-CN"/>
              </w:rPr>
              <w:t>根据《理想汽车西咸服务中心项目委托监测报告》，DA005</w:t>
            </w:r>
            <w:r>
              <w:rPr>
                <w:rFonts w:hint="eastAsia" w:cs="Times New Roman"/>
                <w:color w:val="auto"/>
                <w:sz w:val="24"/>
                <w:lang w:val="en-US" w:eastAsia="zh-CN"/>
              </w:rPr>
              <w:t>排气筒出口非甲烷总烃排放速率为0.0579~0.0809kg/h，本次评价取最大排放速率非甲烷总烃为0.0809kg/h，监测时与调漆废气通过同一排气筒排放，其中根据下文调漆废气计算其废气出口排放速率约0.14kg/h，因此，</w:t>
            </w:r>
            <w:r>
              <w:rPr>
                <w:rFonts w:hint="eastAsia"/>
                <w:color w:val="auto"/>
                <w:sz w:val="24"/>
                <w:lang w:val="en-US" w:eastAsia="zh-CN"/>
              </w:rPr>
              <w:t>涂原子灰废气满负荷排放速率为0.0218kg/h，计算得非甲烷总烃总产生量为0.092t/a（DA005排气筒产生量为0.055t/a，DA004排气筒产生量为0.037t/a）。</w:t>
            </w:r>
          </w:p>
          <w:p w14:paraId="22A692E7">
            <w:pPr>
              <w:keepNext w:val="0"/>
              <w:keepLines/>
              <w:pageBreakBefore w:val="0"/>
              <w:widowControl w:val="0"/>
              <w:kinsoku/>
              <w:wordWrap/>
              <w:overflowPunct/>
              <w:topLinePunct w:val="0"/>
              <w:autoSpaceDE/>
              <w:autoSpaceDN/>
              <w:bidi w:val="0"/>
              <w:spacing w:line="312" w:lineRule="auto"/>
              <w:ind w:firstLine="480" w:firstLineChars="200"/>
              <w:textAlignment w:val="auto"/>
              <w:rPr>
                <w:rFonts w:hint="eastAsia" w:cs="Times New Roman"/>
                <w:color w:val="auto"/>
                <w:sz w:val="24"/>
                <w:lang w:val="en-US" w:eastAsia="zh-CN"/>
              </w:rPr>
            </w:pPr>
            <w:r>
              <w:rPr>
                <w:rFonts w:hint="eastAsia" w:cs="Times New Roman"/>
                <w:color w:val="auto"/>
                <w:sz w:val="24"/>
                <w:lang w:val="en-US" w:eastAsia="zh-CN"/>
              </w:rPr>
              <w:t>2）焊接</w:t>
            </w:r>
            <w:r>
              <w:rPr>
                <w:rFonts w:hint="eastAsia"/>
                <w:color w:val="auto"/>
                <w:sz w:val="24"/>
                <w:lang w:val="en-US" w:eastAsia="zh-CN"/>
              </w:rPr>
              <w:t>打磨抛光粉尘</w:t>
            </w:r>
          </w:p>
          <w:p w14:paraId="1E6B6EAB">
            <w:pPr>
              <w:keepNext w:val="0"/>
              <w:keepLines/>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color w:val="auto"/>
                <w:sz w:val="24"/>
                <w:lang w:val="en-US" w:eastAsia="zh-CN"/>
              </w:rPr>
            </w:pPr>
            <w:r>
              <w:rPr>
                <w:rFonts w:hint="eastAsia"/>
                <w:color w:val="auto"/>
                <w:sz w:val="24"/>
                <w:lang w:val="en-US" w:eastAsia="zh-CN"/>
              </w:rPr>
              <w:t>焊接、</w:t>
            </w:r>
            <w:r>
              <w:rPr>
                <w:rFonts w:hint="eastAsia"/>
                <w:color w:val="auto"/>
                <w:sz w:val="24"/>
                <w:lang w:eastAsia="zh-CN"/>
              </w:rPr>
              <w:t>打磨、</w:t>
            </w:r>
            <w:r>
              <w:rPr>
                <w:rFonts w:hint="eastAsia"/>
                <w:color w:val="auto"/>
                <w:sz w:val="24"/>
                <w:lang w:val="en-US" w:eastAsia="zh-CN"/>
              </w:rPr>
              <w:t>抛光会产生的粉尘（颗粒物）。对于受损的车辆，需要进行焊接时，将产生焊接烟尘，其污染物以烟尘为主。参考</w:t>
            </w:r>
            <w:r>
              <w:rPr>
                <w:rFonts w:ascii="Times New Roman" w:hAnsi="Times New Roman" w:cs="Times New Roman"/>
                <w:color w:val="auto"/>
                <w:sz w:val="24"/>
              </w:rPr>
              <w:t>《排放源统计调查产排污核算方法和系数手册》</w:t>
            </w:r>
            <w:r>
              <w:rPr>
                <w:rFonts w:hint="eastAsia" w:ascii="Times New Roman" w:hAnsi="Times New Roman" w:cs="Times New Roman"/>
                <w:color w:val="auto"/>
                <w:sz w:val="24"/>
                <w:lang w:eastAsia="zh-CN"/>
              </w:rPr>
              <w:t>“</w:t>
            </w:r>
            <w:r>
              <w:rPr>
                <w:rFonts w:ascii="Times New Roman" w:hAnsi="Times New Roman" w:cs="Times New Roman"/>
                <w:bCs/>
                <w:color w:val="auto"/>
                <w:sz w:val="24"/>
              </w:rPr>
              <w:t>33-37,431-434机械行业系数手册</w:t>
            </w:r>
            <w:r>
              <w:rPr>
                <w:rFonts w:ascii="Times New Roman" w:hAnsi="Times New Roman" w:cs="Times New Roman"/>
                <w:color w:val="auto"/>
                <w:sz w:val="24"/>
              </w:rPr>
              <w:t>-</w:t>
            </w:r>
            <w:r>
              <w:rPr>
                <w:rFonts w:hint="eastAsia" w:ascii="Times New Roman" w:hAnsi="Times New Roman" w:cs="Times New Roman"/>
                <w:bCs/>
                <w:color w:val="auto"/>
                <w:sz w:val="24"/>
                <w:lang w:val="en-US" w:eastAsia="zh-CN"/>
              </w:rPr>
              <w:t>C431-C434修理行业</w:t>
            </w:r>
            <w:r>
              <w:rPr>
                <w:rFonts w:hint="eastAsia" w:ascii="Times New Roman" w:hAnsi="Times New Roman" w:cs="Times New Roman"/>
                <w:color w:val="auto"/>
                <w:sz w:val="24"/>
                <w:lang w:eastAsia="zh-CN"/>
              </w:rPr>
              <w:t>”</w:t>
            </w:r>
            <w:r>
              <w:rPr>
                <w:rFonts w:ascii="Times New Roman" w:hAnsi="Times New Roman" w:cs="Times New Roman"/>
                <w:color w:val="auto"/>
                <w:sz w:val="24"/>
              </w:rPr>
              <w:t>可知，</w:t>
            </w:r>
            <w:r>
              <w:rPr>
                <w:rFonts w:hint="eastAsia" w:ascii="Times New Roman" w:hAnsi="Times New Roman" w:cs="Times New Roman"/>
                <w:color w:val="auto"/>
                <w:sz w:val="24"/>
                <w:lang w:val="en-US" w:eastAsia="zh-CN"/>
              </w:rPr>
              <w:t>二氧化碳焊</w:t>
            </w:r>
            <w:r>
              <w:rPr>
                <w:rFonts w:ascii="Times New Roman" w:hAnsi="Times New Roman" w:cs="Times New Roman"/>
                <w:color w:val="auto"/>
                <w:sz w:val="24"/>
              </w:rPr>
              <w:t>颗粒物产污系数为</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9.19</w:t>
            </w:r>
            <w:r>
              <w:rPr>
                <w:rFonts w:ascii="Times New Roman" w:hAnsi="Times New Roman" w:cs="Times New Roman"/>
                <w:color w:val="auto"/>
                <w:sz w:val="24"/>
              </w:rPr>
              <w:t>千克/吨-原料</w:t>
            </w:r>
            <w:r>
              <w:rPr>
                <w:rFonts w:hint="eastAsia" w:ascii="Times New Roman" w:hAnsi="Times New Roman" w:cs="Times New Roman"/>
                <w:color w:val="auto"/>
                <w:sz w:val="24"/>
                <w:lang w:eastAsia="zh-CN"/>
              </w:rPr>
              <w:t>”</w:t>
            </w:r>
            <w:r>
              <w:rPr>
                <w:rFonts w:ascii="Times New Roman" w:hAnsi="Times New Roman" w:cs="Times New Roman"/>
                <w:color w:val="auto"/>
                <w:sz w:val="24"/>
              </w:rPr>
              <w:t>。</w:t>
            </w:r>
            <w:r>
              <w:rPr>
                <w:rFonts w:hint="eastAsia" w:ascii="Times New Roman" w:hAnsi="Times New Roman" w:cs="Times New Roman"/>
                <w:bCs/>
                <w:color w:val="auto"/>
                <w:sz w:val="24"/>
                <w:lang w:val="en-US" w:eastAsia="zh-CN"/>
              </w:rPr>
              <w:t>实芯焊丝</w:t>
            </w:r>
            <w:r>
              <w:rPr>
                <w:rFonts w:ascii="Times New Roman" w:hAnsi="Times New Roman" w:cs="Times New Roman"/>
                <w:bCs/>
                <w:color w:val="auto"/>
                <w:sz w:val="24"/>
              </w:rPr>
              <w:t>使用量为</w:t>
            </w:r>
            <w:r>
              <w:rPr>
                <w:rFonts w:hint="eastAsia" w:ascii="Times New Roman" w:hAnsi="Times New Roman" w:cs="Times New Roman"/>
                <w:bCs/>
                <w:color w:val="auto"/>
                <w:sz w:val="24"/>
                <w:highlight w:val="none"/>
                <w:lang w:val="en-US" w:eastAsia="zh-CN"/>
              </w:rPr>
              <w:t>0.015</w:t>
            </w:r>
            <w:r>
              <w:rPr>
                <w:rFonts w:ascii="Times New Roman" w:hAnsi="Times New Roman" w:cs="Times New Roman"/>
                <w:bCs/>
                <w:color w:val="auto"/>
                <w:sz w:val="24"/>
                <w:highlight w:val="none"/>
              </w:rPr>
              <w:t>吨，</w:t>
            </w:r>
            <w:r>
              <w:rPr>
                <w:rFonts w:hint="eastAsia" w:ascii="Times New Roman" w:hAnsi="Times New Roman" w:cs="Times New Roman"/>
                <w:color w:val="auto"/>
                <w:sz w:val="24"/>
                <w:highlight w:val="none"/>
                <w:lang w:val="en-US" w:eastAsia="zh-CN"/>
              </w:rPr>
              <w:t>焊接</w:t>
            </w:r>
            <w:r>
              <w:rPr>
                <w:rFonts w:ascii="Times New Roman" w:hAnsi="Times New Roman" w:cs="Times New Roman"/>
                <w:color w:val="auto"/>
                <w:sz w:val="24"/>
                <w:highlight w:val="none"/>
              </w:rPr>
              <w:t>废气产生</w:t>
            </w:r>
            <w:r>
              <w:rPr>
                <w:rFonts w:hint="eastAsia" w:ascii="Times New Roman" w:hAnsi="Times New Roman" w:cs="Times New Roman"/>
                <w:color w:val="auto"/>
                <w:sz w:val="24"/>
                <w:highlight w:val="none"/>
                <w:lang w:val="en-US" w:eastAsia="zh-CN"/>
              </w:rPr>
              <w:t>量为0.0001t/a。</w:t>
            </w:r>
            <w:r>
              <w:rPr>
                <w:rFonts w:hint="eastAsia"/>
                <w:color w:val="auto"/>
                <w:sz w:val="24"/>
                <w:lang w:val="en-US" w:eastAsia="zh-CN"/>
              </w:rPr>
              <w:t>焊接工序在打磨房1#内进行</w:t>
            </w:r>
            <w:r>
              <w:rPr>
                <w:rFonts w:hint="eastAsia" w:cs="Times New Roman"/>
                <w:color w:val="auto"/>
                <w:sz w:val="24"/>
                <w:lang w:val="en-US" w:eastAsia="zh-CN"/>
              </w:rPr>
              <w:t>。</w:t>
            </w:r>
          </w:p>
          <w:p w14:paraId="016BD69E">
            <w:pPr>
              <w:keepNext w:val="0"/>
              <w:keepLines/>
              <w:pageBreakBefore w:val="0"/>
              <w:widowControl w:val="0"/>
              <w:kinsoku/>
              <w:wordWrap/>
              <w:overflowPunct/>
              <w:topLinePunct w:val="0"/>
              <w:autoSpaceDE/>
              <w:autoSpaceDN/>
              <w:bidi w:val="0"/>
              <w:spacing w:line="312" w:lineRule="auto"/>
              <w:ind w:firstLine="480" w:firstLineChars="200"/>
              <w:textAlignment w:val="auto"/>
              <w:rPr>
                <w:rFonts w:hint="eastAsia" w:cs="Times New Roman"/>
                <w:color w:val="auto"/>
                <w:sz w:val="24"/>
                <w:lang w:val="en-US" w:eastAsia="zh-CN"/>
              </w:rPr>
            </w:pPr>
            <w:r>
              <w:rPr>
                <w:rFonts w:hint="eastAsia"/>
                <w:color w:val="auto"/>
                <w:sz w:val="24"/>
                <w:lang w:val="en-US" w:eastAsia="zh-CN"/>
              </w:rPr>
              <w:t>本项目共设置5个打磨房，</w:t>
            </w:r>
            <w:r>
              <w:rPr>
                <w:rFonts w:hint="default" w:ascii="Times New Roman" w:hAnsi="Times New Roman" w:cs="Times New Roman"/>
                <w:color w:val="auto"/>
                <w:sz w:val="24"/>
                <w:lang w:val="en-US" w:eastAsia="zh-CN"/>
              </w:rPr>
              <w:t>打磨房</w:t>
            </w:r>
            <w:r>
              <w:rPr>
                <w:rFonts w:hint="eastAsia" w:cs="Times New Roman"/>
                <w:color w:val="auto"/>
                <w:sz w:val="24"/>
                <w:lang w:val="en-US" w:eastAsia="zh-CN"/>
              </w:rPr>
              <w:t>1#</w:t>
            </w:r>
            <w:r>
              <w:rPr>
                <w:rFonts w:hint="default" w:ascii="Times New Roman" w:hAnsi="Times New Roman" w:cs="Times New Roman"/>
                <w:color w:val="auto"/>
                <w:sz w:val="24"/>
                <w:lang w:val="en-US" w:eastAsia="zh-CN"/>
              </w:rPr>
              <w:t>~</w:t>
            </w:r>
            <w:r>
              <w:rPr>
                <w:rFonts w:hint="eastAsia" w:cs="Times New Roman"/>
                <w:color w:val="auto"/>
                <w:sz w:val="24"/>
                <w:lang w:val="en-US" w:eastAsia="zh-CN"/>
              </w:rPr>
              <w:t>3#</w:t>
            </w:r>
            <w:r>
              <w:rPr>
                <w:rFonts w:hint="default" w:ascii="Times New Roman" w:hAnsi="Times New Roman" w:cs="Times New Roman"/>
                <w:color w:val="auto"/>
                <w:sz w:val="24"/>
                <w:lang w:val="en-US" w:eastAsia="zh-CN"/>
              </w:rPr>
              <w:t>内打磨</w:t>
            </w:r>
            <w:r>
              <w:rPr>
                <w:rFonts w:hint="eastAsia"/>
                <w:color w:val="auto"/>
                <w:sz w:val="24"/>
                <w:lang w:val="en-US" w:eastAsia="zh-CN"/>
              </w:rPr>
              <w:t>、焊接、抛光粉尘和涂原子灰废气收集后采用“过滤棉+活性炭”处置后，尾气通过排气筒DA005排放；打磨房4#~5#</w:t>
            </w:r>
            <w:r>
              <w:rPr>
                <w:rFonts w:hint="default" w:ascii="Times New Roman" w:hAnsi="Times New Roman" w:cs="Times New Roman"/>
                <w:color w:val="auto"/>
                <w:sz w:val="24"/>
                <w:lang w:val="en-US" w:eastAsia="zh-CN"/>
              </w:rPr>
              <w:t>打磨</w:t>
            </w:r>
            <w:r>
              <w:rPr>
                <w:rFonts w:hint="eastAsia"/>
                <w:color w:val="auto"/>
                <w:sz w:val="24"/>
                <w:lang w:val="en-US" w:eastAsia="zh-CN"/>
              </w:rPr>
              <w:t>、抛光粉尘和涂原子灰废气收集后采用“过滤棉+活性炭”处置后，尾气通过排气筒DA004排放；过滤棉去除颗粒物效率为40%，活性炭吸附非甲烷总烃去除效率为20%，各</w:t>
            </w:r>
            <w:r>
              <w:rPr>
                <w:rFonts w:hint="eastAsia" w:cs="Times New Roman"/>
                <w:color w:val="auto"/>
                <w:sz w:val="24"/>
                <w:lang w:val="en-US" w:eastAsia="zh-CN"/>
              </w:rPr>
              <w:t>风机风量为15000m</w:t>
            </w:r>
            <w:r>
              <w:rPr>
                <w:rFonts w:hint="eastAsia" w:cs="Times New Roman"/>
                <w:color w:val="auto"/>
                <w:sz w:val="24"/>
                <w:vertAlign w:val="superscript"/>
                <w:lang w:val="en-US" w:eastAsia="zh-CN"/>
              </w:rPr>
              <w:t>3</w:t>
            </w:r>
            <w:r>
              <w:rPr>
                <w:rFonts w:hint="eastAsia" w:cs="Times New Roman"/>
                <w:color w:val="auto"/>
                <w:sz w:val="24"/>
                <w:lang w:val="en-US" w:eastAsia="zh-CN"/>
              </w:rPr>
              <w:t>/h。</w:t>
            </w:r>
          </w:p>
          <w:p w14:paraId="4E1EE407">
            <w:pPr>
              <w:keepNext w:val="0"/>
              <w:keepLines/>
              <w:pageBreakBefore w:val="0"/>
              <w:widowControl w:val="0"/>
              <w:kinsoku/>
              <w:wordWrap/>
              <w:overflowPunct/>
              <w:topLinePunct w:val="0"/>
              <w:autoSpaceDE/>
              <w:autoSpaceDN/>
              <w:bidi w:val="0"/>
              <w:spacing w:line="312" w:lineRule="auto"/>
              <w:ind w:firstLine="480" w:firstLineChars="200"/>
              <w:textAlignment w:val="auto"/>
              <w:rPr>
                <w:rFonts w:hint="default" w:cs="Times New Roman"/>
                <w:color w:val="auto"/>
                <w:sz w:val="24"/>
                <w:lang w:val="en-US" w:eastAsia="zh-CN"/>
              </w:rPr>
            </w:pPr>
            <w:r>
              <w:rPr>
                <w:rFonts w:hint="eastAsia"/>
                <w:color w:val="auto"/>
                <w:sz w:val="24"/>
                <w:lang w:val="en-US" w:eastAsia="zh-CN"/>
              </w:rPr>
              <w:t>根据《理想汽车西咸服务中心项目委托监测报告》，</w:t>
            </w:r>
            <w:r>
              <w:rPr>
                <w:rFonts w:hint="eastAsia"/>
                <w:color w:val="auto"/>
                <w:sz w:val="24"/>
                <w:lang w:eastAsia="zh-CN"/>
              </w:rPr>
              <w:t>打磨</w:t>
            </w:r>
            <w:r>
              <w:rPr>
                <w:rFonts w:hint="eastAsia"/>
                <w:color w:val="auto"/>
                <w:sz w:val="24"/>
                <w:lang w:val="en-US" w:eastAsia="zh-CN"/>
              </w:rPr>
              <w:t>房DA005</w:t>
            </w:r>
            <w:r>
              <w:rPr>
                <w:rFonts w:hint="eastAsia" w:cs="Times New Roman"/>
                <w:color w:val="auto"/>
                <w:sz w:val="24"/>
                <w:lang w:val="en-US" w:eastAsia="zh-CN"/>
              </w:rPr>
              <w:t>排气筒出口排放速率为0.0683~0.0756kg/h，本次评价取最大产生速率为0.0756kg/h，监测时DA005排气筒对应3个打磨房均运行，单个打磨房</w:t>
            </w:r>
            <w:r>
              <w:rPr>
                <w:rFonts w:hint="eastAsia"/>
                <w:color w:val="auto"/>
                <w:sz w:val="24"/>
                <w:lang w:val="en-US" w:eastAsia="zh-CN"/>
              </w:rPr>
              <w:t>年运行时间为600h，</w:t>
            </w:r>
            <w:r>
              <w:rPr>
                <w:rFonts w:hint="eastAsia" w:cs="Times New Roman"/>
                <w:color w:val="auto"/>
                <w:sz w:val="24"/>
                <w:lang w:val="en-US" w:eastAsia="zh-CN"/>
              </w:rPr>
              <w:t>废气收集效率为80%，过滤棉处置效率为40%，监测时运行工况为50%，</w:t>
            </w:r>
            <w:r>
              <w:rPr>
                <w:rFonts w:hint="eastAsia"/>
                <w:color w:val="auto"/>
                <w:sz w:val="24"/>
                <w:lang w:val="en-US" w:eastAsia="zh-CN"/>
              </w:rPr>
              <w:t>计算得100%工况下颗粒物总产生量为1.42t/a（DA005排气筒产生量为0.85t/a，DA004排气筒产生量为0.57t/a）</w:t>
            </w:r>
            <w:r>
              <w:rPr>
                <w:rFonts w:hint="eastAsia" w:cs="Times New Roman"/>
                <w:color w:val="auto"/>
                <w:sz w:val="24"/>
                <w:lang w:val="en-US" w:eastAsia="zh-CN"/>
              </w:rPr>
              <w:t>。</w:t>
            </w:r>
          </w:p>
          <w:p w14:paraId="6103877E">
            <w:pPr>
              <w:keepNext w:val="0"/>
              <w:keepLines/>
              <w:pageBreakBefore w:val="0"/>
              <w:widowControl w:val="0"/>
              <w:kinsoku/>
              <w:wordWrap/>
              <w:overflowPunct/>
              <w:topLinePunct w:val="0"/>
              <w:autoSpaceDE/>
              <w:autoSpaceDN/>
              <w:bidi w:val="0"/>
              <w:spacing w:line="312" w:lineRule="auto"/>
              <w:ind w:firstLine="480" w:firstLineChars="200"/>
              <w:textAlignment w:val="auto"/>
              <w:rPr>
                <w:rFonts w:hint="default"/>
                <w:color w:val="auto"/>
                <w:sz w:val="24"/>
                <w:lang w:val="en-US" w:eastAsia="zh-CN"/>
              </w:rPr>
            </w:pPr>
            <w:r>
              <w:rPr>
                <w:rFonts w:hint="eastAsia" w:cs="Times New Roman"/>
                <w:color w:val="auto"/>
                <w:sz w:val="24"/>
                <w:lang w:val="en-US" w:eastAsia="zh-CN"/>
              </w:rPr>
              <w:t>焊接、打磨、抛光废气产排情况见下表：</w:t>
            </w:r>
          </w:p>
          <w:p w14:paraId="0002025F">
            <w:pPr>
              <w:pStyle w:val="63"/>
              <w:spacing w:line="240" w:lineRule="auto"/>
              <w:ind w:firstLine="0" w:firstLineChars="0"/>
              <w:jc w:val="center"/>
              <w:rPr>
                <w:rFonts w:hint="eastAsia" w:ascii="Times New Roman" w:hAnsi="Times New Roman" w:eastAsia="宋体" w:cs="Times New Roman"/>
                <w:b/>
                <w:bCs/>
                <w:color w:val="auto"/>
                <w:kern w:val="21"/>
                <w:szCs w:val="24"/>
                <w:lang w:eastAsia="zh-CN"/>
              </w:rPr>
            </w:pPr>
            <w:r>
              <w:rPr>
                <w:rFonts w:ascii="Times New Roman" w:hAnsi="Times New Roman" w:eastAsia="宋体" w:cs="Times New Roman"/>
                <w:b/>
                <w:bCs/>
                <w:color w:val="auto"/>
                <w:kern w:val="21"/>
                <w:szCs w:val="24"/>
              </w:rPr>
              <w:t>表</w:t>
            </w:r>
            <w:r>
              <w:rPr>
                <w:rFonts w:hint="eastAsia" w:ascii="Times New Roman" w:hAnsi="Times New Roman" w:eastAsia="宋体" w:cs="Times New Roman"/>
                <w:b/>
                <w:bCs/>
                <w:color w:val="auto"/>
                <w:kern w:val="21"/>
                <w:szCs w:val="24"/>
                <w:lang w:val="en-US" w:eastAsia="zh-CN"/>
              </w:rPr>
              <w:t>4-2</w:t>
            </w:r>
            <w:r>
              <w:rPr>
                <w:rFonts w:ascii="Times New Roman" w:hAnsi="Times New Roman" w:eastAsia="宋体" w:cs="Times New Roman"/>
                <w:b/>
                <w:bCs/>
                <w:color w:val="auto"/>
                <w:kern w:val="21"/>
                <w:szCs w:val="24"/>
              </w:rPr>
              <w:t xml:space="preserve"> </w:t>
            </w:r>
            <w:r>
              <w:rPr>
                <w:rFonts w:hint="eastAsia" w:ascii="Times New Roman" w:hAnsi="Times New Roman" w:eastAsia="宋体" w:cs="Times New Roman"/>
                <w:b/>
                <w:bCs/>
                <w:color w:val="auto"/>
                <w:kern w:val="21"/>
                <w:szCs w:val="24"/>
              </w:rPr>
              <w:t xml:space="preserve"> 焊接、打磨、抛光</w:t>
            </w:r>
            <w:r>
              <w:rPr>
                <w:rFonts w:hint="eastAsia" w:ascii="Times New Roman" w:hAnsi="Times New Roman" w:eastAsia="宋体" w:cs="Times New Roman"/>
                <w:b/>
                <w:bCs/>
                <w:color w:val="auto"/>
                <w:kern w:val="21"/>
                <w:szCs w:val="24"/>
                <w:lang w:val="en-US" w:eastAsia="zh-CN"/>
              </w:rPr>
              <w:t>废气产排情况</w:t>
            </w:r>
          </w:p>
          <w:tbl>
            <w:tblPr>
              <w:tblStyle w:val="25"/>
              <w:tblW w:w="802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74"/>
              <w:gridCol w:w="882"/>
              <w:gridCol w:w="464"/>
              <w:gridCol w:w="836"/>
              <w:gridCol w:w="903"/>
              <w:gridCol w:w="858"/>
              <w:gridCol w:w="780"/>
              <w:gridCol w:w="1025"/>
              <w:gridCol w:w="872"/>
              <w:gridCol w:w="831"/>
            </w:tblGrid>
            <w:tr w14:paraId="615212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4" w:type="dxa"/>
                  <w:vMerge w:val="restart"/>
                  <w:noWrap w:val="0"/>
                  <w:vAlign w:val="center"/>
                </w:tcPr>
                <w:p w14:paraId="03329101">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cs="Times New Roman"/>
                      <w:b/>
                      <w:bCs/>
                      <w:color w:val="auto"/>
                      <w:szCs w:val="21"/>
                      <w:lang w:val="en-US" w:eastAsia="zh-CN"/>
                    </w:rPr>
                    <w:t>排气筒</w:t>
                  </w:r>
                </w:p>
              </w:tc>
              <w:tc>
                <w:tcPr>
                  <w:tcW w:w="882" w:type="dxa"/>
                  <w:vMerge w:val="restart"/>
                  <w:noWrap w:val="0"/>
                  <w:vAlign w:val="center"/>
                </w:tcPr>
                <w:p w14:paraId="0DEA260D">
                  <w:pPr>
                    <w:adjustRightInd w:val="0"/>
                    <w:snapToGrid w:val="0"/>
                    <w:jc w:val="center"/>
                    <w:rPr>
                      <w:rFonts w:ascii="Times New Roman" w:hAnsi="Times New Roman" w:cs="Times New Roman"/>
                      <w:b/>
                      <w:bCs/>
                      <w:color w:val="auto"/>
                      <w:szCs w:val="21"/>
                    </w:rPr>
                  </w:pPr>
                  <w:r>
                    <w:rPr>
                      <w:rFonts w:ascii="Times New Roman" w:hAnsi="Times New Roman" w:cs="Times New Roman"/>
                      <w:b/>
                      <w:bCs/>
                      <w:color w:val="auto"/>
                      <w:szCs w:val="21"/>
                    </w:rPr>
                    <w:t>污染物</w:t>
                  </w:r>
                </w:p>
              </w:tc>
              <w:tc>
                <w:tcPr>
                  <w:tcW w:w="464" w:type="dxa"/>
                  <w:vMerge w:val="restart"/>
                  <w:noWrap w:val="0"/>
                  <w:vAlign w:val="center"/>
                </w:tcPr>
                <w:p w14:paraId="48E83E05">
                  <w:pPr>
                    <w:adjustRightInd w:val="0"/>
                    <w:snapToGrid w:val="0"/>
                    <w:jc w:val="center"/>
                    <w:rPr>
                      <w:rFonts w:ascii="Times New Roman" w:hAnsi="Times New Roman" w:cs="Times New Roman"/>
                      <w:b/>
                      <w:bCs/>
                      <w:color w:val="auto"/>
                      <w:szCs w:val="21"/>
                    </w:rPr>
                  </w:pPr>
                  <w:r>
                    <w:rPr>
                      <w:rFonts w:ascii="Times New Roman" w:hAnsi="Times New Roman" w:cs="Times New Roman"/>
                      <w:b/>
                      <w:bCs/>
                      <w:color w:val="auto"/>
                      <w:szCs w:val="21"/>
                    </w:rPr>
                    <w:t>排放形式</w:t>
                  </w:r>
                </w:p>
              </w:tc>
              <w:tc>
                <w:tcPr>
                  <w:tcW w:w="1739" w:type="dxa"/>
                  <w:gridSpan w:val="2"/>
                  <w:noWrap w:val="0"/>
                  <w:vAlign w:val="center"/>
                </w:tcPr>
                <w:p w14:paraId="7322CDF6">
                  <w:pPr>
                    <w:adjustRightInd w:val="0"/>
                    <w:snapToGrid w:val="0"/>
                    <w:jc w:val="center"/>
                    <w:rPr>
                      <w:rFonts w:ascii="Times New Roman" w:hAnsi="Times New Roman" w:cs="Times New Roman"/>
                      <w:b/>
                      <w:bCs/>
                      <w:color w:val="auto"/>
                      <w:szCs w:val="21"/>
                    </w:rPr>
                  </w:pPr>
                  <w:r>
                    <w:rPr>
                      <w:rFonts w:ascii="Times New Roman" w:hAnsi="Times New Roman" w:cs="Times New Roman"/>
                      <w:b/>
                      <w:bCs/>
                      <w:color w:val="auto"/>
                      <w:szCs w:val="21"/>
                    </w:rPr>
                    <w:t>污染物产生情况</w:t>
                  </w:r>
                </w:p>
              </w:tc>
              <w:tc>
                <w:tcPr>
                  <w:tcW w:w="2663" w:type="dxa"/>
                  <w:gridSpan w:val="3"/>
                  <w:noWrap w:val="0"/>
                  <w:vAlign w:val="center"/>
                </w:tcPr>
                <w:p w14:paraId="3A2E8A2E">
                  <w:pPr>
                    <w:adjustRightInd w:val="0"/>
                    <w:snapToGrid w:val="0"/>
                    <w:jc w:val="center"/>
                    <w:rPr>
                      <w:rFonts w:ascii="Times New Roman" w:hAnsi="Times New Roman" w:cs="Times New Roman"/>
                      <w:b/>
                      <w:bCs/>
                      <w:color w:val="auto"/>
                      <w:szCs w:val="21"/>
                    </w:rPr>
                  </w:pPr>
                  <w:r>
                    <w:rPr>
                      <w:rFonts w:ascii="Times New Roman" w:hAnsi="Times New Roman" w:cs="Times New Roman"/>
                      <w:b/>
                      <w:bCs/>
                      <w:color w:val="auto"/>
                      <w:szCs w:val="21"/>
                    </w:rPr>
                    <w:t>污染物排放情况</w:t>
                  </w:r>
                </w:p>
              </w:tc>
              <w:tc>
                <w:tcPr>
                  <w:tcW w:w="872" w:type="dxa"/>
                  <w:vMerge w:val="restart"/>
                  <w:noWrap w:val="0"/>
                  <w:vAlign w:val="center"/>
                </w:tcPr>
                <w:p w14:paraId="5136BE2D">
                  <w:pPr>
                    <w:adjustRightInd w:val="0"/>
                    <w:snapToGrid w:val="0"/>
                    <w:jc w:val="center"/>
                    <w:rPr>
                      <w:rFonts w:ascii="Times New Roman" w:hAnsi="Times New Roman" w:cs="Times New Roman"/>
                      <w:b/>
                      <w:bCs/>
                      <w:color w:val="auto"/>
                      <w:szCs w:val="21"/>
                    </w:rPr>
                  </w:pPr>
                  <w:r>
                    <w:rPr>
                      <w:rFonts w:ascii="Times New Roman" w:hAnsi="Times New Roman" w:cs="Times New Roman"/>
                      <w:b/>
                      <w:bCs/>
                      <w:color w:val="auto"/>
                      <w:szCs w:val="21"/>
                    </w:rPr>
                    <w:t>排放</w:t>
                  </w:r>
                  <w:r>
                    <w:rPr>
                      <w:rFonts w:hint="eastAsia" w:ascii="Times New Roman" w:hAnsi="Times New Roman" w:cs="Times New Roman"/>
                      <w:b/>
                      <w:bCs/>
                      <w:color w:val="auto"/>
                      <w:szCs w:val="21"/>
                      <w:lang w:val="en-US" w:eastAsia="zh-CN"/>
                    </w:rPr>
                    <w:t>浓度</w:t>
                  </w:r>
                  <w:r>
                    <w:rPr>
                      <w:rFonts w:ascii="Times New Roman" w:hAnsi="Times New Roman" w:cs="Times New Roman"/>
                      <w:b/>
                      <w:bCs/>
                      <w:color w:val="auto"/>
                      <w:szCs w:val="21"/>
                    </w:rPr>
                    <w:t>限值mg/m</w:t>
                  </w:r>
                  <w:r>
                    <w:rPr>
                      <w:rFonts w:ascii="Times New Roman" w:hAnsi="Times New Roman" w:cs="Times New Roman"/>
                      <w:b/>
                      <w:bCs/>
                      <w:color w:val="auto"/>
                      <w:szCs w:val="21"/>
                      <w:vertAlign w:val="superscript"/>
                    </w:rPr>
                    <w:t>3</w:t>
                  </w:r>
                </w:p>
              </w:tc>
              <w:tc>
                <w:tcPr>
                  <w:tcW w:w="831" w:type="dxa"/>
                  <w:vMerge w:val="restart"/>
                  <w:noWrap w:val="0"/>
                  <w:vAlign w:val="center"/>
                </w:tcPr>
                <w:p w14:paraId="199AD727">
                  <w:pPr>
                    <w:adjustRightInd w:val="0"/>
                    <w:snapToGrid w:val="0"/>
                    <w:jc w:val="center"/>
                    <w:rPr>
                      <w:rFonts w:hint="default" w:ascii="Times New Roman" w:hAnsi="Times New Roman" w:eastAsia="宋体" w:cs="Times New Roman"/>
                      <w:b/>
                      <w:bCs/>
                      <w:color w:val="auto"/>
                      <w:szCs w:val="21"/>
                      <w:lang w:val="en-US" w:eastAsia="zh-CN"/>
                    </w:rPr>
                  </w:pPr>
                  <w:r>
                    <w:rPr>
                      <w:rFonts w:hint="eastAsia" w:ascii="Times New Roman" w:hAnsi="Times New Roman" w:cs="Times New Roman"/>
                      <w:b/>
                      <w:bCs/>
                      <w:color w:val="auto"/>
                      <w:szCs w:val="21"/>
                      <w:lang w:val="en-US" w:eastAsia="zh-CN"/>
                    </w:rPr>
                    <w:t>排放速率限值kg/h</w:t>
                  </w:r>
                </w:p>
              </w:tc>
            </w:tr>
            <w:tr w14:paraId="4C851F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574" w:type="dxa"/>
                  <w:vMerge w:val="continue"/>
                  <w:noWrap w:val="0"/>
                  <w:vAlign w:val="center"/>
                </w:tcPr>
                <w:p w14:paraId="5EB887F3">
                  <w:pPr>
                    <w:adjustRightInd w:val="0"/>
                    <w:snapToGrid w:val="0"/>
                    <w:jc w:val="center"/>
                    <w:rPr>
                      <w:rFonts w:ascii="Times New Roman" w:hAnsi="Times New Roman" w:cs="Times New Roman"/>
                      <w:b/>
                      <w:bCs/>
                      <w:color w:val="auto"/>
                      <w:szCs w:val="21"/>
                    </w:rPr>
                  </w:pPr>
                </w:p>
              </w:tc>
              <w:tc>
                <w:tcPr>
                  <w:tcW w:w="882" w:type="dxa"/>
                  <w:vMerge w:val="continue"/>
                  <w:noWrap w:val="0"/>
                  <w:vAlign w:val="center"/>
                </w:tcPr>
                <w:p w14:paraId="102EE2AB">
                  <w:pPr>
                    <w:adjustRightInd w:val="0"/>
                    <w:snapToGrid w:val="0"/>
                    <w:jc w:val="center"/>
                    <w:rPr>
                      <w:rFonts w:ascii="Times New Roman" w:hAnsi="Times New Roman" w:cs="Times New Roman"/>
                      <w:b/>
                      <w:bCs/>
                      <w:color w:val="auto"/>
                      <w:szCs w:val="21"/>
                    </w:rPr>
                  </w:pPr>
                </w:p>
              </w:tc>
              <w:tc>
                <w:tcPr>
                  <w:tcW w:w="464" w:type="dxa"/>
                  <w:vMerge w:val="continue"/>
                  <w:noWrap w:val="0"/>
                  <w:vAlign w:val="center"/>
                </w:tcPr>
                <w:p w14:paraId="25DB68D6">
                  <w:pPr>
                    <w:adjustRightInd w:val="0"/>
                    <w:snapToGrid w:val="0"/>
                    <w:jc w:val="center"/>
                    <w:rPr>
                      <w:rFonts w:ascii="Times New Roman" w:hAnsi="Times New Roman" w:cs="Times New Roman"/>
                      <w:b/>
                      <w:bCs/>
                      <w:color w:val="auto"/>
                      <w:szCs w:val="21"/>
                    </w:rPr>
                  </w:pPr>
                </w:p>
              </w:tc>
              <w:tc>
                <w:tcPr>
                  <w:tcW w:w="836" w:type="dxa"/>
                  <w:noWrap w:val="0"/>
                  <w:vAlign w:val="center"/>
                </w:tcPr>
                <w:p w14:paraId="2633D0A9">
                  <w:pPr>
                    <w:adjustRightInd w:val="0"/>
                    <w:snapToGrid w:val="0"/>
                    <w:jc w:val="center"/>
                    <w:rPr>
                      <w:rFonts w:ascii="Times New Roman" w:hAnsi="Times New Roman" w:cs="Times New Roman"/>
                      <w:b/>
                      <w:bCs/>
                      <w:color w:val="auto"/>
                      <w:szCs w:val="21"/>
                    </w:rPr>
                  </w:pPr>
                  <w:r>
                    <w:rPr>
                      <w:rFonts w:ascii="Times New Roman" w:hAnsi="Times New Roman" w:cs="Times New Roman"/>
                      <w:b/>
                      <w:bCs/>
                      <w:color w:val="auto"/>
                      <w:szCs w:val="21"/>
                    </w:rPr>
                    <w:t>产生量t/a</w:t>
                  </w:r>
                </w:p>
              </w:tc>
              <w:tc>
                <w:tcPr>
                  <w:tcW w:w="903" w:type="dxa"/>
                  <w:noWrap w:val="0"/>
                  <w:vAlign w:val="center"/>
                </w:tcPr>
                <w:p w14:paraId="0783119E">
                  <w:pPr>
                    <w:adjustRightInd w:val="0"/>
                    <w:snapToGrid w:val="0"/>
                    <w:jc w:val="center"/>
                    <w:rPr>
                      <w:rFonts w:ascii="Times New Roman" w:hAnsi="Times New Roman" w:cs="Times New Roman"/>
                      <w:b/>
                      <w:bCs/>
                      <w:color w:val="auto"/>
                      <w:szCs w:val="21"/>
                    </w:rPr>
                  </w:pPr>
                  <w:r>
                    <w:rPr>
                      <w:rFonts w:ascii="Times New Roman" w:hAnsi="Times New Roman" w:cs="Times New Roman"/>
                      <w:b/>
                      <w:bCs/>
                      <w:color w:val="auto"/>
                      <w:szCs w:val="21"/>
                    </w:rPr>
                    <w:t>产生速率kg/h</w:t>
                  </w:r>
                </w:p>
              </w:tc>
              <w:tc>
                <w:tcPr>
                  <w:tcW w:w="858" w:type="dxa"/>
                  <w:noWrap w:val="0"/>
                  <w:vAlign w:val="center"/>
                </w:tcPr>
                <w:p w14:paraId="6B9448C6">
                  <w:pPr>
                    <w:adjustRightInd w:val="0"/>
                    <w:snapToGrid w:val="0"/>
                    <w:jc w:val="center"/>
                    <w:rPr>
                      <w:rFonts w:ascii="Times New Roman" w:hAnsi="Times New Roman" w:cs="Times New Roman"/>
                      <w:b/>
                      <w:bCs/>
                      <w:color w:val="auto"/>
                      <w:szCs w:val="21"/>
                    </w:rPr>
                  </w:pPr>
                  <w:r>
                    <w:rPr>
                      <w:rFonts w:ascii="Times New Roman" w:hAnsi="Times New Roman" w:cs="Times New Roman"/>
                      <w:b/>
                      <w:bCs/>
                      <w:color w:val="auto"/>
                      <w:szCs w:val="21"/>
                    </w:rPr>
                    <w:t>排放量t/a</w:t>
                  </w:r>
                </w:p>
              </w:tc>
              <w:tc>
                <w:tcPr>
                  <w:tcW w:w="780" w:type="dxa"/>
                  <w:noWrap w:val="0"/>
                  <w:vAlign w:val="center"/>
                </w:tcPr>
                <w:p w14:paraId="167F236E">
                  <w:pPr>
                    <w:adjustRightInd w:val="0"/>
                    <w:snapToGrid w:val="0"/>
                    <w:jc w:val="center"/>
                    <w:rPr>
                      <w:rFonts w:ascii="Times New Roman" w:hAnsi="Times New Roman" w:cs="Times New Roman"/>
                      <w:b/>
                      <w:bCs/>
                      <w:color w:val="auto"/>
                      <w:szCs w:val="21"/>
                    </w:rPr>
                  </w:pPr>
                  <w:r>
                    <w:rPr>
                      <w:rFonts w:ascii="Times New Roman" w:hAnsi="Times New Roman" w:cs="Times New Roman"/>
                      <w:b/>
                      <w:bCs/>
                      <w:color w:val="auto"/>
                      <w:szCs w:val="21"/>
                    </w:rPr>
                    <w:t>排放速率kg/h</w:t>
                  </w:r>
                </w:p>
              </w:tc>
              <w:tc>
                <w:tcPr>
                  <w:tcW w:w="1025" w:type="dxa"/>
                  <w:noWrap w:val="0"/>
                  <w:vAlign w:val="center"/>
                </w:tcPr>
                <w:p w14:paraId="14DE3927">
                  <w:pPr>
                    <w:adjustRightInd w:val="0"/>
                    <w:snapToGrid w:val="0"/>
                    <w:jc w:val="center"/>
                    <w:rPr>
                      <w:rFonts w:ascii="Times New Roman" w:hAnsi="Times New Roman" w:cs="Times New Roman"/>
                      <w:b/>
                      <w:bCs/>
                      <w:color w:val="auto"/>
                      <w:szCs w:val="21"/>
                    </w:rPr>
                  </w:pPr>
                  <w:r>
                    <w:rPr>
                      <w:rFonts w:ascii="Times New Roman" w:hAnsi="Times New Roman" w:cs="Times New Roman"/>
                      <w:b/>
                      <w:bCs/>
                      <w:color w:val="auto"/>
                      <w:szCs w:val="21"/>
                    </w:rPr>
                    <w:t>排放浓度mg/m</w:t>
                  </w:r>
                  <w:r>
                    <w:rPr>
                      <w:rFonts w:ascii="Times New Roman" w:hAnsi="Times New Roman" w:cs="Times New Roman"/>
                      <w:b/>
                      <w:bCs/>
                      <w:color w:val="auto"/>
                      <w:szCs w:val="21"/>
                      <w:vertAlign w:val="superscript"/>
                    </w:rPr>
                    <w:t>3</w:t>
                  </w:r>
                </w:p>
              </w:tc>
              <w:tc>
                <w:tcPr>
                  <w:tcW w:w="872" w:type="dxa"/>
                  <w:vMerge w:val="continue"/>
                  <w:noWrap w:val="0"/>
                  <w:vAlign w:val="center"/>
                </w:tcPr>
                <w:p w14:paraId="6CF4A08C">
                  <w:pPr>
                    <w:adjustRightInd w:val="0"/>
                    <w:snapToGrid w:val="0"/>
                    <w:jc w:val="center"/>
                    <w:rPr>
                      <w:rFonts w:ascii="Times New Roman" w:hAnsi="Times New Roman" w:cs="Times New Roman"/>
                      <w:b/>
                      <w:bCs/>
                      <w:color w:val="auto"/>
                      <w:szCs w:val="21"/>
                    </w:rPr>
                  </w:pPr>
                </w:p>
              </w:tc>
              <w:tc>
                <w:tcPr>
                  <w:tcW w:w="831" w:type="dxa"/>
                  <w:vMerge w:val="continue"/>
                  <w:noWrap w:val="0"/>
                  <w:vAlign w:val="center"/>
                </w:tcPr>
                <w:p w14:paraId="36D45468">
                  <w:pPr>
                    <w:adjustRightInd w:val="0"/>
                    <w:snapToGrid w:val="0"/>
                    <w:jc w:val="center"/>
                    <w:rPr>
                      <w:rFonts w:ascii="Times New Roman" w:hAnsi="Times New Roman" w:cs="Times New Roman"/>
                      <w:b/>
                      <w:bCs/>
                      <w:color w:val="auto"/>
                      <w:szCs w:val="21"/>
                    </w:rPr>
                  </w:pPr>
                </w:p>
              </w:tc>
            </w:tr>
            <w:tr w14:paraId="06B197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4" w:type="dxa"/>
                  <w:vMerge w:val="restart"/>
                  <w:noWrap w:val="0"/>
                  <w:vAlign w:val="center"/>
                </w:tcPr>
                <w:p w14:paraId="3B666E25">
                  <w:pPr>
                    <w:adjustRightInd w:val="0"/>
                    <w:snapToGrid w:val="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DA004</w:t>
                  </w:r>
                </w:p>
              </w:tc>
              <w:tc>
                <w:tcPr>
                  <w:tcW w:w="882" w:type="dxa"/>
                  <w:noWrap w:val="0"/>
                  <w:vAlign w:val="center"/>
                </w:tcPr>
                <w:p w14:paraId="71CC62AC">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颗粒物</w:t>
                  </w:r>
                </w:p>
              </w:tc>
              <w:tc>
                <w:tcPr>
                  <w:tcW w:w="464" w:type="dxa"/>
                  <w:vMerge w:val="restart"/>
                  <w:noWrap w:val="0"/>
                  <w:vAlign w:val="center"/>
                </w:tcPr>
                <w:p w14:paraId="6C5CD06D">
                  <w:pPr>
                    <w:adjustRightInd w:val="0"/>
                    <w:snapToGrid w:val="0"/>
                    <w:jc w:val="center"/>
                    <w:rPr>
                      <w:rFonts w:hint="eastAsia" w:ascii="Times New Roman" w:hAnsi="Times New Roman" w:cs="Times New Roman"/>
                      <w:color w:val="auto"/>
                      <w:kern w:val="2"/>
                      <w:sz w:val="21"/>
                      <w:szCs w:val="21"/>
                      <w:lang w:val="en-US" w:eastAsia="zh-CN" w:bidi="ar-SA"/>
                    </w:rPr>
                  </w:pPr>
                  <w:r>
                    <w:rPr>
                      <w:rFonts w:ascii="Times New Roman" w:hAnsi="Times New Roman" w:cs="Times New Roman"/>
                      <w:color w:val="auto"/>
                      <w:szCs w:val="21"/>
                    </w:rPr>
                    <w:t>有组织</w:t>
                  </w:r>
                </w:p>
              </w:tc>
              <w:tc>
                <w:tcPr>
                  <w:tcW w:w="836" w:type="dxa"/>
                  <w:noWrap w:val="0"/>
                  <w:vAlign w:val="center"/>
                </w:tcPr>
                <w:p w14:paraId="67780C5B">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0.456</w:t>
                  </w:r>
                </w:p>
              </w:tc>
              <w:tc>
                <w:tcPr>
                  <w:tcW w:w="903" w:type="dxa"/>
                  <w:noWrap w:val="0"/>
                  <w:vAlign w:val="center"/>
                </w:tcPr>
                <w:p w14:paraId="3BB21A9B">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38</w:t>
                  </w:r>
                </w:p>
              </w:tc>
              <w:tc>
                <w:tcPr>
                  <w:tcW w:w="858" w:type="dxa"/>
                  <w:noWrap w:val="0"/>
                  <w:vAlign w:val="center"/>
                </w:tcPr>
                <w:p w14:paraId="1CDB696B">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274</w:t>
                  </w:r>
                </w:p>
              </w:tc>
              <w:tc>
                <w:tcPr>
                  <w:tcW w:w="780" w:type="dxa"/>
                  <w:noWrap w:val="0"/>
                  <w:vAlign w:val="center"/>
                </w:tcPr>
                <w:p w14:paraId="61AE6F82">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23</w:t>
                  </w:r>
                </w:p>
              </w:tc>
              <w:tc>
                <w:tcPr>
                  <w:tcW w:w="1025" w:type="dxa"/>
                  <w:noWrap w:val="0"/>
                  <w:vAlign w:val="center"/>
                </w:tcPr>
                <w:p w14:paraId="0B3B132C">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15.3</w:t>
                  </w:r>
                </w:p>
              </w:tc>
              <w:tc>
                <w:tcPr>
                  <w:tcW w:w="872" w:type="dxa"/>
                  <w:noWrap w:val="0"/>
                  <w:vAlign w:val="center"/>
                </w:tcPr>
                <w:p w14:paraId="626A9E60">
                  <w:pPr>
                    <w:adjustRightInd w:val="0"/>
                    <w:snapToGrid w:val="0"/>
                    <w:jc w:val="center"/>
                    <w:rPr>
                      <w:rFonts w:hint="default" w:ascii="Times New Roman" w:hAnsi="Times New Roman" w:cs="Times New Roman"/>
                      <w:color w:val="auto"/>
                      <w:kern w:val="2"/>
                      <w:sz w:val="21"/>
                      <w:szCs w:val="21"/>
                      <w:lang w:val="en-US" w:eastAsia="zh-CN" w:bidi="ar-SA"/>
                    </w:rPr>
                  </w:pPr>
                  <w:r>
                    <w:rPr>
                      <w:rFonts w:ascii="Times New Roman" w:hAnsi="Times New Roman" w:cs="Times New Roman"/>
                      <w:color w:val="auto"/>
                      <w:szCs w:val="21"/>
                    </w:rPr>
                    <w:t>120</w:t>
                  </w:r>
                </w:p>
              </w:tc>
              <w:tc>
                <w:tcPr>
                  <w:tcW w:w="831" w:type="dxa"/>
                  <w:noWrap w:val="0"/>
                  <w:vAlign w:val="center"/>
                </w:tcPr>
                <w:p w14:paraId="5CFC623F">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3.98</w:t>
                  </w:r>
                </w:p>
              </w:tc>
            </w:tr>
            <w:tr w14:paraId="6849D5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4" w:type="dxa"/>
                  <w:vMerge w:val="continue"/>
                  <w:noWrap w:val="0"/>
                  <w:vAlign w:val="center"/>
                </w:tcPr>
                <w:p w14:paraId="492E301A">
                  <w:pPr>
                    <w:adjustRightInd w:val="0"/>
                    <w:snapToGrid w:val="0"/>
                    <w:jc w:val="center"/>
                    <w:rPr>
                      <w:rFonts w:hint="eastAsia" w:ascii="Times New Roman" w:hAnsi="Times New Roman" w:cs="Times New Roman"/>
                      <w:color w:val="auto"/>
                      <w:szCs w:val="21"/>
                      <w:lang w:val="en-US" w:eastAsia="zh-CN"/>
                    </w:rPr>
                  </w:pPr>
                </w:p>
              </w:tc>
              <w:tc>
                <w:tcPr>
                  <w:tcW w:w="882" w:type="dxa"/>
                  <w:noWrap w:val="0"/>
                  <w:vAlign w:val="center"/>
                </w:tcPr>
                <w:p w14:paraId="0D0E6674">
                  <w:pPr>
                    <w:adjustRightInd w:val="0"/>
                    <w:snapToGrid w:val="0"/>
                    <w:jc w:val="center"/>
                    <w:rPr>
                      <w:rFonts w:hint="eastAsia" w:ascii="Times New Roman" w:hAnsi="Times New Roman" w:cs="Times New Roman"/>
                      <w:color w:val="auto"/>
                      <w:szCs w:val="21"/>
                      <w:lang w:val="en-US" w:eastAsia="zh-CN"/>
                    </w:rPr>
                  </w:pPr>
                  <w:r>
                    <w:rPr>
                      <w:rFonts w:ascii="Times New Roman" w:hAnsi="Times New Roman" w:cs="Times New Roman"/>
                      <w:color w:val="auto"/>
                      <w:szCs w:val="21"/>
                    </w:rPr>
                    <w:t>非甲烷总烃</w:t>
                  </w:r>
                </w:p>
              </w:tc>
              <w:tc>
                <w:tcPr>
                  <w:tcW w:w="464" w:type="dxa"/>
                  <w:vMerge w:val="continue"/>
                  <w:noWrap w:val="0"/>
                  <w:vAlign w:val="center"/>
                </w:tcPr>
                <w:p w14:paraId="7BC1F949">
                  <w:pPr>
                    <w:adjustRightInd w:val="0"/>
                    <w:snapToGrid w:val="0"/>
                    <w:jc w:val="center"/>
                    <w:rPr>
                      <w:rFonts w:ascii="Times New Roman" w:hAnsi="Times New Roman" w:cs="Times New Roman"/>
                      <w:color w:val="auto"/>
                      <w:szCs w:val="21"/>
                    </w:rPr>
                  </w:pPr>
                </w:p>
              </w:tc>
              <w:tc>
                <w:tcPr>
                  <w:tcW w:w="836" w:type="dxa"/>
                  <w:noWrap w:val="0"/>
                  <w:vAlign w:val="center"/>
                </w:tcPr>
                <w:p w14:paraId="5924211D">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0.03</w:t>
                  </w:r>
                </w:p>
              </w:tc>
              <w:tc>
                <w:tcPr>
                  <w:tcW w:w="903" w:type="dxa"/>
                  <w:noWrap w:val="0"/>
                  <w:vAlign w:val="center"/>
                </w:tcPr>
                <w:p w14:paraId="60F19A33">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0.03</w:t>
                  </w:r>
                </w:p>
              </w:tc>
              <w:tc>
                <w:tcPr>
                  <w:tcW w:w="858" w:type="dxa"/>
                  <w:noWrap w:val="0"/>
                  <w:vAlign w:val="center"/>
                </w:tcPr>
                <w:p w14:paraId="21AE10B8">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0.024</w:t>
                  </w:r>
                </w:p>
              </w:tc>
              <w:tc>
                <w:tcPr>
                  <w:tcW w:w="780" w:type="dxa"/>
                  <w:noWrap w:val="0"/>
                  <w:vAlign w:val="center"/>
                </w:tcPr>
                <w:p w14:paraId="590DADB0">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0.02</w:t>
                  </w:r>
                </w:p>
              </w:tc>
              <w:tc>
                <w:tcPr>
                  <w:tcW w:w="1025" w:type="dxa"/>
                  <w:noWrap w:val="0"/>
                  <w:vAlign w:val="center"/>
                </w:tcPr>
                <w:p w14:paraId="2B7B03B2">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1.3</w:t>
                  </w:r>
                </w:p>
              </w:tc>
              <w:tc>
                <w:tcPr>
                  <w:tcW w:w="872" w:type="dxa"/>
                  <w:noWrap w:val="0"/>
                  <w:vAlign w:val="center"/>
                </w:tcPr>
                <w:p w14:paraId="7C319587">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50</w:t>
                  </w:r>
                </w:p>
              </w:tc>
              <w:tc>
                <w:tcPr>
                  <w:tcW w:w="831" w:type="dxa"/>
                  <w:noWrap w:val="0"/>
                  <w:vAlign w:val="center"/>
                </w:tcPr>
                <w:p w14:paraId="10A95E9C">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w:t>
                  </w:r>
                </w:p>
              </w:tc>
            </w:tr>
            <w:tr w14:paraId="30BB36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4" w:type="dxa"/>
                  <w:vMerge w:val="continue"/>
                  <w:noWrap w:val="0"/>
                  <w:vAlign w:val="center"/>
                </w:tcPr>
                <w:p w14:paraId="13FD9B63">
                  <w:pPr>
                    <w:adjustRightInd w:val="0"/>
                    <w:snapToGrid w:val="0"/>
                    <w:jc w:val="center"/>
                    <w:rPr>
                      <w:rFonts w:hint="eastAsia" w:ascii="Times New Roman" w:hAnsi="Times New Roman" w:cs="Times New Roman"/>
                      <w:color w:val="auto"/>
                      <w:szCs w:val="21"/>
                      <w:lang w:val="en-US" w:eastAsia="zh-CN"/>
                    </w:rPr>
                  </w:pPr>
                </w:p>
              </w:tc>
              <w:tc>
                <w:tcPr>
                  <w:tcW w:w="882" w:type="dxa"/>
                  <w:shd w:val="clear" w:color="auto" w:fill="auto"/>
                  <w:noWrap w:val="0"/>
                  <w:vAlign w:val="center"/>
                </w:tcPr>
                <w:p w14:paraId="4EAE7B39">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颗粒物</w:t>
                  </w:r>
                </w:p>
              </w:tc>
              <w:tc>
                <w:tcPr>
                  <w:tcW w:w="464" w:type="dxa"/>
                  <w:vMerge w:val="restart"/>
                  <w:shd w:val="clear" w:color="auto" w:fill="auto"/>
                  <w:noWrap w:val="0"/>
                  <w:vAlign w:val="center"/>
                </w:tcPr>
                <w:p w14:paraId="0D65EDF4">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无组织</w:t>
                  </w:r>
                </w:p>
              </w:tc>
              <w:tc>
                <w:tcPr>
                  <w:tcW w:w="836" w:type="dxa"/>
                  <w:shd w:val="clear" w:color="auto" w:fill="auto"/>
                  <w:noWrap w:val="0"/>
                  <w:vAlign w:val="center"/>
                </w:tcPr>
                <w:p w14:paraId="292D10DA">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0.114</w:t>
                  </w:r>
                </w:p>
              </w:tc>
              <w:tc>
                <w:tcPr>
                  <w:tcW w:w="903" w:type="dxa"/>
                  <w:shd w:val="clear" w:color="auto" w:fill="auto"/>
                  <w:noWrap w:val="0"/>
                  <w:vAlign w:val="center"/>
                </w:tcPr>
                <w:p w14:paraId="3F2C6B71">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858" w:type="dxa"/>
                  <w:shd w:val="clear" w:color="auto" w:fill="auto"/>
                  <w:noWrap w:val="0"/>
                  <w:vAlign w:val="center"/>
                </w:tcPr>
                <w:p w14:paraId="6D161342">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0.114</w:t>
                  </w:r>
                </w:p>
              </w:tc>
              <w:tc>
                <w:tcPr>
                  <w:tcW w:w="780" w:type="dxa"/>
                  <w:shd w:val="clear" w:color="auto" w:fill="auto"/>
                  <w:noWrap w:val="0"/>
                  <w:vAlign w:val="center"/>
                </w:tcPr>
                <w:p w14:paraId="231AD63A">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1025" w:type="dxa"/>
                  <w:shd w:val="clear" w:color="auto" w:fill="auto"/>
                  <w:noWrap w:val="0"/>
                  <w:vAlign w:val="center"/>
                </w:tcPr>
                <w:p w14:paraId="383BED4D">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872" w:type="dxa"/>
                  <w:shd w:val="clear" w:color="auto" w:fill="auto"/>
                  <w:noWrap w:val="0"/>
                  <w:vAlign w:val="center"/>
                </w:tcPr>
                <w:p w14:paraId="0E3A728A">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1.0</w:t>
                  </w:r>
                </w:p>
              </w:tc>
              <w:tc>
                <w:tcPr>
                  <w:tcW w:w="831" w:type="dxa"/>
                  <w:shd w:val="clear" w:color="auto" w:fill="auto"/>
                  <w:noWrap w:val="0"/>
                  <w:vAlign w:val="center"/>
                </w:tcPr>
                <w:p w14:paraId="3190E8B2">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r>
            <w:tr w14:paraId="51C7EA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4" w:type="dxa"/>
                  <w:vMerge w:val="continue"/>
                  <w:noWrap w:val="0"/>
                  <w:vAlign w:val="center"/>
                </w:tcPr>
                <w:p w14:paraId="17C49191">
                  <w:pPr>
                    <w:adjustRightInd w:val="0"/>
                    <w:snapToGrid w:val="0"/>
                    <w:jc w:val="center"/>
                    <w:rPr>
                      <w:rFonts w:hint="eastAsia" w:ascii="Times New Roman" w:hAnsi="Times New Roman" w:cs="Times New Roman"/>
                      <w:color w:val="auto"/>
                      <w:szCs w:val="21"/>
                      <w:lang w:val="en-US" w:eastAsia="zh-CN"/>
                    </w:rPr>
                  </w:pPr>
                </w:p>
              </w:tc>
              <w:tc>
                <w:tcPr>
                  <w:tcW w:w="882" w:type="dxa"/>
                  <w:noWrap w:val="0"/>
                  <w:vAlign w:val="center"/>
                </w:tcPr>
                <w:p w14:paraId="3DB855F4">
                  <w:pPr>
                    <w:adjustRightInd w:val="0"/>
                    <w:snapToGrid w:val="0"/>
                    <w:jc w:val="center"/>
                    <w:rPr>
                      <w:rFonts w:hint="eastAsia" w:ascii="Times New Roman" w:hAnsi="Times New Roman" w:cs="Times New Roman"/>
                      <w:color w:val="auto"/>
                      <w:kern w:val="2"/>
                      <w:sz w:val="21"/>
                      <w:szCs w:val="21"/>
                      <w:lang w:val="en-US" w:eastAsia="zh-CN" w:bidi="ar-SA"/>
                    </w:rPr>
                  </w:pPr>
                  <w:r>
                    <w:rPr>
                      <w:rFonts w:ascii="Times New Roman" w:hAnsi="Times New Roman" w:cs="Times New Roman"/>
                      <w:color w:val="auto"/>
                      <w:szCs w:val="21"/>
                    </w:rPr>
                    <w:t>非甲烷总烃</w:t>
                  </w:r>
                </w:p>
              </w:tc>
              <w:tc>
                <w:tcPr>
                  <w:tcW w:w="464" w:type="dxa"/>
                  <w:vMerge w:val="continue"/>
                  <w:noWrap w:val="0"/>
                  <w:vAlign w:val="center"/>
                </w:tcPr>
                <w:p w14:paraId="4CE9582F">
                  <w:pPr>
                    <w:adjustRightInd w:val="0"/>
                    <w:snapToGrid w:val="0"/>
                    <w:jc w:val="center"/>
                    <w:rPr>
                      <w:rFonts w:hint="eastAsia" w:ascii="Times New Roman" w:hAnsi="Times New Roman" w:eastAsia="宋体" w:cs="Times New Roman"/>
                      <w:color w:val="auto"/>
                      <w:kern w:val="2"/>
                      <w:sz w:val="21"/>
                      <w:szCs w:val="21"/>
                      <w:lang w:val="en-US" w:eastAsia="zh-CN" w:bidi="ar-SA"/>
                    </w:rPr>
                  </w:pPr>
                </w:p>
              </w:tc>
              <w:tc>
                <w:tcPr>
                  <w:tcW w:w="836" w:type="dxa"/>
                  <w:noWrap w:val="0"/>
                  <w:vAlign w:val="center"/>
                </w:tcPr>
                <w:p w14:paraId="3CBE009E">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0.007</w:t>
                  </w:r>
                </w:p>
              </w:tc>
              <w:tc>
                <w:tcPr>
                  <w:tcW w:w="903" w:type="dxa"/>
                  <w:noWrap w:val="0"/>
                  <w:vAlign w:val="center"/>
                </w:tcPr>
                <w:p w14:paraId="0C6E136B">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858" w:type="dxa"/>
                  <w:noWrap w:val="0"/>
                  <w:vAlign w:val="center"/>
                </w:tcPr>
                <w:p w14:paraId="1CB8EE16">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0.007</w:t>
                  </w:r>
                </w:p>
              </w:tc>
              <w:tc>
                <w:tcPr>
                  <w:tcW w:w="780" w:type="dxa"/>
                  <w:noWrap w:val="0"/>
                  <w:vAlign w:val="center"/>
                </w:tcPr>
                <w:p w14:paraId="62B1FC6D">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1025" w:type="dxa"/>
                  <w:noWrap w:val="0"/>
                  <w:vAlign w:val="center"/>
                </w:tcPr>
                <w:p w14:paraId="0635B423">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872" w:type="dxa"/>
                  <w:noWrap w:val="0"/>
                  <w:vAlign w:val="center"/>
                </w:tcPr>
                <w:p w14:paraId="3C0636F5">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4.0</w:t>
                  </w:r>
                </w:p>
              </w:tc>
              <w:tc>
                <w:tcPr>
                  <w:tcW w:w="831" w:type="dxa"/>
                  <w:noWrap w:val="0"/>
                  <w:vAlign w:val="center"/>
                </w:tcPr>
                <w:p w14:paraId="659E08D2">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r>
            <w:tr w14:paraId="70654A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4" w:type="dxa"/>
                  <w:vMerge w:val="restart"/>
                  <w:noWrap w:val="0"/>
                  <w:vAlign w:val="center"/>
                </w:tcPr>
                <w:p w14:paraId="5B4F173B">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DA005</w:t>
                  </w:r>
                </w:p>
              </w:tc>
              <w:tc>
                <w:tcPr>
                  <w:tcW w:w="882" w:type="dxa"/>
                  <w:noWrap w:val="0"/>
                  <w:vAlign w:val="center"/>
                </w:tcPr>
                <w:p w14:paraId="4B154167">
                  <w:pPr>
                    <w:adjustRightInd w:val="0"/>
                    <w:snapToGrid w:val="0"/>
                    <w:jc w:val="center"/>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颗粒物</w:t>
                  </w:r>
                </w:p>
              </w:tc>
              <w:tc>
                <w:tcPr>
                  <w:tcW w:w="464" w:type="dxa"/>
                  <w:vMerge w:val="restart"/>
                  <w:noWrap w:val="0"/>
                  <w:vAlign w:val="center"/>
                </w:tcPr>
                <w:p w14:paraId="3F9A09B9">
                  <w:pPr>
                    <w:adjustRightInd w:val="0"/>
                    <w:snapToGrid w:val="0"/>
                    <w:jc w:val="center"/>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有组织</w:t>
                  </w:r>
                </w:p>
              </w:tc>
              <w:tc>
                <w:tcPr>
                  <w:tcW w:w="836" w:type="dxa"/>
                  <w:noWrap w:val="0"/>
                  <w:vAlign w:val="center"/>
                </w:tcPr>
                <w:p w14:paraId="212CCD17">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w:t>
                  </w:r>
                  <w:r>
                    <w:rPr>
                      <w:rFonts w:hint="eastAsia" w:cs="Times New Roman"/>
                      <w:color w:val="auto"/>
                      <w:kern w:val="2"/>
                      <w:sz w:val="21"/>
                      <w:szCs w:val="21"/>
                      <w:lang w:val="en-US" w:eastAsia="zh-CN" w:bidi="ar-SA"/>
                    </w:rPr>
                    <w:t>68</w:t>
                  </w:r>
                </w:p>
              </w:tc>
              <w:tc>
                <w:tcPr>
                  <w:tcW w:w="903" w:type="dxa"/>
                  <w:noWrap w:val="0"/>
                  <w:vAlign w:val="center"/>
                </w:tcPr>
                <w:p w14:paraId="37815AC8">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38</w:t>
                  </w:r>
                </w:p>
              </w:tc>
              <w:tc>
                <w:tcPr>
                  <w:tcW w:w="858" w:type="dxa"/>
                  <w:noWrap w:val="0"/>
                  <w:vAlign w:val="center"/>
                </w:tcPr>
                <w:p w14:paraId="146E37AD">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0.4</w:t>
                  </w:r>
                  <w:r>
                    <w:rPr>
                      <w:rFonts w:hint="eastAsia" w:cs="Times New Roman"/>
                      <w:color w:val="auto"/>
                      <w:szCs w:val="21"/>
                      <w:lang w:val="en-US" w:eastAsia="zh-CN"/>
                    </w:rPr>
                    <w:t>08</w:t>
                  </w:r>
                </w:p>
              </w:tc>
              <w:tc>
                <w:tcPr>
                  <w:tcW w:w="780" w:type="dxa"/>
                  <w:noWrap w:val="0"/>
                  <w:vAlign w:val="center"/>
                </w:tcPr>
                <w:p w14:paraId="4C63005B">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0.2</w:t>
                  </w:r>
                  <w:r>
                    <w:rPr>
                      <w:rFonts w:hint="eastAsia" w:cs="Times New Roman"/>
                      <w:color w:val="auto"/>
                      <w:szCs w:val="21"/>
                      <w:lang w:val="en-US" w:eastAsia="zh-CN"/>
                    </w:rPr>
                    <w:t>3</w:t>
                  </w:r>
                </w:p>
              </w:tc>
              <w:tc>
                <w:tcPr>
                  <w:tcW w:w="1025" w:type="dxa"/>
                  <w:noWrap w:val="0"/>
                  <w:vAlign w:val="center"/>
                </w:tcPr>
                <w:p w14:paraId="20FF6A54">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15.3</w:t>
                  </w:r>
                </w:p>
              </w:tc>
              <w:tc>
                <w:tcPr>
                  <w:tcW w:w="872" w:type="dxa"/>
                  <w:noWrap w:val="0"/>
                  <w:vAlign w:val="center"/>
                </w:tcPr>
                <w:p w14:paraId="5CA33971">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120</w:t>
                  </w:r>
                </w:p>
              </w:tc>
              <w:tc>
                <w:tcPr>
                  <w:tcW w:w="831" w:type="dxa"/>
                  <w:noWrap w:val="0"/>
                  <w:vAlign w:val="center"/>
                </w:tcPr>
                <w:p w14:paraId="50655FB1">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3.98</w:t>
                  </w:r>
                </w:p>
              </w:tc>
            </w:tr>
            <w:tr w14:paraId="5618F6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4" w:type="dxa"/>
                  <w:vMerge w:val="continue"/>
                  <w:noWrap w:val="0"/>
                  <w:vAlign w:val="center"/>
                </w:tcPr>
                <w:p w14:paraId="679C1850">
                  <w:pPr>
                    <w:adjustRightInd w:val="0"/>
                    <w:snapToGrid w:val="0"/>
                    <w:jc w:val="center"/>
                    <w:rPr>
                      <w:rFonts w:hint="eastAsia" w:ascii="Times New Roman" w:hAnsi="Times New Roman" w:cs="Times New Roman"/>
                      <w:color w:val="auto"/>
                      <w:szCs w:val="21"/>
                      <w:lang w:val="en-US" w:eastAsia="zh-CN"/>
                    </w:rPr>
                  </w:pPr>
                </w:p>
              </w:tc>
              <w:tc>
                <w:tcPr>
                  <w:tcW w:w="882" w:type="dxa"/>
                  <w:noWrap w:val="0"/>
                  <w:vAlign w:val="center"/>
                </w:tcPr>
                <w:p w14:paraId="67D59A0E">
                  <w:pPr>
                    <w:adjustRightInd w:val="0"/>
                    <w:snapToGrid w:val="0"/>
                    <w:jc w:val="center"/>
                    <w:rPr>
                      <w:rFonts w:ascii="Times New Roman" w:hAnsi="Times New Roman" w:cs="Times New Roman"/>
                      <w:color w:val="auto"/>
                      <w:szCs w:val="21"/>
                    </w:rPr>
                  </w:pPr>
                  <w:r>
                    <w:rPr>
                      <w:rFonts w:ascii="Times New Roman" w:hAnsi="Times New Roman" w:cs="Times New Roman"/>
                      <w:color w:val="auto"/>
                      <w:szCs w:val="21"/>
                    </w:rPr>
                    <w:t>非甲烷总烃</w:t>
                  </w:r>
                </w:p>
              </w:tc>
              <w:tc>
                <w:tcPr>
                  <w:tcW w:w="464" w:type="dxa"/>
                  <w:vMerge w:val="continue"/>
                  <w:noWrap w:val="0"/>
                  <w:vAlign w:val="center"/>
                </w:tcPr>
                <w:p w14:paraId="208271E5">
                  <w:pPr>
                    <w:adjustRightInd w:val="0"/>
                    <w:snapToGrid w:val="0"/>
                    <w:jc w:val="center"/>
                    <w:rPr>
                      <w:rFonts w:hint="eastAsia" w:ascii="Times New Roman" w:hAnsi="Times New Roman" w:cs="Times New Roman"/>
                      <w:color w:val="auto"/>
                      <w:kern w:val="2"/>
                      <w:sz w:val="21"/>
                      <w:szCs w:val="21"/>
                      <w:lang w:val="en-US" w:eastAsia="zh-CN" w:bidi="ar-SA"/>
                    </w:rPr>
                  </w:pPr>
                </w:p>
              </w:tc>
              <w:tc>
                <w:tcPr>
                  <w:tcW w:w="836" w:type="dxa"/>
                  <w:shd w:val="clear" w:color="auto" w:fill="auto"/>
                  <w:noWrap w:val="0"/>
                  <w:vAlign w:val="center"/>
                </w:tcPr>
                <w:p w14:paraId="1F2B8CC5">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0.044</w:t>
                  </w:r>
                </w:p>
              </w:tc>
              <w:tc>
                <w:tcPr>
                  <w:tcW w:w="903" w:type="dxa"/>
                  <w:shd w:val="clear" w:color="auto" w:fill="auto"/>
                  <w:noWrap w:val="0"/>
                  <w:vAlign w:val="center"/>
                </w:tcPr>
                <w:p w14:paraId="43079DA8">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0.02</w:t>
                  </w:r>
                </w:p>
              </w:tc>
              <w:tc>
                <w:tcPr>
                  <w:tcW w:w="858" w:type="dxa"/>
                  <w:shd w:val="clear" w:color="auto" w:fill="auto"/>
                  <w:noWrap w:val="0"/>
                  <w:vAlign w:val="center"/>
                </w:tcPr>
                <w:p w14:paraId="4129A43C">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0.035</w:t>
                  </w:r>
                </w:p>
              </w:tc>
              <w:tc>
                <w:tcPr>
                  <w:tcW w:w="780" w:type="dxa"/>
                  <w:shd w:val="clear" w:color="auto" w:fill="auto"/>
                  <w:noWrap w:val="0"/>
                  <w:vAlign w:val="center"/>
                </w:tcPr>
                <w:p w14:paraId="7233DE1E">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0.02</w:t>
                  </w:r>
                </w:p>
              </w:tc>
              <w:tc>
                <w:tcPr>
                  <w:tcW w:w="1025" w:type="dxa"/>
                  <w:shd w:val="clear" w:color="auto" w:fill="auto"/>
                  <w:noWrap w:val="0"/>
                  <w:vAlign w:val="center"/>
                </w:tcPr>
                <w:p w14:paraId="791DD167">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1.3</w:t>
                  </w:r>
                </w:p>
              </w:tc>
              <w:tc>
                <w:tcPr>
                  <w:tcW w:w="872" w:type="dxa"/>
                  <w:noWrap w:val="0"/>
                  <w:vAlign w:val="center"/>
                </w:tcPr>
                <w:p w14:paraId="44A31B37">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50</w:t>
                  </w:r>
                </w:p>
              </w:tc>
              <w:tc>
                <w:tcPr>
                  <w:tcW w:w="831" w:type="dxa"/>
                  <w:noWrap w:val="0"/>
                  <w:vAlign w:val="center"/>
                </w:tcPr>
                <w:p w14:paraId="1A409105">
                  <w:pPr>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w:t>
                  </w:r>
                </w:p>
              </w:tc>
            </w:tr>
            <w:tr w14:paraId="613F60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574" w:type="dxa"/>
                  <w:vMerge w:val="continue"/>
                  <w:noWrap w:val="0"/>
                  <w:vAlign w:val="center"/>
                </w:tcPr>
                <w:p w14:paraId="08B0F4C0">
                  <w:pPr>
                    <w:adjustRightInd w:val="0"/>
                    <w:snapToGrid w:val="0"/>
                    <w:jc w:val="center"/>
                    <w:rPr>
                      <w:rFonts w:ascii="Times New Roman" w:hAnsi="Times New Roman" w:cs="Times New Roman"/>
                      <w:color w:val="auto"/>
                      <w:szCs w:val="21"/>
                    </w:rPr>
                  </w:pPr>
                </w:p>
              </w:tc>
              <w:tc>
                <w:tcPr>
                  <w:tcW w:w="882" w:type="dxa"/>
                  <w:noWrap w:val="0"/>
                  <w:vAlign w:val="center"/>
                </w:tcPr>
                <w:p w14:paraId="58ABC915">
                  <w:pPr>
                    <w:adjustRightInd w:val="0"/>
                    <w:snapToGrid w:val="0"/>
                    <w:jc w:val="center"/>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颗粒物</w:t>
                  </w:r>
                </w:p>
              </w:tc>
              <w:tc>
                <w:tcPr>
                  <w:tcW w:w="464" w:type="dxa"/>
                  <w:vMerge w:val="restart"/>
                  <w:noWrap w:val="0"/>
                  <w:vAlign w:val="center"/>
                </w:tcPr>
                <w:p w14:paraId="4B4E9BF3">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无组织</w:t>
                  </w:r>
                </w:p>
              </w:tc>
              <w:tc>
                <w:tcPr>
                  <w:tcW w:w="836" w:type="dxa"/>
                  <w:noWrap w:val="0"/>
                  <w:vAlign w:val="center"/>
                </w:tcPr>
                <w:p w14:paraId="0FCB291D">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17</w:t>
                  </w:r>
                </w:p>
              </w:tc>
              <w:tc>
                <w:tcPr>
                  <w:tcW w:w="903" w:type="dxa"/>
                  <w:noWrap w:val="0"/>
                  <w:vAlign w:val="center"/>
                </w:tcPr>
                <w:p w14:paraId="686A2EAA">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858" w:type="dxa"/>
                  <w:noWrap w:val="0"/>
                  <w:vAlign w:val="center"/>
                </w:tcPr>
                <w:p w14:paraId="7A07AEB9">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w:t>
                  </w:r>
                  <w:r>
                    <w:rPr>
                      <w:rFonts w:hint="eastAsia" w:cs="Times New Roman"/>
                      <w:color w:val="auto"/>
                      <w:kern w:val="2"/>
                      <w:sz w:val="21"/>
                      <w:szCs w:val="21"/>
                      <w:lang w:val="en-US" w:eastAsia="zh-CN" w:bidi="ar-SA"/>
                    </w:rPr>
                    <w:t>17</w:t>
                  </w:r>
                </w:p>
              </w:tc>
              <w:tc>
                <w:tcPr>
                  <w:tcW w:w="780" w:type="dxa"/>
                  <w:noWrap w:val="0"/>
                  <w:vAlign w:val="center"/>
                </w:tcPr>
                <w:p w14:paraId="3CC27CB0">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1025" w:type="dxa"/>
                  <w:noWrap w:val="0"/>
                  <w:vAlign w:val="center"/>
                </w:tcPr>
                <w:p w14:paraId="5AD9AFBF">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872" w:type="dxa"/>
                  <w:noWrap w:val="0"/>
                  <w:vAlign w:val="center"/>
                </w:tcPr>
                <w:p w14:paraId="02FE01FD">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1.0</w:t>
                  </w:r>
                </w:p>
              </w:tc>
              <w:tc>
                <w:tcPr>
                  <w:tcW w:w="831" w:type="dxa"/>
                  <w:noWrap w:val="0"/>
                  <w:vAlign w:val="center"/>
                </w:tcPr>
                <w:p w14:paraId="7F794653">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r>
            <w:tr w14:paraId="662674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574" w:type="dxa"/>
                  <w:vMerge w:val="continue"/>
                  <w:noWrap w:val="0"/>
                  <w:vAlign w:val="center"/>
                </w:tcPr>
                <w:p w14:paraId="0C99179F">
                  <w:pPr>
                    <w:adjustRightInd w:val="0"/>
                    <w:snapToGrid w:val="0"/>
                    <w:jc w:val="center"/>
                    <w:rPr>
                      <w:rFonts w:ascii="Times New Roman" w:hAnsi="Times New Roman" w:cs="Times New Roman"/>
                      <w:color w:val="auto"/>
                      <w:szCs w:val="21"/>
                    </w:rPr>
                  </w:pPr>
                </w:p>
              </w:tc>
              <w:tc>
                <w:tcPr>
                  <w:tcW w:w="882" w:type="dxa"/>
                  <w:noWrap w:val="0"/>
                  <w:vAlign w:val="center"/>
                </w:tcPr>
                <w:p w14:paraId="5B39DE18">
                  <w:pPr>
                    <w:adjustRightInd w:val="0"/>
                    <w:snapToGrid w:val="0"/>
                    <w:jc w:val="center"/>
                    <w:rPr>
                      <w:rFonts w:ascii="Times New Roman" w:hAnsi="Times New Roman" w:cs="Times New Roman"/>
                      <w:color w:val="auto"/>
                      <w:szCs w:val="21"/>
                    </w:rPr>
                  </w:pPr>
                  <w:r>
                    <w:rPr>
                      <w:rFonts w:ascii="Times New Roman" w:hAnsi="Times New Roman" w:cs="Times New Roman"/>
                      <w:color w:val="auto"/>
                      <w:szCs w:val="21"/>
                    </w:rPr>
                    <w:t>非甲烷总烃</w:t>
                  </w:r>
                </w:p>
              </w:tc>
              <w:tc>
                <w:tcPr>
                  <w:tcW w:w="464" w:type="dxa"/>
                  <w:vMerge w:val="continue"/>
                  <w:noWrap w:val="0"/>
                  <w:vAlign w:val="center"/>
                </w:tcPr>
                <w:p w14:paraId="25CD7353">
                  <w:pPr>
                    <w:adjustRightInd w:val="0"/>
                    <w:snapToGrid w:val="0"/>
                    <w:jc w:val="center"/>
                    <w:rPr>
                      <w:rFonts w:hint="eastAsia" w:ascii="Times New Roman" w:hAnsi="Times New Roman" w:cs="Times New Roman"/>
                      <w:color w:val="auto"/>
                      <w:szCs w:val="21"/>
                      <w:lang w:val="en-US" w:eastAsia="zh-CN"/>
                    </w:rPr>
                  </w:pPr>
                </w:p>
              </w:tc>
              <w:tc>
                <w:tcPr>
                  <w:tcW w:w="836" w:type="dxa"/>
                  <w:shd w:val="clear" w:color="auto" w:fill="auto"/>
                  <w:noWrap w:val="0"/>
                  <w:vAlign w:val="center"/>
                </w:tcPr>
                <w:p w14:paraId="3B8D77BE">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0.011</w:t>
                  </w:r>
                </w:p>
              </w:tc>
              <w:tc>
                <w:tcPr>
                  <w:tcW w:w="903" w:type="dxa"/>
                  <w:shd w:val="clear" w:color="auto" w:fill="auto"/>
                  <w:noWrap w:val="0"/>
                  <w:vAlign w:val="center"/>
                </w:tcPr>
                <w:p w14:paraId="2F2F40E9">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w:t>
                  </w:r>
                </w:p>
              </w:tc>
              <w:tc>
                <w:tcPr>
                  <w:tcW w:w="858" w:type="dxa"/>
                  <w:shd w:val="clear" w:color="auto" w:fill="auto"/>
                  <w:noWrap w:val="0"/>
                  <w:vAlign w:val="center"/>
                </w:tcPr>
                <w:p w14:paraId="46CE6A70">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0.011</w:t>
                  </w:r>
                </w:p>
              </w:tc>
              <w:tc>
                <w:tcPr>
                  <w:tcW w:w="780" w:type="dxa"/>
                  <w:noWrap w:val="0"/>
                  <w:vAlign w:val="center"/>
                </w:tcPr>
                <w:p w14:paraId="5129149D">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1025" w:type="dxa"/>
                  <w:noWrap w:val="0"/>
                  <w:vAlign w:val="center"/>
                </w:tcPr>
                <w:p w14:paraId="118A8B05">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872" w:type="dxa"/>
                  <w:noWrap w:val="0"/>
                  <w:vAlign w:val="center"/>
                </w:tcPr>
                <w:p w14:paraId="567223FC">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3.0</w:t>
                  </w:r>
                </w:p>
              </w:tc>
              <w:tc>
                <w:tcPr>
                  <w:tcW w:w="831" w:type="dxa"/>
                  <w:noWrap w:val="0"/>
                  <w:vAlign w:val="center"/>
                </w:tcPr>
                <w:p w14:paraId="058A85BE">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r>
          </w:tbl>
          <w:p w14:paraId="71348EE2">
            <w:pPr>
              <w:keepNext w:val="0"/>
              <w:keepLines/>
              <w:pageBreakBefore w:val="0"/>
              <w:widowControl w:val="0"/>
              <w:kinsoku/>
              <w:wordWrap/>
              <w:overflowPunct/>
              <w:topLinePunct w:val="0"/>
              <w:autoSpaceDE/>
              <w:autoSpaceDN/>
              <w:bidi w:val="0"/>
              <w:adjustRightInd/>
              <w:snapToGrid/>
              <w:spacing w:before="157" w:beforeLines="50" w:line="312" w:lineRule="auto"/>
              <w:ind w:firstLine="480" w:firstLineChars="200"/>
              <w:textAlignment w:val="auto"/>
              <w:rPr>
                <w:rFonts w:hint="eastAsia"/>
                <w:color w:val="auto"/>
                <w:sz w:val="24"/>
              </w:rPr>
            </w:pPr>
            <w:r>
              <w:rPr>
                <w:rFonts w:hint="eastAsia"/>
                <w:color w:val="auto"/>
                <w:sz w:val="24"/>
                <w:lang w:val="en-US" w:eastAsia="zh-CN"/>
              </w:rPr>
              <w:t>3）调漆、中涂、</w:t>
            </w:r>
            <w:r>
              <w:rPr>
                <w:rFonts w:hint="eastAsia"/>
                <w:color w:val="auto"/>
                <w:sz w:val="24"/>
                <w:lang w:eastAsia="zh-CN"/>
              </w:rPr>
              <w:t>喷</w:t>
            </w:r>
            <w:r>
              <w:rPr>
                <w:rFonts w:hint="eastAsia"/>
                <w:color w:val="auto"/>
                <w:sz w:val="24"/>
              </w:rPr>
              <w:t>烤漆</w:t>
            </w:r>
            <w:r>
              <w:rPr>
                <w:rFonts w:hint="eastAsia"/>
                <w:color w:val="auto"/>
                <w:sz w:val="24"/>
                <w:lang w:eastAsia="zh-CN"/>
              </w:rPr>
              <w:t>、</w:t>
            </w:r>
            <w:r>
              <w:rPr>
                <w:rFonts w:hint="eastAsia"/>
                <w:color w:val="auto"/>
                <w:sz w:val="24"/>
                <w:lang w:val="en-US" w:eastAsia="zh-CN"/>
              </w:rPr>
              <w:t>危废贮存库2#</w:t>
            </w:r>
            <w:r>
              <w:rPr>
                <w:rFonts w:hint="eastAsia"/>
                <w:color w:val="auto"/>
                <w:sz w:val="24"/>
              </w:rPr>
              <w:t>产生的有机废气</w:t>
            </w:r>
          </w:p>
          <w:p w14:paraId="41ACF03B">
            <w:pPr>
              <w:keepNext w:val="0"/>
              <w:keepLines/>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color w:val="auto"/>
                <w:sz w:val="24"/>
                <w:lang w:val="en-US" w:eastAsia="zh-CN"/>
              </w:rPr>
            </w:pPr>
            <w:r>
              <w:rPr>
                <w:rFonts w:hint="eastAsia"/>
                <w:color w:val="auto"/>
                <w:sz w:val="24"/>
                <w:lang w:val="en-US" w:eastAsia="zh-CN"/>
              </w:rPr>
              <w:t>①调漆</w:t>
            </w:r>
          </w:p>
          <w:p w14:paraId="7FADF5CB">
            <w:pPr>
              <w:keepNext w:val="0"/>
              <w:keepLines/>
              <w:pageBreakBefore w:val="0"/>
              <w:widowControl w:val="0"/>
              <w:kinsoku/>
              <w:wordWrap/>
              <w:overflowPunct/>
              <w:topLinePunct w:val="0"/>
              <w:autoSpaceDE/>
              <w:autoSpaceDN/>
              <w:bidi w:val="0"/>
              <w:adjustRightInd/>
              <w:snapToGrid/>
              <w:spacing w:line="312" w:lineRule="auto"/>
              <w:ind w:firstLine="480" w:firstLineChars="200"/>
              <w:textAlignment w:val="auto"/>
              <w:rPr>
                <w:rFonts w:hint="default"/>
                <w:color w:val="auto"/>
                <w:sz w:val="24"/>
                <w:lang w:val="en-US" w:eastAsia="zh-CN"/>
              </w:rPr>
            </w:pPr>
            <w:r>
              <w:rPr>
                <w:rFonts w:hint="eastAsia"/>
                <w:color w:val="auto"/>
                <w:sz w:val="24"/>
                <w:lang w:val="en-US" w:eastAsia="zh-CN"/>
              </w:rPr>
              <w:t>调漆作业及喷枪清洗均在调漆房（密闭漆料储存室）内进行，调漆工序年运行时间为350h</w:t>
            </w:r>
            <w:r>
              <w:rPr>
                <w:rFonts w:hint="eastAsia"/>
                <w:color w:val="auto"/>
                <w:sz w:val="24"/>
                <w:lang w:eastAsia="zh-CN"/>
              </w:rPr>
              <w:t>，</w:t>
            </w:r>
            <w:r>
              <w:rPr>
                <w:rFonts w:hint="eastAsia"/>
                <w:color w:val="auto"/>
                <w:sz w:val="24"/>
                <w:lang w:val="en-US" w:eastAsia="zh-CN"/>
              </w:rPr>
              <w:t>作业时间短产生有机废气较少。调漆废气挥发性有机物（以非甲烷总烃计）产生量约占漆料使用量的2%，本项目漆料用量为4.554t/a，调漆废气非甲烷总烃产生量为0.091t/a。</w:t>
            </w:r>
          </w:p>
          <w:p w14:paraId="1A77F66C">
            <w:pPr>
              <w:keepNext w:val="0"/>
              <w:keepLines/>
              <w:pageBreakBefore w:val="0"/>
              <w:widowControl w:val="0"/>
              <w:kinsoku/>
              <w:wordWrap/>
              <w:overflowPunct/>
              <w:topLinePunct w:val="0"/>
              <w:autoSpaceDE/>
              <w:autoSpaceDN/>
              <w:bidi w:val="0"/>
              <w:adjustRightInd/>
              <w:snapToGrid/>
              <w:spacing w:line="312" w:lineRule="auto"/>
              <w:ind w:firstLine="480" w:firstLineChars="200"/>
              <w:textAlignment w:val="auto"/>
              <w:rPr>
                <w:rFonts w:hint="default"/>
                <w:color w:val="auto"/>
                <w:sz w:val="24"/>
                <w:lang w:val="en-US" w:eastAsia="zh-CN"/>
              </w:rPr>
            </w:pPr>
            <w:r>
              <w:rPr>
                <w:rFonts w:hint="eastAsia"/>
                <w:color w:val="auto"/>
                <w:sz w:val="24"/>
                <w:lang w:val="en-US" w:eastAsia="zh-CN"/>
              </w:rPr>
              <w:t>根据《理想汽车西咸服务中心项目委托监测》自行监测报告，DA005</w:t>
            </w:r>
            <w:r>
              <w:rPr>
                <w:rFonts w:hint="eastAsia" w:cs="Times New Roman"/>
                <w:color w:val="auto"/>
                <w:sz w:val="24"/>
                <w:lang w:val="en-US" w:eastAsia="zh-CN"/>
              </w:rPr>
              <w:t>排气筒出口甲苯排放速率为0.0020~0.0049kg/h、二甲苯排放速率为0.0011~0.0093kg/h，本次评价取最大排放速率甲苯为0.0049kg/h、二甲苯为0.0093kg/h，调漆</w:t>
            </w:r>
            <w:r>
              <w:rPr>
                <w:rFonts w:hint="eastAsia"/>
                <w:color w:val="auto"/>
                <w:sz w:val="24"/>
                <w:lang w:val="en-US" w:eastAsia="zh-CN"/>
              </w:rPr>
              <w:t>年运行时间为300h，</w:t>
            </w:r>
            <w:r>
              <w:rPr>
                <w:rFonts w:hint="eastAsia" w:cs="Times New Roman"/>
                <w:color w:val="auto"/>
                <w:sz w:val="24"/>
                <w:lang w:val="en-US" w:eastAsia="zh-CN"/>
              </w:rPr>
              <w:t>废气收集效率为85%，监测时工况为50%，</w:t>
            </w:r>
            <w:r>
              <w:rPr>
                <w:rFonts w:hint="eastAsia"/>
                <w:color w:val="auto"/>
                <w:sz w:val="24"/>
                <w:lang w:val="en-US" w:eastAsia="zh-CN"/>
              </w:rPr>
              <w:t>计算100%工况下甲苯总产生量为0.004t/a、二甲苯产生量为0.007t/a。</w:t>
            </w:r>
          </w:p>
          <w:p w14:paraId="15FCDF07">
            <w:pPr>
              <w:keepNext w:val="0"/>
              <w:keepLines/>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color w:val="auto"/>
                <w:sz w:val="24"/>
                <w:lang w:val="en-US" w:eastAsia="zh-CN"/>
              </w:rPr>
            </w:pPr>
            <w:r>
              <w:rPr>
                <w:rFonts w:hint="eastAsia"/>
                <w:color w:val="auto"/>
                <w:sz w:val="24"/>
                <w:lang w:val="en-US" w:eastAsia="zh-CN"/>
              </w:rPr>
              <w:t>经改造后，调漆废气在密闭油漆储存室通过操作台收集后并入喷烤漆房3#废气处理设施“二级活性炭”处理后，尾气通过中涂房对应的DA003排气筒（16m）排放。其中</w:t>
            </w:r>
            <w:r>
              <w:rPr>
                <w:rFonts w:hint="eastAsia"/>
                <w:color w:val="auto"/>
                <w:sz w:val="24"/>
              </w:rPr>
              <w:t>收集效率按照《陕西省排污许可制支撑空气质量持续改善实施方案》的通知（陕环发〔2023〕59号）中</w:t>
            </w:r>
            <w:r>
              <w:rPr>
                <w:rFonts w:hint="eastAsia"/>
                <w:color w:val="auto"/>
                <w:sz w:val="24"/>
                <w:lang w:eastAsia="zh-CN"/>
              </w:rPr>
              <w:t>“</w:t>
            </w:r>
            <w:r>
              <w:rPr>
                <w:rFonts w:hint="eastAsia"/>
                <w:color w:val="auto"/>
                <w:sz w:val="24"/>
                <w:lang w:val="en-US" w:eastAsia="zh-CN"/>
              </w:rPr>
              <w:t>全封闭空间—单层密闭正压</w:t>
            </w:r>
            <w:r>
              <w:rPr>
                <w:rFonts w:hint="eastAsia"/>
                <w:color w:val="auto"/>
                <w:sz w:val="24"/>
                <w:lang w:eastAsia="zh-CN"/>
              </w:rPr>
              <w:t>，</w:t>
            </w:r>
            <w:r>
              <w:rPr>
                <w:rFonts w:hint="eastAsia"/>
                <w:color w:val="auto"/>
                <w:sz w:val="24"/>
                <w:lang w:val="en-US" w:eastAsia="zh-CN"/>
              </w:rPr>
              <w:t>集气效率按85%</w:t>
            </w:r>
            <w:r>
              <w:rPr>
                <w:rFonts w:hint="eastAsia"/>
                <w:color w:val="auto"/>
                <w:sz w:val="24"/>
                <w:lang w:eastAsia="zh-CN"/>
              </w:rPr>
              <w:t>”</w:t>
            </w:r>
            <w:r>
              <w:rPr>
                <w:rFonts w:hint="eastAsia"/>
                <w:color w:val="auto"/>
                <w:sz w:val="24"/>
                <w:lang w:val="en-US" w:eastAsia="zh-CN"/>
              </w:rPr>
              <w:t>计。活性炭吸附效率参照</w:t>
            </w:r>
            <w:r>
              <w:rPr>
                <w:rFonts w:hint="eastAsia"/>
                <w:color w:val="auto"/>
                <w:sz w:val="24"/>
              </w:rPr>
              <w:t>《陕西省排污许可制支撑空气质量持续改善实施方案》</w:t>
            </w:r>
            <w:r>
              <w:rPr>
                <w:rFonts w:hint="eastAsia"/>
                <w:color w:val="auto"/>
                <w:sz w:val="24"/>
                <w:lang w:val="en-US" w:eastAsia="zh-CN"/>
              </w:rPr>
              <w:t>中单级活性炭吸附去除效率约20%，二级活性炭去除效率为36%。</w:t>
            </w:r>
          </w:p>
          <w:p w14:paraId="22178E9E">
            <w:pPr>
              <w:pStyle w:val="63"/>
              <w:spacing w:line="240" w:lineRule="auto"/>
              <w:ind w:firstLine="0" w:firstLineChars="0"/>
              <w:jc w:val="center"/>
              <w:rPr>
                <w:rFonts w:hint="eastAsia" w:hAnsi="Times New Roman" w:eastAsia="宋体" w:cs="Times New Roman"/>
                <w:b/>
                <w:bCs/>
                <w:color w:val="auto"/>
                <w:kern w:val="21"/>
                <w:szCs w:val="24"/>
                <w:lang w:eastAsia="zh-CN"/>
              </w:rPr>
            </w:pPr>
            <w:r>
              <w:rPr>
                <w:rFonts w:hAnsi="Times New Roman" w:cs="Times New Roman"/>
                <w:b/>
                <w:bCs/>
                <w:color w:val="auto"/>
                <w:kern w:val="21"/>
                <w:szCs w:val="24"/>
              </w:rPr>
              <w:t>表</w:t>
            </w:r>
            <w:r>
              <w:rPr>
                <w:rFonts w:hint="eastAsia" w:hAnsi="Times New Roman" w:cs="Times New Roman"/>
                <w:b/>
                <w:bCs/>
                <w:color w:val="auto"/>
                <w:kern w:val="21"/>
                <w:szCs w:val="24"/>
                <w:lang w:val="en-US" w:eastAsia="zh-CN"/>
              </w:rPr>
              <w:t>4-3</w:t>
            </w:r>
            <w:r>
              <w:rPr>
                <w:rFonts w:hAnsi="Times New Roman" w:cs="Times New Roman"/>
                <w:b/>
                <w:bCs/>
                <w:color w:val="auto"/>
                <w:kern w:val="21"/>
                <w:szCs w:val="24"/>
              </w:rPr>
              <w:t xml:space="preserve"> </w:t>
            </w:r>
            <w:r>
              <w:rPr>
                <w:rFonts w:hint="eastAsia" w:hAnsi="Times New Roman" w:cs="Times New Roman"/>
                <w:b/>
                <w:bCs/>
                <w:color w:val="auto"/>
                <w:kern w:val="21"/>
                <w:szCs w:val="24"/>
              </w:rPr>
              <w:t xml:space="preserve"> </w:t>
            </w:r>
            <w:r>
              <w:rPr>
                <w:rFonts w:hint="eastAsia" w:hAnsi="Times New Roman" w:cs="Times New Roman"/>
                <w:b/>
                <w:bCs/>
                <w:color w:val="auto"/>
                <w:kern w:val="21"/>
                <w:szCs w:val="24"/>
                <w:lang w:val="en-US" w:eastAsia="zh-CN"/>
              </w:rPr>
              <w:t>调漆废气产排情况</w:t>
            </w:r>
          </w:p>
          <w:tbl>
            <w:tblPr>
              <w:tblStyle w:val="25"/>
              <w:tblW w:w="802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6"/>
              <w:gridCol w:w="872"/>
              <w:gridCol w:w="1350"/>
              <w:gridCol w:w="655"/>
              <w:gridCol w:w="1090"/>
              <w:gridCol w:w="1195"/>
              <w:gridCol w:w="1029"/>
              <w:gridCol w:w="1148"/>
            </w:tblGrid>
            <w:tr w14:paraId="340601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restart"/>
                  <w:noWrap w:val="0"/>
                  <w:vAlign w:val="center"/>
                </w:tcPr>
                <w:p w14:paraId="48AC363E">
                  <w:pPr>
                    <w:adjustRightInd w:val="0"/>
                    <w:snapToGrid w:val="0"/>
                    <w:jc w:val="center"/>
                    <w:rPr>
                      <w:rFonts w:hint="default" w:ascii="Times New Roman" w:hAnsi="Times New Roman" w:cs="Times New Roman"/>
                      <w:b/>
                      <w:bCs/>
                      <w:color w:val="auto"/>
                      <w:szCs w:val="21"/>
                      <w:lang w:val="en-US" w:eastAsia="zh-CN"/>
                    </w:rPr>
                  </w:pPr>
                  <w:r>
                    <w:rPr>
                      <w:rFonts w:hint="eastAsia" w:cs="Times New Roman"/>
                      <w:b/>
                      <w:bCs/>
                      <w:color w:val="auto"/>
                      <w:szCs w:val="21"/>
                      <w:lang w:val="en-US" w:eastAsia="zh-CN"/>
                    </w:rPr>
                    <w:t>对应工序</w:t>
                  </w:r>
                </w:p>
              </w:tc>
              <w:tc>
                <w:tcPr>
                  <w:tcW w:w="872" w:type="dxa"/>
                  <w:vMerge w:val="restart"/>
                  <w:noWrap w:val="0"/>
                  <w:vAlign w:val="center"/>
                </w:tcPr>
                <w:p w14:paraId="729B59AA">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cs="Times New Roman"/>
                      <w:b/>
                      <w:bCs/>
                      <w:color w:val="auto"/>
                      <w:szCs w:val="21"/>
                      <w:lang w:val="en-US" w:eastAsia="zh-CN"/>
                    </w:rPr>
                    <w:t>排气筒</w:t>
                  </w:r>
                </w:p>
              </w:tc>
              <w:tc>
                <w:tcPr>
                  <w:tcW w:w="1350" w:type="dxa"/>
                  <w:vMerge w:val="restart"/>
                  <w:noWrap w:val="0"/>
                  <w:vAlign w:val="center"/>
                </w:tcPr>
                <w:p w14:paraId="5BC093FC">
                  <w:pPr>
                    <w:adjustRightInd w:val="0"/>
                    <w:snapToGrid w:val="0"/>
                    <w:jc w:val="center"/>
                    <w:rPr>
                      <w:rFonts w:ascii="Times New Roman" w:hAnsi="Times New Roman" w:cs="Times New Roman"/>
                      <w:b/>
                      <w:bCs/>
                      <w:color w:val="auto"/>
                      <w:szCs w:val="21"/>
                    </w:rPr>
                  </w:pPr>
                  <w:r>
                    <w:rPr>
                      <w:rFonts w:ascii="Times New Roman" w:hAnsi="Times New Roman" w:cs="Times New Roman"/>
                      <w:b/>
                      <w:bCs/>
                      <w:color w:val="auto"/>
                      <w:szCs w:val="21"/>
                    </w:rPr>
                    <w:t>污染物</w:t>
                  </w:r>
                </w:p>
              </w:tc>
              <w:tc>
                <w:tcPr>
                  <w:tcW w:w="655" w:type="dxa"/>
                  <w:vMerge w:val="restart"/>
                  <w:noWrap w:val="0"/>
                  <w:vAlign w:val="center"/>
                </w:tcPr>
                <w:p w14:paraId="3EF05AF2">
                  <w:pPr>
                    <w:adjustRightInd w:val="0"/>
                    <w:snapToGrid w:val="0"/>
                    <w:jc w:val="center"/>
                    <w:rPr>
                      <w:rFonts w:ascii="Times New Roman" w:hAnsi="Times New Roman" w:cs="Times New Roman"/>
                      <w:b/>
                      <w:bCs/>
                      <w:color w:val="auto"/>
                      <w:szCs w:val="21"/>
                    </w:rPr>
                  </w:pPr>
                  <w:r>
                    <w:rPr>
                      <w:rFonts w:ascii="Times New Roman" w:hAnsi="Times New Roman" w:cs="Times New Roman"/>
                      <w:b/>
                      <w:bCs/>
                      <w:color w:val="auto"/>
                      <w:szCs w:val="21"/>
                    </w:rPr>
                    <w:t>排放形式</w:t>
                  </w:r>
                </w:p>
              </w:tc>
              <w:tc>
                <w:tcPr>
                  <w:tcW w:w="2285" w:type="dxa"/>
                  <w:gridSpan w:val="2"/>
                  <w:noWrap w:val="0"/>
                  <w:vAlign w:val="center"/>
                </w:tcPr>
                <w:p w14:paraId="02169A56">
                  <w:pPr>
                    <w:adjustRightInd w:val="0"/>
                    <w:snapToGrid w:val="0"/>
                    <w:jc w:val="center"/>
                    <w:rPr>
                      <w:rFonts w:ascii="Times New Roman" w:hAnsi="Times New Roman" w:cs="Times New Roman"/>
                      <w:b/>
                      <w:bCs/>
                      <w:color w:val="auto"/>
                      <w:szCs w:val="21"/>
                    </w:rPr>
                  </w:pPr>
                  <w:r>
                    <w:rPr>
                      <w:rFonts w:ascii="Times New Roman" w:hAnsi="Times New Roman" w:cs="Times New Roman"/>
                      <w:b/>
                      <w:bCs/>
                      <w:color w:val="auto"/>
                      <w:szCs w:val="21"/>
                    </w:rPr>
                    <w:t>污染物产生情况</w:t>
                  </w:r>
                </w:p>
              </w:tc>
              <w:tc>
                <w:tcPr>
                  <w:tcW w:w="2177" w:type="dxa"/>
                  <w:gridSpan w:val="2"/>
                  <w:noWrap w:val="0"/>
                  <w:vAlign w:val="center"/>
                </w:tcPr>
                <w:p w14:paraId="489B8470">
                  <w:pPr>
                    <w:adjustRightInd w:val="0"/>
                    <w:snapToGrid w:val="0"/>
                    <w:jc w:val="center"/>
                    <w:rPr>
                      <w:rFonts w:ascii="Times New Roman" w:hAnsi="Times New Roman" w:cs="Times New Roman"/>
                      <w:b/>
                      <w:bCs/>
                      <w:color w:val="auto"/>
                      <w:szCs w:val="21"/>
                    </w:rPr>
                  </w:pPr>
                  <w:r>
                    <w:rPr>
                      <w:rFonts w:ascii="Times New Roman" w:hAnsi="Times New Roman" w:cs="Times New Roman"/>
                      <w:b/>
                      <w:bCs/>
                      <w:color w:val="auto"/>
                      <w:szCs w:val="21"/>
                    </w:rPr>
                    <w:t>污染物排放情况</w:t>
                  </w:r>
                </w:p>
              </w:tc>
            </w:tr>
            <w:tr w14:paraId="5F8A9C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vMerge w:val="continue"/>
                  <w:noWrap w:val="0"/>
                  <w:vAlign w:val="center"/>
                </w:tcPr>
                <w:p w14:paraId="51E1C82B">
                  <w:pPr>
                    <w:adjustRightInd w:val="0"/>
                    <w:snapToGrid w:val="0"/>
                    <w:jc w:val="center"/>
                    <w:rPr>
                      <w:rFonts w:ascii="Times New Roman" w:hAnsi="Times New Roman" w:cs="Times New Roman"/>
                      <w:b/>
                      <w:bCs/>
                      <w:color w:val="auto"/>
                      <w:szCs w:val="21"/>
                    </w:rPr>
                  </w:pPr>
                </w:p>
              </w:tc>
              <w:tc>
                <w:tcPr>
                  <w:tcW w:w="872" w:type="dxa"/>
                  <w:vMerge w:val="continue"/>
                  <w:noWrap w:val="0"/>
                  <w:vAlign w:val="center"/>
                </w:tcPr>
                <w:p w14:paraId="391824A1">
                  <w:pPr>
                    <w:adjustRightInd w:val="0"/>
                    <w:snapToGrid w:val="0"/>
                    <w:jc w:val="center"/>
                    <w:rPr>
                      <w:rFonts w:ascii="Times New Roman" w:hAnsi="Times New Roman" w:cs="Times New Roman"/>
                      <w:b/>
                      <w:bCs/>
                      <w:color w:val="auto"/>
                      <w:szCs w:val="21"/>
                    </w:rPr>
                  </w:pPr>
                </w:p>
              </w:tc>
              <w:tc>
                <w:tcPr>
                  <w:tcW w:w="1350" w:type="dxa"/>
                  <w:vMerge w:val="continue"/>
                  <w:noWrap w:val="0"/>
                  <w:vAlign w:val="center"/>
                </w:tcPr>
                <w:p w14:paraId="57F7F7B0">
                  <w:pPr>
                    <w:adjustRightInd w:val="0"/>
                    <w:snapToGrid w:val="0"/>
                    <w:jc w:val="center"/>
                    <w:rPr>
                      <w:rFonts w:ascii="Times New Roman" w:hAnsi="Times New Roman" w:cs="Times New Roman"/>
                      <w:b/>
                      <w:bCs/>
                      <w:color w:val="auto"/>
                      <w:szCs w:val="21"/>
                    </w:rPr>
                  </w:pPr>
                </w:p>
              </w:tc>
              <w:tc>
                <w:tcPr>
                  <w:tcW w:w="655" w:type="dxa"/>
                  <w:vMerge w:val="continue"/>
                  <w:noWrap w:val="0"/>
                  <w:vAlign w:val="center"/>
                </w:tcPr>
                <w:p w14:paraId="000604F2">
                  <w:pPr>
                    <w:adjustRightInd w:val="0"/>
                    <w:snapToGrid w:val="0"/>
                    <w:jc w:val="center"/>
                    <w:rPr>
                      <w:rFonts w:ascii="Times New Roman" w:hAnsi="Times New Roman" w:cs="Times New Roman"/>
                      <w:b/>
                      <w:bCs/>
                      <w:color w:val="auto"/>
                      <w:szCs w:val="21"/>
                    </w:rPr>
                  </w:pPr>
                </w:p>
              </w:tc>
              <w:tc>
                <w:tcPr>
                  <w:tcW w:w="1090" w:type="dxa"/>
                  <w:noWrap w:val="0"/>
                  <w:vAlign w:val="center"/>
                </w:tcPr>
                <w:p w14:paraId="19AC4364">
                  <w:pPr>
                    <w:adjustRightInd w:val="0"/>
                    <w:snapToGrid w:val="0"/>
                    <w:jc w:val="center"/>
                    <w:rPr>
                      <w:rFonts w:ascii="Times New Roman" w:hAnsi="Times New Roman" w:cs="Times New Roman"/>
                      <w:b/>
                      <w:bCs/>
                      <w:color w:val="auto"/>
                      <w:szCs w:val="21"/>
                    </w:rPr>
                  </w:pPr>
                  <w:r>
                    <w:rPr>
                      <w:rFonts w:ascii="Times New Roman" w:hAnsi="Times New Roman" w:cs="Times New Roman"/>
                      <w:b/>
                      <w:bCs/>
                      <w:color w:val="auto"/>
                      <w:szCs w:val="21"/>
                    </w:rPr>
                    <w:t>产生量t/a</w:t>
                  </w:r>
                </w:p>
              </w:tc>
              <w:tc>
                <w:tcPr>
                  <w:tcW w:w="1195" w:type="dxa"/>
                  <w:noWrap w:val="0"/>
                  <w:vAlign w:val="center"/>
                </w:tcPr>
                <w:p w14:paraId="23B321C4">
                  <w:pPr>
                    <w:adjustRightInd w:val="0"/>
                    <w:snapToGrid w:val="0"/>
                    <w:jc w:val="center"/>
                    <w:rPr>
                      <w:rFonts w:ascii="Times New Roman" w:hAnsi="Times New Roman" w:cs="Times New Roman"/>
                      <w:b/>
                      <w:bCs/>
                      <w:color w:val="auto"/>
                      <w:szCs w:val="21"/>
                    </w:rPr>
                  </w:pPr>
                  <w:r>
                    <w:rPr>
                      <w:rFonts w:ascii="Times New Roman" w:hAnsi="Times New Roman" w:cs="Times New Roman"/>
                      <w:b/>
                      <w:bCs/>
                      <w:color w:val="auto"/>
                      <w:szCs w:val="21"/>
                    </w:rPr>
                    <w:t>产生速率kg/h</w:t>
                  </w:r>
                </w:p>
              </w:tc>
              <w:tc>
                <w:tcPr>
                  <w:tcW w:w="1029" w:type="dxa"/>
                  <w:noWrap w:val="0"/>
                  <w:vAlign w:val="center"/>
                </w:tcPr>
                <w:p w14:paraId="3C7B0E49">
                  <w:pPr>
                    <w:adjustRightInd w:val="0"/>
                    <w:snapToGrid w:val="0"/>
                    <w:jc w:val="center"/>
                    <w:rPr>
                      <w:rFonts w:ascii="Times New Roman" w:hAnsi="Times New Roman" w:cs="Times New Roman"/>
                      <w:b/>
                      <w:bCs/>
                      <w:color w:val="auto"/>
                      <w:szCs w:val="21"/>
                    </w:rPr>
                  </w:pPr>
                  <w:r>
                    <w:rPr>
                      <w:rFonts w:ascii="Times New Roman" w:hAnsi="Times New Roman" w:cs="Times New Roman"/>
                      <w:b/>
                      <w:bCs/>
                      <w:color w:val="auto"/>
                      <w:szCs w:val="21"/>
                    </w:rPr>
                    <w:t>排放量t/a</w:t>
                  </w:r>
                </w:p>
              </w:tc>
              <w:tc>
                <w:tcPr>
                  <w:tcW w:w="1148" w:type="dxa"/>
                  <w:noWrap w:val="0"/>
                  <w:vAlign w:val="center"/>
                </w:tcPr>
                <w:p w14:paraId="3213FB5C">
                  <w:pPr>
                    <w:adjustRightInd w:val="0"/>
                    <w:snapToGrid w:val="0"/>
                    <w:jc w:val="center"/>
                    <w:rPr>
                      <w:rFonts w:ascii="Times New Roman" w:hAnsi="Times New Roman" w:cs="Times New Roman"/>
                      <w:b/>
                      <w:bCs/>
                      <w:color w:val="auto"/>
                      <w:szCs w:val="21"/>
                    </w:rPr>
                  </w:pPr>
                  <w:r>
                    <w:rPr>
                      <w:rFonts w:ascii="Times New Roman" w:hAnsi="Times New Roman" w:cs="Times New Roman"/>
                      <w:b/>
                      <w:bCs/>
                      <w:color w:val="auto"/>
                      <w:szCs w:val="21"/>
                    </w:rPr>
                    <w:t>排放速率kg/h</w:t>
                  </w:r>
                </w:p>
              </w:tc>
            </w:tr>
            <w:tr w14:paraId="3C5821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restart"/>
                  <w:noWrap w:val="0"/>
                  <w:vAlign w:val="center"/>
                </w:tcPr>
                <w:p w14:paraId="57AC1657">
                  <w:pPr>
                    <w:adjustRightInd w:val="0"/>
                    <w:snapToGrid w:val="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调漆</w:t>
                  </w:r>
                </w:p>
              </w:tc>
              <w:tc>
                <w:tcPr>
                  <w:tcW w:w="872" w:type="dxa"/>
                  <w:vMerge w:val="restart"/>
                  <w:noWrap w:val="0"/>
                  <w:vAlign w:val="center"/>
                </w:tcPr>
                <w:p w14:paraId="1FA4C553">
                  <w:pPr>
                    <w:adjustRightInd w:val="0"/>
                    <w:snapToGrid w:val="0"/>
                    <w:jc w:val="center"/>
                    <w:rPr>
                      <w:rFonts w:ascii="Times New Roman" w:hAnsi="Times New Roman" w:cs="Times New Roman"/>
                      <w:color w:val="auto"/>
                      <w:szCs w:val="21"/>
                    </w:rPr>
                  </w:pPr>
                  <w:r>
                    <w:rPr>
                      <w:rFonts w:hint="eastAsia" w:ascii="Times New Roman" w:hAnsi="Times New Roman" w:cs="Times New Roman"/>
                      <w:color w:val="auto"/>
                      <w:szCs w:val="21"/>
                      <w:lang w:val="en-US" w:eastAsia="zh-CN"/>
                    </w:rPr>
                    <w:t>DA003</w:t>
                  </w:r>
                </w:p>
              </w:tc>
              <w:tc>
                <w:tcPr>
                  <w:tcW w:w="1350" w:type="dxa"/>
                  <w:shd w:val="clear" w:color="auto" w:fill="auto"/>
                  <w:noWrap w:val="0"/>
                  <w:vAlign w:val="center"/>
                </w:tcPr>
                <w:p w14:paraId="7FB56D1E">
                  <w:pPr>
                    <w:adjustRightInd w:val="0"/>
                    <w:snapToGrid w:val="0"/>
                    <w:jc w:val="center"/>
                    <w:rPr>
                      <w:rFonts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非甲烷总烃</w:t>
                  </w:r>
                </w:p>
              </w:tc>
              <w:tc>
                <w:tcPr>
                  <w:tcW w:w="655" w:type="dxa"/>
                  <w:vMerge w:val="restart"/>
                  <w:shd w:val="clear" w:color="auto" w:fill="auto"/>
                  <w:noWrap w:val="0"/>
                  <w:vAlign w:val="center"/>
                </w:tcPr>
                <w:p w14:paraId="3BAA70BF">
                  <w:pPr>
                    <w:adjustRightInd w:val="0"/>
                    <w:snapToGrid w:val="0"/>
                    <w:jc w:val="center"/>
                    <w:rPr>
                      <w:rFonts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有组织</w:t>
                  </w:r>
                </w:p>
              </w:tc>
              <w:tc>
                <w:tcPr>
                  <w:tcW w:w="1090" w:type="dxa"/>
                  <w:noWrap w:val="0"/>
                  <w:vAlign w:val="center"/>
                </w:tcPr>
                <w:p w14:paraId="22492720">
                  <w:pPr>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0.077</w:t>
                  </w:r>
                </w:p>
              </w:tc>
              <w:tc>
                <w:tcPr>
                  <w:tcW w:w="1195" w:type="dxa"/>
                  <w:noWrap w:val="0"/>
                  <w:vAlign w:val="center"/>
                </w:tcPr>
                <w:p w14:paraId="338AB819">
                  <w:pPr>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0.22</w:t>
                  </w:r>
                </w:p>
              </w:tc>
              <w:tc>
                <w:tcPr>
                  <w:tcW w:w="1029" w:type="dxa"/>
                  <w:noWrap w:val="0"/>
                  <w:vAlign w:val="center"/>
                </w:tcPr>
                <w:p w14:paraId="1E98A7E2">
                  <w:pPr>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0.049</w:t>
                  </w:r>
                </w:p>
              </w:tc>
              <w:tc>
                <w:tcPr>
                  <w:tcW w:w="1148" w:type="dxa"/>
                  <w:noWrap w:val="0"/>
                  <w:vAlign w:val="center"/>
                </w:tcPr>
                <w:p w14:paraId="5120A5B4">
                  <w:pPr>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0.14</w:t>
                  </w:r>
                </w:p>
              </w:tc>
            </w:tr>
            <w:tr w14:paraId="297233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continue"/>
                  <w:noWrap w:val="0"/>
                  <w:vAlign w:val="center"/>
                </w:tcPr>
                <w:p w14:paraId="216A8CB4">
                  <w:pPr>
                    <w:adjustRightInd w:val="0"/>
                    <w:snapToGrid w:val="0"/>
                    <w:jc w:val="center"/>
                    <w:rPr>
                      <w:rFonts w:ascii="Times New Roman" w:hAnsi="Times New Roman" w:cs="Times New Roman"/>
                      <w:color w:val="auto"/>
                      <w:szCs w:val="21"/>
                    </w:rPr>
                  </w:pPr>
                </w:p>
              </w:tc>
              <w:tc>
                <w:tcPr>
                  <w:tcW w:w="872" w:type="dxa"/>
                  <w:vMerge w:val="continue"/>
                  <w:noWrap w:val="0"/>
                  <w:vAlign w:val="center"/>
                </w:tcPr>
                <w:p w14:paraId="6CB472E6">
                  <w:pPr>
                    <w:adjustRightInd w:val="0"/>
                    <w:snapToGrid w:val="0"/>
                    <w:jc w:val="center"/>
                    <w:rPr>
                      <w:rFonts w:ascii="Times New Roman" w:hAnsi="Times New Roman" w:cs="Times New Roman"/>
                      <w:color w:val="auto"/>
                      <w:szCs w:val="21"/>
                    </w:rPr>
                  </w:pPr>
                </w:p>
              </w:tc>
              <w:tc>
                <w:tcPr>
                  <w:tcW w:w="1350" w:type="dxa"/>
                  <w:shd w:val="clear" w:color="auto" w:fill="auto"/>
                  <w:noWrap w:val="0"/>
                  <w:vAlign w:val="center"/>
                </w:tcPr>
                <w:p w14:paraId="77D96B10">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甲苯</w:t>
                  </w:r>
                </w:p>
              </w:tc>
              <w:tc>
                <w:tcPr>
                  <w:tcW w:w="655" w:type="dxa"/>
                  <w:vMerge w:val="continue"/>
                  <w:noWrap w:val="0"/>
                  <w:vAlign w:val="center"/>
                </w:tcPr>
                <w:p w14:paraId="2CF75331">
                  <w:pPr>
                    <w:adjustRightInd w:val="0"/>
                    <w:snapToGrid w:val="0"/>
                    <w:jc w:val="center"/>
                    <w:rPr>
                      <w:rFonts w:ascii="Times New Roman" w:hAnsi="Times New Roman" w:cs="Times New Roman"/>
                      <w:color w:val="auto"/>
                      <w:szCs w:val="21"/>
                    </w:rPr>
                  </w:pPr>
                </w:p>
              </w:tc>
              <w:tc>
                <w:tcPr>
                  <w:tcW w:w="1090" w:type="dxa"/>
                  <w:noWrap w:val="0"/>
                  <w:vAlign w:val="center"/>
                </w:tcPr>
                <w:p w14:paraId="5EB1EE51">
                  <w:pPr>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0.003</w:t>
                  </w:r>
                </w:p>
              </w:tc>
              <w:tc>
                <w:tcPr>
                  <w:tcW w:w="1195" w:type="dxa"/>
                  <w:noWrap w:val="0"/>
                  <w:vAlign w:val="center"/>
                </w:tcPr>
                <w:p w14:paraId="4EC83D01">
                  <w:pPr>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0.009</w:t>
                  </w:r>
                </w:p>
              </w:tc>
              <w:tc>
                <w:tcPr>
                  <w:tcW w:w="1029" w:type="dxa"/>
                  <w:noWrap w:val="0"/>
                  <w:vAlign w:val="center"/>
                </w:tcPr>
                <w:p w14:paraId="40CE5F8D">
                  <w:pPr>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0.002</w:t>
                  </w:r>
                </w:p>
              </w:tc>
              <w:tc>
                <w:tcPr>
                  <w:tcW w:w="1148" w:type="dxa"/>
                  <w:noWrap w:val="0"/>
                  <w:vAlign w:val="center"/>
                </w:tcPr>
                <w:p w14:paraId="3534D1E0">
                  <w:pPr>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0.01</w:t>
                  </w:r>
                </w:p>
              </w:tc>
            </w:tr>
            <w:tr w14:paraId="72AE1E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continue"/>
                  <w:noWrap w:val="0"/>
                  <w:vAlign w:val="center"/>
                </w:tcPr>
                <w:p w14:paraId="7AC539DA">
                  <w:pPr>
                    <w:adjustRightInd w:val="0"/>
                    <w:snapToGrid w:val="0"/>
                    <w:jc w:val="center"/>
                    <w:rPr>
                      <w:rFonts w:ascii="Times New Roman" w:hAnsi="Times New Roman" w:cs="Times New Roman"/>
                      <w:color w:val="auto"/>
                      <w:szCs w:val="21"/>
                    </w:rPr>
                  </w:pPr>
                </w:p>
              </w:tc>
              <w:tc>
                <w:tcPr>
                  <w:tcW w:w="872" w:type="dxa"/>
                  <w:vMerge w:val="continue"/>
                  <w:noWrap w:val="0"/>
                  <w:vAlign w:val="center"/>
                </w:tcPr>
                <w:p w14:paraId="04397D8D">
                  <w:pPr>
                    <w:adjustRightInd w:val="0"/>
                    <w:snapToGrid w:val="0"/>
                    <w:jc w:val="center"/>
                    <w:rPr>
                      <w:rFonts w:ascii="Times New Roman" w:hAnsi="Times New Roman" w:cs="Times New Roman"/>
                      <w:color w:val="auto"/>
                      <w:szCs w:val="21"/>
                    </w:rPr>
                  </w:pPr>
                </w:p>
              </w:tc>
              <w:tc>
                <w:tcPr>
                  <w:tcW w:w="1350" w:type="dxa"/>
                  <w:shd w:val="clear" w:color="auto" w:fill="auto"/>
                  <w:noWrap w:val="0"/>
                  <w:vAlign w:val="center"/>
                </w:tcPr>
                <w:p w14:paraId="5D41B7B2">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二甲苯</w:t>
                  </w:r>
                </w:p>
              </w:tc>
              <w:tc>
                <w:tcPr>
                  <w:tcW w:w="655" w:type="dxa"/>
                  <w:vMerge w:val="continue"/>
                  <w:noWrap w:val="0"/>
                  <w:vAlign w:val="center"/>
                </w:tcPr>
                <w:p w14:paraId="7DF79F75">
                  <w:pPr>
                    <w:adjustRightInd w:val="0"/>
                    <w:snapToGrid w:val="0"/>
                    <w:jc w:val="center"/>
                    <w:rPr>
                      <w:rFonts w:ascii="Times New Roman" w:hAnsi="Times New Roman" w:cs="Times New Roman"/>
                      <w:color w:val="auto"/>
                      <w:szCs w:val="21"/>
                    </w:rPr>
                  </w:pPr>
                </w:p>
              </w:tc>
              <w:tc>
                <w:tcPr>
                  <w:tcW w:w="1090" w:type="dxa"/>
                  <w:noWrap w:val="0"/>
                  <w:vAlign w:val="center"/>
                </w:tcPr>
                <w:p w14:paraId="5B1C473D">
                  <w:pPr>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0.006</w:t>
                  </w:r>
                </w:p>
              </w:tc>
              <w:tc>
                <w:tcPr>
                  <w:tcW w:w="1195" w:type="dxa"/>
                  <w:noWrap w:val="0"/>
                  <w:vAlign w:val="center"/>
                </w:tcPr>
                <w:p w14:paraId="05A23A4B">
                  <w:pPr>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0.02</w:t>
                  </w:r>
                </w:p>
              </w:tc>
              <w:tc>
                <w:tcPr>
                  <w:tcW w:w="1029" w:type="dxa"/>
                  <w:noWrap w:val="0"/>
                  <w:vAlign w:val="center"/>
                </w:tcPr>
                <w:p w14:paraId="6EB75588">
                  <w:pPr>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0.004</w:t>
                  </w:r>
                </w:p>
              </w:tc>
              <w:tc>
                <w:tcPr>
                  <w:tcW w:w="1148" w:type="dxa"/>
                  <w:noWrap w:val="0"/>
                  <w:vAlign w:val="center"/>
                </w:tcPr>
                <w:p w14:paraId="26DCA207">
                  <w:pPr>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0.01</w:t>
                  </w:r>
                </w:p>
              </w:tc>
            </w:tr>
            <w:tr w14:paraId="040ED2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continue"/>
                  <w:noWrap w:val="0"/>
                  <w:vAlign w:val="center"/>
                </w:tcPr>
                <w:p w14:paraId="1FBFB0FF">
                  <w:pPr>
                    <w:adjustRightInd w:val="0"/>
                    <w:snapToGrid w:val="0"/>
                    <w:jc w:val="center"/>
                    <w:rPr>
                      <w:rFonts w:ascii="Times New Roman" w:hAnsi="Times New Roman" w:cs="Times New Roman"/>
                      <w:color w:val="auto"/>
                      <w:szCs w:val="21"/>
                    </w:rPr>
                  </w:pPr>
                </w:p>
              </w:tc>
              <w:tc>
                <w:tcPr>
                  <w:tcW w:w="872" w:type="dxa"/>
                  <w:vMerge w:val="continue"/>
                  <w:noWrap w:val="0"/>
                  <w:vAlign w:val="center"/>
                </w:tcPr>
                <w:p w14:paraId="4EC2E6D6">
                  <w:pPr>
                    <w:adjustRightInd w:val="0"/>
                    <w:snapToGrid w:val="0"/>
                    <w:jc w:val="center"/>
                    <w:rPr>
                      <w:rFonts w:ascii="Times New Roman" w:hAnsi="Times New Roman" w:cs="Times New Roman"/>
                      <w:color w:val="auto"/>
                      <w:szCs w:val="21"/>
                    </w:rPr>
                  </w:pPr>
                </w:p>
              </w:tc>
              <w:tc>
                <w:tcPr>
                  <w:tcW w:w="1350" w:type="dxa"/>
                  <w:shd w:val="clear" w:color="auto" w:fill="auto"/>
                  <w:noWrap w:val="0"/>
                  <w:vAlign w:val="center"/>
                </w:tcPr>
                <w:p w14:paraId="141DBC35">
                  <w:pPr>
                    <w:adjustRightInd w:val="0"/>
                    <w:snapToGrid w:val="0"/>
                    <w:jc w:val="center"/>
                    <w:rPr>
                      <w:rFonts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非甲烷总烃</w:t>
                  </w:r>
                </w:p>
              </w:tc>
              <w:tc>
                <w:tcPr>
                  <w:tcW w:w="655" w:type="dxa"/>
                  <w:vMerge w:val="restart"/>
                  <w:shd w:val="clear" w:color="auto" w:fill="auto"/>
                  <w:noWrap w:val="0"/>
                  <w:vAlign w:val="center"/>
                </w:tcPr>
                <w:p w14:paraId="4CD3B6EC">
                  <w:pPr>
                    <w:adjustRightInd w:val="0"/>
                    <w:snapToGrid w:val="0"/>
                    <w:jc w:val="center"/>
                    <w:rPr>
                      <w:rFonts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无组织</w:t>
                  </w:r>
                </w:p>
              </w:tc>
              <w:tc>
                <w:tcPr>
                  <w:tcW w:w="1090" w:type="dxa"/>
                  <w:noWrap w:val="0"/>
                  <w:vAlign w:val="center"/>
                </w:tcPr>
                <w:p w14:paraId="284D4420">
                  <w:pPr>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0.014</w:t>
                  </w:r>
                </w:p>
              </w:tc>
              <w:tc>
                <w:tcPr>
                  <w:tcW w:w="1195" w:type="dxa"/>
                  <w:noWrap w:val="0"/>
                  <w:vAlign w:val="center"/>
                </w:tcPr>
                <w:p w14:paraId="7BBCD15A">
                  <w:pPr>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w:t>
                  </w:r>
                </w:p>
              </w:tc>
              <w:tc>
                <w:tcPr>
                  <w:tcW w:w="1029" w:type="dxa"/>
                  <w:shd w:val="clear" w:color="auto" w:fill="auto"/>
                  <w:noWrap w:val="0"/>
                  <w:vAlign w:val="center"/>
                </w:tcPr>
                <w:p w14:paraId="6F7184D1">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0.014</w:t>
                  </w:r>
                </w:p>
              </w:tc>
              <w:tc>
                <w:tcPr>
                  <w:tcW w:w="1148" w:type="dxa"/>
                  <w:shd w:val="clear" w:color="auto" w:fill="auto"/>
                  <w:noWrap w:val="0"/>
                  <w:vAlign w:val="center"/>
                </w:tcPr>
                <w:p w14:paraId="4A69D3BF">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w:t>
                  </w:r>
                </w:p>
              </w:tc>
            </w:tr>
            <w:tr w14:paraId="05BB03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continue"/>
                  <w:noWrap w:val="0"/>
                  <w:vAlign w:val="center"/>
                </w:tcPr>
                <w:p w14:paraId="226C7B28">
                  <w:pPr>
                    <w:adjustRightInd w:val="0"/>
                    <w:snapToGrid w:val="0"/>
                    <w:jc w:val="center"/>
                    <w:rPr>
                      <w:rFonts w:ascii="Times New Roman" w:hAnsi="Times New Roman" w:cs="Times New Roman"/>
                      <w:color w:val="auto"/>
                      <w:szCs w:val="21"/>
                    </w:rPr>
                  </w:pPr>
                </w:p>
              </w:tc>
              <w:tc>
                <w:tcPr>
                  <w:tcW w:w="872" w:type="dxa"/>
                  <w:vMerge w:val="continue"/>
                  <w:noWrap w:val="0"/>
                  <w:vAlign w:val="center"/>
                </w:tcPr>
                <w:p w14:paraId="0388C809">
                  <w:pPr>
                    <w:adjustRightInd w:val="0"/>
                    <w:snapToGrid w:val="0"/>
                    <w:jc w:val="center"/>
                    <w:rPr>
                      <w:rFonts w:ascii="Times New Roman" w:hAnsi="Times New Roman" w:cs="Times New Roman"/>
                      <w:color w:val="auto"/>
                      <w:szCs w:val="21"/>
                    </w:rPr>
                  </w:pPr>
                </w:p>
              </w:tc>
              <w:tc>
                <w:tcPr>
                  <w:tcW w:w="1350" w:type="dxa"/>
                  <w:shd w:val="clear" w:color="auto" w:fill="auto"/>
                  <w:noWrap w:val="0"/>
                  <w:vAlign w:val="center"/>
                </w:tcPr>
                <w:p w14:paraId="153AEA82">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甲苯</w:t>
                  </w:r>
                </w:p>
              </w:tc>
              <w:tc>
                <w:tcPr>
                  <w:tcW w:w="655" w:type="dxa"/>
                  <w:vMerge w:val="continue"/>
                  <w:noWrap w:val="0"/>
                  <w:vAlign w:val="center"/>
                </w:tcPr>
                <w:p w14:paraId="2BDEC682">
                  <w:pPr>
                    <w:adjustRightInd w:val="0"/>
                    <w:snapToGrid w:val="0"/>
                    <w:jc w:val="center"/>
                    <w:rPr>
                      <w:rFonts w:ascii="Times New Roman" w:hAnsi="Times New Roman" w:cs="Times New Roman"/>
                      <w:color w:val="auto"/>
                      <w:szCs w:val="21"/>
                    </w:rPr>
                  </w:pPr>
                </w:p>
              </w:tc>
              <w:tc>
                <w:tcPr>
                  <w:tcW w:w="1090" w:type="dxa"/>
                  <w:noWrap w:val="0"/>
                  <w:vAlign w:val="center"/>
                </w:tcPr>
                <w:p w14:paraId="7FC7AD7F">
                  <w:pPr>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0.001</w:t>
                  </w:r>
                </w:p>
              </w:tc>
              <w:tc>
                <w:tcPr>
                  <w:tcW w:w="1195" w:type="dxa"/>
                  <w:noWrap w:val="0"/>
                  <w:vAlign w:val="center"/>
                </w:tcPr>
                <w:p w14:paraId="782A8729">
                  <w:pPr>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w:t>
                  </w:r>
                </w:p>
              </w:tc>
              <w:tc>
                <w:tcPr>
                  <w:tcW w:w="1029" w:type="dxa"/>
                  <w:shd w:val="clear" w:color="auto" w:fill="auto"/>
                  <w:noWrap w:val="0"/>
                  <w:vAlign w:val="center"/>
                </w:tcPr>
                <w:p w14:paraId="7ABC06CA">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0.001</w:t>
                  </w:r>
                </w:p>
              </w:tc>
              <w:tc>
                <w:tcPr>
                  <w:tcW w:w="1148" w:type="dxa"/>
                  <w:shd w:val="clear" w:color="auto" w:fill="auto"/>
                  <w:noWrap w:val="0"/>
                  <w:vAlign w:val="center"/>
                </w:tcPr>
                <w:p w14:paraId="3D0F261C">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w:t>
                  </w:r>
                </w:p>
              </w:tc>
            </w:tr>
            <w:tr w14:paraId="584FC8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dxa"/>
                  <w:vMerge w:val="continue"/>
                </w:tcPr>
                <w:p w14:paraId="36484F5F">
                  <w:pPr>
                    <w:adjustRightInd w:val="0"/>
                    <w:snapToGrid w:val="0"/>
                    <w:jc w:val="center"/>
                    <w:rPr>
                      <w:rFonts w:ascii="Times New Roman" w:hAnsi="Times New Roman" w:cs="Times New Roman"/>
                      <w:color w:val="auto"/>
                      <w:szCs w:val="21"/>
                    </w:rPr>
                  </w:pPr>
                </w:p>
              </w:tc>
              <w:tc>
                <w:tcPr>
                  <w:tcW w:w="872" w:type="dxa"/>
                  <w:vMerge w:val="continue"/>
                </w:tcPr>
                <w:p w14:paraId="407CC3A6">
                  <w:pPr>
                    <w:adjustRightInd w:val="0"/>
                    <w:snapToGrid w:val="0"/>
                    <w:jc w:val="center"/>
                    <w:rPr>
                      <w:rFonts w:ascii="Times New Roman" w:hAnsi="Times New Roman" w:cs="Times New Roman"/>
                      <w:color w:val="auto"/>
                      <w:szCs w:val="21"/>
                    </w:rPr>
                  </w:pPr>
                </w:p>
              </w:tc>
              <w:tc>
                <w:tcPr>
                  <w:tcW w:w="1350" w:type="dxa"/>
                  <w:shd w:val="clear" w:color="auto" w:fill="auto"/>
                  <w:vAlign w:val="center"/>
                </w:tcPr>
                <w:p w14:paraId="25E1FA51">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二甲苯</w:t>
                  </w:r>
                </w:p>
              </w:tc>
              <w:tc>
                <w:tcPr>
                  <w:tcW w:w="655" w:type="dxa"/>
                  <w:vMerge w:val="continue"/>
                </w:tcPr>
                <w:p w14:paraId="47B2095A">
                  <w:pPr>
                    <w:adjustRightInd w:val="0"/>
                    <w:snapToGrid w:val="0"/>
                    <w:jc w:val="center"/>
                    <w:rPr>
                      <w:rFonts w:ascii="Times New Roman" w:hAnsi="Times New Roman" w:cs="Times New Roman"/>
                      <w:color w:val="auto"/>
                      <w:szCs w:val="21"/>
                    </w:rPr>
                  </w:pPr>
                </w:p>
              </w:tc>
              <w:tc>
                <w:tcPr>
                  <w:tcW w:w="1090" w:type="dxa"/>
                  <w:vAlign w:val="center"/>
                </w:tcPr>
                <w:p w14:paraId="52755BD1">
                  <w:pPr>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0.001</w:t>
                  </w:r>
                </w:p>
              </w:tc>
              <w:tc>
                <w:tcPr>
                  <w:tcW w:w="0" w:type="auto"/>
                  <w:vAlign w:val="center"/>
                </w:tcPr>
                <w:p w14:paraId="4708A6CD">
                  <w:pPr>
                    <w:adjustRightInd w:val="0"/>
                    <w:snapToGrid w:val="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w:t>
                  </w:r>
                </w:p>
              </w:tc>
              <w:tc>
                <w:tcPr>
                  <w:tcW w:w="1029" w:type="dxa"/>
                  <w:shd w:val="clear" w:color="auto" w:fill="auto"/>
                  <w:vAlign w:val="center"/>
                </w:tcPr>
                <w:p w14:paraId="7BEB926F">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0.001</w:t>
                  </w:r>
                </w:p>
              </w:tc>
              <w:tc>
                <w:tcPr>
                  <w:tcW w:w="1148" w:type="dxa"/>
                  <w:shd w:val="clear" w:color="auto" w:fill="auto"/>
                  <w:vAlign w:val="center"/>
                </w:tcPr>
                <w:p w14:paraId="222BD9ED">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w:t>
                  </w:r>
                </w:p>
              </w:tc>
            </w:tr>
          </w:tbl>
          <w:p w14:paraId="2AA98405">
            <w:pPr>
              <w:keepNext w:val="0"/>
              <w:keepLines/>
              <w:pageBreakBefore w:val="0"/>
              <w:widowControl w:val="0"/>
              <w:kinsoku/>
              <w:wordWrap/>
              <w:overflowPunct/>
              <w:topLinePunct w:val="0"/>
              <w:autoSpaceDE/>
              <w:autoSpaceDN/>
              <w:bidi w:val="0"/>
              <w:adjustRightInd/>
              <w:snapToGrid/>
              <w:spacing w:before="157" w:beforeLines="50" w:line="312" w:lineRule="auto"/>
              <w:ind w:firstLine="480" w:firstLineChars="200"/>
              <w:textAlignment w:val="auto"/>
              <w:rPr>
                <w:rFonts w:hint="default" w:cs="Times New Roman"/>
                <w:color w:val="auto"/>
                <w:sz w:val="24"/>
                <w:lang w:val="en-US" w:eastAsia="zh-CN"/>
              </w:rPr>
            </w:pPr>
            <w:r>
              <w:rPr>
                <w:rFonts w:hint="eastAsia"/>
                <w:color w:val="auto"/>
                <w:sz w:val="24"/>
                <w:lang w:val="en-US" w:eastAsia="zh-CN"/>
              </w:rPr>
              <w:t>②</w:t>
            </w:r>
            <w:r>
              <w:rPr>
                <w:rFonts w:hint="eastAsia" w:cs="Times New Roman"/>
                <w:color w:val="auto"/>
                <w:sz w:val="24"/>
                <w:lang w:val="en-US" w:eastAsia="zh-CN"/>
              </w:rPr>
              <w:t>危废贮存库2#</w:t>
            </w:r>
          </w:p>
          <w:p w14:paraId="6FDB62F0">
            <w:pPr>
              <w:keepNext w:val="0"/>
              <w:keepLines/>
              <w:pageBreakBefore w:val="0"/>
              <w:widowControl w:val="0"/>
              <w:kinsoku/>
              <w:wordWrap/>
              <w:overflowPunct/>
              <w:topLinePunct w:val="0"/>
              <w:autoSpaceDE/>
              <w:autoSpaceDN/>
              <w:bidi w:val="0"/>
              <w:adjustRightInd/>
              <w:snapToGrid/>
              <w:spacing w:line="312" w:lineRule="auto"/>
              <w:ind w:firstLine="480" w:firstLineChars="200"/>
              <w:textAlignment w:val="auto"/>
              <w:rPr>
                <w:rFonts w:hint="default" w:ascii="Times New Roman" w:hAnsi="Times New Roman" w:cs="Times New Roman"/>
                <w:color w:val="auto"/>
                <w:sz w:val="24"/>
                <w:lang w:val="en-US" w:eastAsia="zh-CN"/>
              </w:rPr>
            </w:pPr>
            <w:r>
              <w:rPr>
                <w:rFonts w:hint="eastAsia" w:cs="Times New Roman"/>
                <w:color w:val="auto"/>
                <w:sz w:val="24"/>
                <w:lang w:val="en-US" w:eastAsia="zh-CN"/>
              </w:rPr>
              <w:t>危废贮存库2#为密闭贮存，年运行天数约365天（8760h），主要贮存废原子灰渣、废遮蔽纸、废过滤棉、废活性炭会产生挥发性有机物（以非甲烷总烃计），均为密闭包装贮存，根据《环境影响评价实用技术指南》（李爱贞等，机械工业出版社）中建议无组织排放的比例为：按原料年用量或产品年产量的</w:t>
            </w:r>
            <w:r>
              <w:rPr>
                <w:rFonts w:hint="default" w:ascii="Times New Roman" w:hAnsi="Times New Roman" w:cs="Times New Roman"/>
                <w:color w:val="auto"/>
                <w:sz w:val="24"/>
                <w:lang w:val="en-US" w:eastAsia="zh-CN"/>
              </w:rPr>
              <w:t>0.1‰~0.4‰计算</w:t>
            </w:r>
            <w:r>
              <w:rPr>
                <w:rFonts w:hint="eastAsia" w:cs="Times New Roman"/>
                <w:color w:val="auto"/>
                <w:sz w:val="24"/>
                <w:lang w:val="en-US" w:eastAsia="zh-CN"/>
              </w:rPr>
              <w:t>，</w:t>
            </w:r>
            <w:r>
              <w:rPr>
                <w:rFonts w:hint="default" w:ascii="Times New Roman" w:hAnsi="Times New Roman" w:cs="Times New Roman"/>
                <w:color w:val="auto"/>
                <w:sz w:val="24"/>
                <w:lang w:val="en-US" w:eastAsia="zh-CN"/>
              </w:rPr>
              <w:t>本次按照最大挥发量0.4‰计算</w:t>
            </w:r>
            <w:r>
              <w:rPr>
                <w:rFonts w:hint="eastAsia" w:ascii="Times New Roman" w:hAnsi="Times New Roman" w:cs="Times New Roman"/>
                <w:color w:val="auto"/>
                <w:sz w:val="24"/>
                <w:lang w:val="en-US" w:eastAsia="zh-CN"/>
              </w:rPr>
              <w:t>。</w:t>
            </w:r>
            <w:r>
              <w:rPr>
                <w:rFonts w:hint="eastAsia" w:cs="Times New Roman"/>
                <w:color w:val="auto"/>
                <w:sz w:val="24"/>
                <w:lang w:val="en-US" w:eastAsia="zh-CN"/>
              </w:rPr>
              <w:t>废原子灰渣、废遮蔽纸、废过滤棉、废活性炭年转运量约15t/a</w:t>
            </w:r>
            <w:r>
              <w:rPr>
                <w:rFonts w:hint="default" w:ascii="Times New Roman" w:hAnsi="Times New Roman" w:cs="Times New Roman"/>
                <w:color w:val="auto"/>
                <w:sz w:val="24"/>
                <w:lang w:val="en-US" w:eastAsia="zh-CN"/>
              </w:rPr>
              <w:t>，则有机废气产生量为0.006t/a</w:t>
            </w:r>
            <w:r>
              <w:rPr>
                <w:rFonts w:hint="eastAsia" w:ascii="Times New Roman" w:hAnsi="Times New Roman" w:cs="Times New Roman"/>
                <w:color w:val="auto"/>
                <w:sz w:val="24"/>
                <w:lang w:val="en-US" w:eastAsia="zh-CN"/>
              </w:rPr>
              <w:t>。</w:t>
            </w:r>
          </w:p>
          <w:p w14:paraId="13E9A462">
            <w:pPr>
              <w:keepNext w:val="0"/>
              <w:keepLines/>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color w:val="auto"/>
                <w:sz w:val="24"/>
                <w:lang w:val="en-US" w:eastAsia="zh-CN"/>
              </w:rPr>
            </w:pPr>
            <w:r>
              <w:rPr>
                <w:rFonts w:hint="eastAsia" w:cs="Times New Roman"/>
                <w:color w:val="auto"/>
                <w:sz w:val="24"/>
                <w:lang w:val="en-US" w:eastAsia="zh-CN"/>
              </w:rPr>
              <w:t>危废贮存库2#位于喷烤漆房3#北侧，距离较近，产生的有机</w:t>
            </w:r>
            <w:r>
              <w:rPr>
                <w:rFonts w:hint="eastAsia"/>
                <w:color w:val="auto"/>
                <w:sz w:val="24"/>
                <w:lang w:val="en-US" w:eastAsia="zh-CN"/>
              </w:rPr>
              <w:t>废气收集后并入喷烤漆房3#废气处理设施“二级活性炭”处理后，尾气通过中涂房对应的DA003排气筒（16m）排放。其中</w:t>
            </w:r>
            <w:r>
              <w:rPr>
                <w:rFonts w:hint="eastAsia"/>
                <w:color w:val="auto"/>
                <w:sz w:val="24"/>
              </w:rPr>
              <w:t>收集效率按照《陕西省排污许可制支撑空气质量持续改善实施方案》的通知（陕环发〔2023〕59号）中</w:t>
            </w:r>
            <w:r>
              <w:rPr>
                <w:rFonts w:hint="eastAsia"/>
                <w:color w:val="auto"/>
                <w:sz w:val="24"/>
                <w:lang w:eastAsia="zh-CN"/>
              </w:rPr>
              <w:t>“</w:t>
            </w:r>
            <w:r>
              <w:rPr>
                <w:rFonts w:hint="eastAsia"/>
                <w:color w:val="auto"/>
                <w:sz w:val="24"/>
                <w:lang w:val="en-US" w:eastAsia="zh-CN"/>
              </w:rPr>
              <w:t>全封闭空间—单层密闭正压</w:t>
            </w:r>
            <w:r>
              <w:rPr>
                <w:rFonts w:hint="eastAsia"/>
                <w:color w:val="auto"/>
                <w:sz w:val="24"/>
                <w:lang w:eastAsia="zh-CN"/>
              </w:rPr>
              <w:t>，</w:t>
            </w:r>
            <w:r>
              <w:rPr>
                <w:rFonts w:hint="eastAsia"/>
                <w:color w:val="auto"/>
                <w:sz w:val="24"/>
                <w:lang w:val="en-US" w:eastAsia="zh-CN"/>
              </w:rPr>
              <w:t>集气效率按85%</w:t>
            </w:r>
            <w:r>
              <w:rPr>
                <w:rFonts w:hint="eastAsia"/>
                <w:color w:val="auto"/>
                <w:sz w:val="24"/>
                <w:lang w:eastAsia="zh-CN"/>
              </w:rPr>
              <w:t>”</w:t>
            </w:r>
            <w:r>
              <w:rPr>
                <w:rFonts w:hint="eastAsia"/>
                <w:color w:val="auto"/>
                <w:sz w:val="24"/>
                <w:lang w:val="en-US" w:eastAsia="zh-CN"/>
              </w:rPr>
              <w:t>计。活性炭吸附效率参照</w:t>
            </w:r>
            <w:r>
              <w:rPr>
                <w:rFonts w:hint="eastAsia"/>
                <w:color w:val="auto"/>
                <w:sz w:val="24"/>
              </w:rPr>
              <w:t>《陕西省排污许可制支撑空气质量持续改善实施方案》</w:t>
            </w:r>
            <w:r>
              <w:rPr>
                <w:rFonts w:hint="eastAsia"/>
                <w:color w:val="auto"/>
                <w:sz w:val="24"/>
                <w:lang w:val="en-US" w:eastAsia="zh-CN"/>
              </w:rPr>
              <w:t>中单级活性炭吸附去除效率约20%，二级活性炭去除效率为36%。</w:t>
            </w:r>
          </w:p>
          <w:p w14:paraId="3F2F84D6">
            <w:pPr>
              <w:keepNext w:val="0"/>
              <w:keepLines/>
              <w:pageBreakBefore w:val="0"/>
              <w:widowControl w:val="0"/>
              <w:kinsoku/>
              <w:wordWrap/>
              <w:overflowPunct/>
              <w:topLinePunct w:val="0"/>
              <w:autoSpaceDE/>
              <w:autoSpaceDN/>
              <w:bidi w:val="0"/>
              <w:adjustRightInd/>
              <w:snapToGrid/>
              <w:spacing w:line="312" w:lineRule="auto"/>
              <w:ind w:firstLine="480" w:firstLineChars="200"/>
              <w:textAlignment w:val="auto"/>
              <w:rPr>
                <w:rFonts w:hint="default"/>
                <w:color w:val="auto"/>
                <w:sz w:val="24"/>
                <w:lang w:val="en-US" w:eastAsia="zh-CN"/>
              </w:rPr>
            </w:pPr>
            <w:r>
              <w:rPr>
                <w:rFonts w:hint="eastAsia"/>
                <w:color w:val="auto"/>
                <w:sz w:val="24"/>
                <w:lang w:val="en-US" w:eastAsia="zh-CN"/>
              </w:rPr>
              <w:t>计算危废贮存库2#有机废气有组织产生量为0.005t/a（0.0006kg/h），有组织排放量为0.003t/a（0.0003kg/h），无组织产生量为0.001t/a。</w:t>
            </w:r>
          </w:p>
          <w:p w14:paraId="2C27EF6E">
            <w:pPr>
              <w:keepNext w:val="0"/>
              <w:keepLines/>
              <w:pageBreakBefore w:val="0"/>
              <w:widowControl w:val="0"/>
              <w:kinsoku/>
              <w:wordWrap/>
              <w:overflowPunct/>
              <w:topLinePunct w:val="0"/>
              <w:autoSpaceDE/>
              <w:autoSpaceDN/>
              <w:bidi w:val="0"/>
              <w:adjustRightInd/>
              <w:snapToGrid/>
              <w:spacing w:line="312" w:lineRule="auto"/>
              <w:ind w:firstLine="480" w:firstLineChars="200"/>
              <w:textAlignment w:val="auto"/>
              <w:rPr>
                <w:rFonts w:hint="default"/>
                <w:color w:val="auto"/>
                <w:sz w:val="24"/>
                <w:lang w:val="en-US" w:eastAsia="zh-CN"/>
              </w:rPr>
            </w:pPr>
            <w:r>
              <w:rPr>
                <w:rFonts w:hint="eastAsia" w:cs="Times New Roman"/>
                <w:color w:val="auto"/>
                <w:sz w:val="24"/>
                <w:lang w:val="en-US" w:eastAsia="zh-CN"/>
              </w:rPr>
              <w:t>③</w:t>
            </w:r>
            <w:r>
              <w:rPr>
                <w:rFonts w:hint="eastAsia"/>
                <w:color w:val="auto"/>
                <w:sz w:val="24"/>
                <w:lang w:val="en-US" w:eastAsia="zh-CN"/>
              </w:rPr>
              <w:t>喷烤漆</w:t>
            </w:r>
          </w:p>
          <w:p w14:paraId="5B9115BC">
            <w:pPr>
              <w:keepNext w:val="0"/>
              <w:keepLines/>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cs="Times New Roman"/>
                <w:color w:val="auto"/>
                <w:sz w:val="24"/>
                <w:lang w:val="en-US" w:eastAsia="zh-CN"/>
              </w:rPr>
            </w:pPr>
            <w:r>
              <w:rPr>
                <w:rFonts w:hint="eastAsia"/>
                <w:color w:val="auto"/>
                <w:sz w:val="24"/>
                <w:lang w:val="en-US" w:eastAsia="zh-CN"/>
              </w:rPr>
              <w:t>A.非甲烷总烃：</w:t>
            </w:r>
            <w:r>
              <w:rPr>
                <w:rFonts w:hint="eastAsia"/>
                <w:color w:val="auto"/>
                <w:sz w:val="24"/>
                <w:lang w:eastAsia="zh-CN"/>
              </w:rPr>
              <w:t>喷烤漆</w:t>
            </w:r>
            <w:r>
              <w:rPr>
                <w:rFonts w:ascii="Times New Roman" w:hAnsi="Times New Roman" w:cs="Times New Roman"/>
                <w:color w:val="auto"/>
                <w:sz w:val="24"/>
              </w:rPr>
              <w:t>工序会</w:t>
            </w:r>
            <w:r>
              <w:rPr>
                <w:rFonts w:hint="eastAsia"/>
                <w:color w:val="auto"/>
                <w:sz w:val="24"/>
              </w:rPr>
              <w:t>产生</w:t>
            </w:r>
            <w:r>
              <w:rPr>
                <w:rFonts w:hint="eastAsia"/>
                <w:color w:val="auto"/>
                <w:sz w:val="24"/>
                <w:lang w:val="en-US" w:eastAsia="zh-CN"/>
              </w:rPr>
              <w:t>有机</w:t>
            </w:r>
            <w:r>
              <w:rPr>
                <w:rFonts w:hint="eastAsia"/>
                <w:color w:val="auto"/>
                <w:sz w:val="24"/>
              </w:rPr>
              <w:t>废气</w:t>
            </w:r>
            <w:r>
              <w:rPr>
                <w:rFonts w:hint="eastAsia"/>
                <w:color w:val="auto"/>
                <w:sz w:val="24"/>
                <w:lang w:eastAsia="zh-CN"/>
              </w:rPr>
              <w:t>（</w:t>
            </w:r>
            <w:r>
              <w:rPr>
                <w:rFonts w:hint="eastAsia"/>
                <w:color w:val="auto"/>
                <w:sz w:val="24"/>
                <w:lang w:val="en-US" w:eastAsia="zh-CN"/>
              </w:rPr>
              <w:t>以非甲烷总烃计</w:t>
            </w:r>
            <w:r>
              <w:rPr>
                <w:rFonts w:hint="eastAsia"/>
                <w:color w:val="auto"/>
                <w:sz w:val="24"/>
                <w:lang w:eastAsia="zh-CN"/>
              </w:rPr>
              <w:t>）</w:t>
            </w:r>
            <w:r>
              <w:rPr>
                <w:rFonts w:hint="eastAsia"/>
                <w:color w:val="auto"/>
                <w:sz w:val="24"/>
              </w:rPr>
              <w:t>，</w:t>
            </w:r>
            <w:r>
              <w:rPr>
                <w:rFonts w:hint="eastAsia"/>
                <w:color w:val="auto"/>
                <w:sz w:val="24"/>
                <w:lang w:val="en-US" w:eastAsia="zh-CN"/>
              </w:rPr>
              <w:t>本项目共3个喷烤漆房和1个中涂房，废气收集后通过3根排气筒（DA001对应喷烤漆房1#，DA002对应喷烤漆房2#，DA003对应中涂房、烤漆房3#、调漆间、危废贮存库2#）排放。根据《西咸新区汽修企业喷烤漆房有机废气抽检项目监测报告》，喷烤漆DA001</w:t>
            </w:r>
            <w:r>
              <w:rPr>
                <w:rFonts w:hint="eastAsia" w:cs="Times New Roman"/>
                <w:color w:val="auto"/>
                <w:sz w:val="24"/>
                <w:lang w:val="en-US" w:eastAsia="zh-CN"/>
              </w:rPr>
              <w:t>排气筒进口产生速率平均值为0.54kg/h，废气收集效率为95%，监测时运行工况为120%，各</w:t>
            </w:r>
            <w:r>
              <w:rPr>
                <w:rFonts w:hint="eastAsia"/>
                <w:color w:val="auto"/>
                <w:sz w:val="24"/>
                <w:lang w:eastAsia="zh-CN"/>
              </w:rPr>
              <w:t>喷烤漆房</w:t>
            </w:r>
            <w:r>
              <w:rPr>
                <w:rFonts w:hint="eastAsia"/>
                <w:color w:val="auto"/>
                <w:sz w:val="24"/>
                <w:lang w:val="en-US" w:eastAsia="zh-CN"/>
              </w:rPr>
              <w:t>年运行时间为870h</w:t>
            </w:r>
            <w:r>
              <w:rPr>
                <w:rFonts w:hint="eastAsia"/>
                <w:color w:val="auto"/>
                <w:sz w:val="24"/>
                <w:lang w:eastAsia="zh-CN"/>
              </w:rPr>
              <w:t>，</w:t>
            </w:r>
            <w:r>
              <w:rPr>
                <w:rFonts w:hint="eastAsia"/>
                <w:color w:val="auto"/>
                <w:sz w:val="24"/>
                <w:lang w:val="en-US" w:eastAsia="zh-CN"/>
              </w:rPr>
              <w:t>喷烤漆废气经3个排气筒（DA001、DA002、DA003）排放，计算得非甲烷总烃总产生量为1.648t/a（DA001、DA002单个排气筒产生量为0.412t/a；DA003排气筒产生量为0.824t/a）</w:t>
            </w:r>
            <w:r>
              <w:rPr>
                <w:rFonts w:hint="eastAsia" w:cs="Times New Roman"/>
                <w:color w:val="auto"/>
                <w:sz w:val="24"/>
                <w:lang w:val="en-US" w:eastAsia="zh-CN"/>
              </w:rPr>
              <w:t>。</w:t>
            </w:r>
          </w:p>
          <w:p w14:paraId="437F76EF">
            <w:pPr>
              <w:keepNext w:val="0"/>
              <w:keepLines/>
              <w:pageBreakBefore w:val="0"/>
              <w:widowControl w:val="0"/>
              <w:kinsoku/>
              <w:wordWrap/>
              <w:overflowPunct/>
              <w:topLinePunct w:val="0"/>
              <w:autoSpaceDE/>
              <w:autoSpaceDN/>
              <w:bidi w:val="0"/>
              <w:adjustRightInd/>
              <w:snapToGrid/>
              <w:spacing w:line="312" w:lineRule="auto"/>
              <w:ind w:firstLine="480" w:firstLineChars="200"/>
              <w:textAlignment w:val="auto"/>
              <w:rPr>
                <w:rFonts w:hint="default" w:ascii="Times New Roman" w:hAnsi="Times New Roman" w:cs="Times New Roman"/>
                <w:color w:val="auto"/>
                <w:sz w:val="24"/>
                <w:lang w:val="en-US"/>
              </w:rPr>
            </w:pPr>
            <w:r>
              <w:rPr>
                <w:rFonts w:hint="eastAsia"/>
                <w:color w:val="auto"/>
                <w:sz w:val="24"/>
                <w:lang w:val="en-US" w:eastAsia="zh-CN"/>
              </w:rPr>
              <w:t>B.甲苯、二甲苯：根据《西咸新区汽修企业喷烤漆房有机废气抽检项目》监测报告，计算得喷烤漆DA001</w:t>
            </w:r>
            <w:r>
              <w:rPr>
                <w:rFonts w:hint="eastAsia" w:cs="Times New Roman"/>
                <w:color w:val="auto"/>
                <w:sz w:val="24"/>
                <w:lang w:val="en-US" w:eastAsia="zh-CN"/>
              </w:rPr>
              <w:t>排气筒出口甲苯排放速率平均值为0.04kg/h、二甲苯排放速率平均值为0.013kg/h，废气收集效率为95%，监测时运行工况为120%，各</w:t>
            </w:r>
            <w:r>
              <w:rPr>
                <w:rFonts w:hint="eastAsia"/>
                <w:color w:val="auto"/>
                <w:sz w:val="24"/>
                <w:lang w:eastAsia="zh-CN"/>
              </w:rPr>
              <w:t>喷烤漆房</w:t>
            </w:r>
            <w:r>
              <w:rPr>
                <w:rFonts w:hint="eastAsia"/>
                <w:color w:val="auto"/>
                <w:sz w:val="24"/>
                <w:lang w:val="en-US" w:eastAsia="zh-CN"/>
              </w:rPr>
              <w:t>年运行时间为870h</w:t>
            </w:r>
            <w:r>
              <w:rPr>
                <w:rFonts w:hint="eastAsia"/>
                <w:color w:val="auto"/>
                <w:sz w:val="24"/>
                <w:lang w:eastAsia="zh-CN"/>
              </w:rPr>
              <w:t>，</w:t>
            </w:r>
            <w:r>
              <w:rPr>
                <w:rFonts w:hint="eastAsia"/>
                <w:color w:val="auto"/>
                <w:sz w:val="24"/>
                <w:lang w:val="en-US" w:eastAsia="zh-CN"/>
              </w:rPr>
              <w:t>喷烤漆废气经3个排气筒（DA001、DA002、DA003）排放，计算得甲苯总产生量为0.124t/a（DA001、DA002单个排气筒产生量为0.031t/a，DA003排气筒产生量为0.062t/a），二甲苯总产生量为0.04t/a（DA001、DA002单个排气筒产生量为0.01t/a，DA003排气筒产生量为0.02t/a）。</w:t>
            </w:r>
          </w:p>
          <w:p w14:paraId="42644422">
            <w:pPr>
              <w:keepNext w:val="0"/>
              <w:keepLines/>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color w:val="auto"/>
                <w:sz w:val="24"/>
                <w:vertAlign w:val="superscript"/>
              </w:rPr>
            </w:pPr>
            <w:r>
              <w:rPr>
                <w:rFonts w:hint="eastAsia"/>
                <w:color w:val="auto"/>
                <w:sz w:val="24"/>
                <w:lang w:val="en-US" w:eastAsia="zh-CN"/>
              </w:rPr>
              <w:t>C.颗粒物：根据前文本项目漆料用量为4.554t/a，调漆废气产生量为0.091t/a，喷烤漆废气产生量为1.648t/a，计算得固定份含量为2.815t/a，</w:t>
            </w:r>
            <w:r>
              <w:rPr>
                <w:rFonts w:ascii="Times New Roman" w:hAnsi="Times New Roman" w:cs="Times New Roman"/>
                <w:color w:val="auto"/>
                <w:sz w:val="24"/>
              </w:rPr>
              <w:t>喷漆时</w:t>
            </w:r>
            <w:r>
              <w:rPr>
                <w:rFonts w:hint="eastAsia" w:cs="Times New Roman"/>
                <w:color w:val="auto"/>
                <w:sz w:val="24"/>
                <w:lang w:eastAsia="zh-CN"/>
              </w:rPr>
              <w:t>固定份</w:t>
            </w:r>
            <w:r>
              <w:rPr>
                <w:rFonts w:ascii="Times New Roman" w:hAnsi="Times New Roman" w:cs="Times New Roman"/>
                <w:color w:val="auto"/>
                <w:sz w:val="24"/>
              </w:rPr>
              <w:t>附着率按照7</w:t>
            </w:r>
            <w:r>
              <w:rPr>
                <w:rFonts w:hint="eastAsia" w:ascii="Times New Roman" w:hAnsi="Times New Roman" w:cs="Times New Roman"/>
                <w:color w:val="auto"/>
                <w:sz w:val="24"/>
                <w:lang w:val="en-US" w:eastAsia="zh-CN"/>
              </w:rPr>
              <w:t>5</w:t>
            </w:r>
            <w:r>
              <w:rPr>
                <w:rFonts w:ascii="Times New Roman" w:hAnsi="Times New Roman" w:cs="Times New Roman"/>
                <w:color w:val="auto"/>
                <w:sz w:val="24"/>
              </w:rPr>
              <w:t>%考虑，未附着</w:t>
            </w:r>
            <w:r>
              <w:rPr>
                <w:rFonts w:hint="eastAsia" w:ascii="Times New Roman" w:hAnsi="Times New Roman" w:cs="Times New Roman"/>
                <w:color w:val="auto"/>
                <w:sz w:val="24"/>
                <w:lang w:val="en-US" w:eastAsia="zh-CN"/>
              </w:rPr>
              <w:t>的</w:t>
            </w:r>
            <w:r>
              <w:rPr>
                <w:rFonts w:hint="eastAsia" w:cs="Times New Roman"/>
                <w:color w:val="auto"/>
                <w:sz w:val="24"/>
                <w:lang w:val="en-US" w:eastAsia="zh-CN"/>
              </w:rPr>
              <w:t>固定份</w:t>
            </w:r>
            <w:r>
              <w:rPr>
                <w:rFonts w:ascii="Times New Roman" w:hAnsi="Times New Roman" w:cs="Times New Roman"/>
                <w:color w:val="auto"/>
                <w:sz w:val="24"/>
              </w:rPr>
              <w:t>2</w:t>
            </w:r>
            <w:r>
              <w:rPr>
                <w:rFonts w:hint="eastAsia" w:ascii="Times New Roman" w:hAnsi="Times New Roman" w:cs="Times New Roman"/>
                <w:color w:val="auto"/>
                <w:sz w:val="24"/>
                <w:lang w:val="en-US" w:eastAsia="zh-CN"/>
              </w:rPr>
              <w:t>5</w:t>
            </w:r>
            <w:r>
              <w:rPr>
                <w:rFonts w:ascii="Times New Roman" w:hAnsi="Times New Roman" w:cs="Times New Roman"/>
                <w:color w:val="auto"/>
                <w:sz w:val="24"/>
              </w:rPr>
              <w:t>%形成漆雾，则漆雾产生量为</w:t>
            </w:r>
            <w:r>
              <w:rPr>
                <w:rFonts w:hint="eastAsia" w:ascii="Times New Roman" w:hAnsi="Times New Roman" w:cs="Times New Roman"/>
                <w:color w:val="auto"/>
                <w:sz w:val="24"/>
                <w:lang w:val="en-US" w:eastAsia="zh-CN"/>
              </w:rPr>
              <w:t>0.</w:t>
            </w:r>
            <w:r>
              <w:rPr>
                <w:rFonts w:hint="eastAsia" w:cs="Times New Roman"/>
                <w:color w:val="auto"/>
                <w:sz w:val="24"/>
                <w:lang w:val="en-US" w:eastAsia="zh-CN"/>
              </w:rPr>
              <w:t>704</w:t>
            </w:r>
            <w:r>
              <w:rPr>
                <w:rFonts w:ascii="Times New Roman" w:hAnsi="Times New Roman" w:cs="Times New Roman"/>
                <w:color w:val="auto"/>
                <w:sz w:val="24"/>
              </w:rPr>
              <w:t>t/a</w:t>
            </w:r>
            <w:r>
              <w:rPr>
                <w:rFonts w:hint="eastAsia"/>
                <w:color w:val="auto"/>
                <w:sz w:val="24"/>
                <w:lang w:val="en-US" w:eastAsia="zh-CN"/>
              </w:rPr>
              <w:t>（DA001、DA002单个排气筒产生量为0.176t/a，DA003排气筒产生量为0.352t/a）</w:t>
            </w:r>
            <w:r>
              <w:rPr>
                <w:rFonts w:ascii="Times New Roman" w:hAnsi="Times New Roman" w:cs="Times New Roman"/>
                <w:color w:val="auto"/>
                <w:sz w:val="24"/>
              </w:rPr>
              <w:t>。</w:t>
            </w:r>
          </w:p>
          <w:p w14:paraId="1F24C515">
            <w:pPr>
              <w:keepNext w:val="0"/>
              <w:keepLines/>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Times New Roman" w:hAnsi="Times New Roman" w:cs="Times New Roman"/>
                <w:color w:val="auto"/>
                <w:sz w:val="24"/>
                <w:lang w:eastAsia="zh-CN"/>
              </w:rPr>
            </w:pPr>
            <w:r>
              <w:rPr>
                <w:rFonts w:hint="eastAsia" w:cs="Times New Roman"/>
                <w:color w:val="auto"/>
                <w:sz w:val="24"/>
                <w:lang w:eastAsia="zh-CN"/>
              </w:rPr>
              <w:t>喷烤漆</w:t>
            </w:r>
            <w:r>
              <w:rPr>
                <w:rFonts w:ascii="Times New Roman" w:hAnsi="Times New Roman" w:cs="Times New Roman"/>
                <w:color w:val="auto"/>
                <w:sz w:val="24"/>
              </w:rPr>
              <w:t>工序均在全封闭</w:t>
            </w:r>
            <w:r>
              <w:rPr>
                <w:rFonts w:hint="eastAsia" w:ascii="Times New Roman" w:hAnsi="Times New Roman" w:cs="Times New Roman"/>
                <w:color w:val="auto"/>
                <w:sz w:val="24"/>
                <w:lang w:eastAsia="zh-CN"/>
              </w:rPr>
              <w:t>喷烤漆房</w:t>
            </w:r>
            <w:r>
              <w:rPr>
                <w:rFonts w:ascii="Times New Roman" w:hAnsi="Times New Roman" w:cs="Times New Roman"/>
                <w:color w:val="auto"/>
                <w:sz w:val="24"/>
              </w:rPr>
              <w:t>中进行，</w:t>
            </w:r>
            <w:r>
              <w:rPr>
                <w:rFonts w:hint="eastAsia" w:ascii="Times New Roman" w:hAnsi="Times New Roman" w:cs="Times New Roman"/>
                <w:color w:val="auto"/>
                <w:sz w:val="24"/>
                <w:lang w:val="en-US" w:eastAsia="zh-CN"/>
              </w:rPr>
              <w:t>本项目</w:t>
            </w:r>
            <w:r>
              <w:rPr>
                <w:rFonts w:hint="eastAsia" w:ascii="Times New Roman" w:hAnsi="Times New Roman" w:eastAsia="宋体" w:cs="Times New Roman"/>
                <w:color w:val="auto"/>
                <w:spacing w:val="-3"/>
                <w:sz w:val="24"/>
                <w:lang w:val="en-US" w:eastAsia="zh-CN"/>
              </w:rPr>
              <w:t>废气采用“上进风、下出风”，</w:t>
            </w:r>
            <w:r>
              <w:rPr>
                <w:rFonts w:hint="eastAsia" w:ascii="Times New Roman" w:hAnsi="Times New Roman" w:eastAsia="宋体" w:cs="Times New Roman"/>
                <w:color w:val="auto"/>
                <w:sz w:val="24"/>
                <w:lang w:eastAsia="zh-CN"/>
              </w:rPr>
              <w:t>喷烤漆房</w:t>
            </w:r>
            <w:r>
              <w:rPr>
                <w:rFonts w:ascii="Times New Roman" w:hAnsi="Times New Roman" w:cs="Times New Roman"/>
                <w:color w:val="auto"/>
                <w:sz w:val="24"/>
              </w:rPr>
              <w:t>运行时门处于闭合状态，对</w:t>
            </w:r>
            <w:r>
              <w:rPr>
                <w:rFonts w:hint="eastAsia" w:ascii="Times New Roman" w:hAnsi="Times New Roman" w:cs="Times New Roman"/>
                <w:color w:val="auto"/>
                <w:sz w:val="24"/>
                <w:lang w:eastAsia="zh-CN"/>
              </w:rPr>
              <w:t>喷烤漆房</w:t>
            </w:r>
            <w:r>
              <w:rPr>
                <w:rFonts w:ascii="Times New Roman" w:hAnsi="Times New Roman" w:cs="Times New Roman"/>
                <w:color w:val="auto"/>
                <w:sz w:val="24"/>
              </w:rPr>
              <w:t>进行负压抽吸</w:t>
            </w:r>
            <w:r>
              <w:rPr>
                <w:rFonts w:hint="eastAsia" w:ascii="Times New Roman" w:hAnsi="Times New Roman" w:cs="Times New Roman"/>
                <w:color w:val="auto"/>
                <w:sz w:val="24"/>
                <w:lang w:eastAsia="zh-CN"/>
              </w:rPr>
              <w:t>，</w:t>
            </w:r>
            <w:r>
              <w:rPr>
                <w:rFonts w:ascii="Times New Roman" w:hAnsi="Times New Roman" w:cs="Times New Roman"/>
                <w:color w:val="auto"/>
                <w:sz w:val="24"/>
              </w:rPr>
              <w:t>收集后采用</w:t>
            </w:r>
            <w:r>
              <w:rPr>
                <w:rFonts w:hint="eastAsia" w:ascii="Times New Roman" w:hAnsi="Times New Roman" w:cs="Times New Roman"/>
                <w:color w:val="auto"/>
                <w:sz w:val="24"/>
                <w:lang w:eastAsia="zh-CN"/>
              </w:rPr>
              <w:t>“</w:t>
            </w:r>
            <w:r>
              <w:rPr>
                <w:rFonts w:ascii="Times New Roman" w:hAnsi="Times New Roman" w:cs="Times New Roman"/>
                <w:color w:val="auto"/>
                <w:sz w:val="24"/>
              </w:rPr>
              <w:t>干式过滤（漆雾颗粒处理效率</w:t>
            </w:r>
            <w:r>
              <w:rPr>
                <w:rFonts w:hint="eastAsia" w:ascii="Times New Roman" w:hAnsi="Times New Roman" w:cs="Times New Roman"/>
                <w:color w:val="auto"/>
                <w:sz w:val="24"/>
                <w:lang w:val="en-US" w:eastAsia="zh-CN"/>
              </w:rPr>
              <w:t>85</w:t>
            </w:r>
            <w:r>
              <w:rPr>
                <w:rFonts w:ascii="Times New Roman" w:hAnsi="Times New Roman" w:cs="Times New Roman"/>
                <w:color w:val="auto"/>
                <w:sz w:val="24"/>
              </w:rPr>
              <w:t>%）+</w:t>
            </w:r>
            <w:r>
              <w:rPr>
                <w:rFonts w:hint="eastAsia" w:ascii="Times New Roman" w:hAnsi="Times New Roman" w:cs="Times New Roman"/>
                <w:color w:val="auto"/>
                <w:sz w:val="24"/>
                <w:lang w:val="en-US" w:eastAsia="zh-CN"/>
              </w:rPr>
              <w:t>二</w:t>
            </w:r>
            <w:r>
              <w:rPr>
                <w:rFonts w:hint="eastAsia" w:ascii="Times New Roman" w:hAnsi="Times New Roman" w:cs="Times New Roman"/>
                <w:color w:val="auto"/>
                <w:sz w:val="24"/>
                <w:lang w:eastAsia="zh-CN"/>
              </w:rPr>
              <w:t>活性炭吸附</w:t>
            </w:r>
            <w:r>
              <w:rPr>
                <w:rFonts w:ascii="Times New Roman" w:hAnsi="Times New Roman" w:cs="Times New Roman"/>
                <w:color w:val="auto"/>
                <w:sz w:val="24"/>
              </w:rPr>
              <w:t>（有机废气处理效率</w:t>
            </w:r>
            <w:r>
              <w:rPr>
                <w:rFonts w:hint="eastAsia" w:cs="Times New Roman"/>
                <w:color w:val="auto"/>
                <w:sz w:val="24"/>
                <w:lang w:val="en-US" w:eastAsia="zh-CN"/>
              </w:rPr>
              <w:t>36</w:t>
            </w:r>
            <w:r>
              <w:rPr>
                <w:rFonts w:ascii="Times New Roman" w:hAnsi="Times New Roman" w:cs="Times New Roman"/>
                <w:color w:val="auto"/>
                <w:sz w:val="24"/>
              </w:rPr>
              <w:t>%）</w:t>
            </w:r>
            <w:r>
              <w:rPr>
                <w:rFonts w:hint="eastAsia" w:ascii="Times New Roman" w:hAnsi="Times New Roman" w:cs="Times New Roman"/>
                <w:color w:val="auto"/>
                <w:sz w:val="24"/>
                <w:lang w:eastAsia="zh-CN"/>
              </w:rPr>
              <w:t>”</w:t>
            </w:r>
            <w:r>
              <w:rPr>
                <w:rFonts w:ascii="Times New Roman" w:hAnsi="Times New Roman" w:cs="Times New Roman"/>
                <w:color w:val="auto"/>
                <w:sz w:val="24"/>
              </w:rPr>
              <w:t>装置处理后，尾气通过</w:t>
            </w:r>
            <w:r>
              <w:rPr>
                <w:rFonts w:hint="eastAsia" w:ascii="Times New Roman" w:hAnsi="Times New Roman" w:cs="Times New Roman"/>
                <w:color w:val="auto"/>
                <w:sz w:val="24"/>
                <w:lang w:eastAsia="zh-CN"/>
              </w:rPr>
              <w:t>16</w:t>
            </w:r>
            <w:r>
              <w:rPr>
                <w:rFonts w:ascii="Times New Roman" w:hAnsi="Times New Roman" w:cs="Times New Roman"/>
                <w:color w:val="auto"/>
                <w:sz w:val="24"/>
              </w:rPr>
              <w:t>m高排气筒排放。</w:t>
            </w:r>
          </w:p>
          <w:p w14:paraId="698751F5">
            <w:pPr>
              <w:keepNext w:val="0"/>
              <w:keepLines/>
              <w:pageBreakBefore w:val="0"/>
              <w:widowControl w:val="0"/>
              <w:kinsoku/>
              <w:wordWrap/>
              <w:overflowPunct/>
              <w:topLinePunct w:val="0"/>
              <w:autoSpaceDE/>
              <w:autoSpaceDN/>
              <w:bidi w:val="0"/>
              <w:adjustRightInd/>
              <w:snapToGrid/>
              <w:spacing w:line="312" w:lineRule="auto"/>
              <w:ind w:firstLine="480" w:firstLineChars="200"/>
              <w:textAlignment w:val="auto"/>
              <w:rPr>
                <w:rFonts w:hint="default" w:ascii="Times New Roman" w:hAnsi="Times New Roman" w:eastAsia="宋体" w:cs="Times New Roman"/>
                <w:color w:val="auto"/>
                <w:sz w:val="24"/>
                <w:lang w:val="en-US" w:eastAsia="zh-CN"/>
              </w:rPr>
            </w:pPr>
            <w:r>
              <w:rPr>
                <w:rFonts w:hint="eastAsia"/>
                <w:color w:val="auto"/>
                <w:sz w:val="24"/>
              </w:rPr>
              <w:t>收集效率按照《陕西省排污许可制支撑空气质量持续改善实施方案》的通知（陕环发〔2023〕59号）中</w:t>
            </w:r>
            <w:r>
              <w:rPr>
                <w:rFonts w:hint="eastAsia"/>
                <w:color w:val="auto"/>
                <w:sz w:val="24"/>
                <w:lang w:eastAsia="zh-CN"/>
              </w:rPr>
              <w:t>“单层密闭负压</w:t>
            </w:r>
            <w:r>
              <w:rPr>
                <w:rFonts w:hint="eastAsia"/>
                <w:color w:val="auto"/>
                <w:sz w:val="24"/>
                <w:lang w:val="en-US" w:eastAsia="zh-CN"/>
              </w:rPr>
              <w:t>集气效率95%</w:t>
            </w:r>
            <w:r>
              <w:rPr>
                <w:rFonts w:hint="eastAsia"/>
                <w:color w:val="auto"/>
                <w:sz w:val="24"/>
                <w:lang w:eastAsia="zh-CN"/>
              </w:rPr>
              <w:t>”</w:t>
            </w:r>
            <w:r>
              <w:rPr>
                <w:rFonts w:hint="eastAsia"/>
                <w:color w:val="auto"/>
                <w:sz w:val="24"/>
                <w:lang w:val="en-US" w:eastAsia="zh-CN"/>
              </w:rPr>
              <w:t>计；活性炭吸附效率参照</w:t>
            </w:r>
            <w:r>
              <w:rPr>
                <w:rFonts w:hint="eastAsia"/>
                <w:color w:val="auto"/>
                <w:sz w:val="24"/>
              </w:rPr>
              <w:t>《陕西省排污许可制支撑空气质量持续改善实施方案》</w:t>
            </w:r>
            <w:r>
              <w:rPr>
                <w:rFonts w:hint="eastAsia"/>
                <w:color w:val="auto"/>
                <w:sz w:val="24"/>
                <w:lang w:val="en-US" w:eastAsia="zh-CN"/>
              </w:rPr>
              <w:t>中单级活性炭吸附去除效率约20%，二级活性炭去除效率为36%。</w:t>
            </w:r>
            <w:r>
              <w:rPr>
                <w:rFonts w:hint="eastAsia" w:cs="Times New Roman"/>
                <w:color w:val="auto"/>
                <w:sz w:val="24"/>
                <w:lang w:val="en-US" w:eastAsia="zh-CN"/>
              </w:rPr>
              <w:t>喷烤漆</w:t>
            </w:r>
            <w:r>
              <w:rPr>
                <w:rFonts w:hint="eastAsia" w:ascii="Times New Roman" w:hAnsi="Times New Roman" w:cs="Times New Roman"/>
                <w:color w:val="auto"/>
                <w:sz w:val="24"/>
                <w:lang w:val="en-US" w:eastAsia="zh-CN"/>
              </w:rPr>
              <w:t>废气产排情况见下表。</w:t>
            </w:r>
          </w:p>
          <w:p w14:paraId="6F45F3CB">
            <w:pPr>
              <w:pStyle w:val="63"/>
              <w:spacing w:line="240" w:lineRule="auto"/>
              <w:ind w:firstLine="0" w:firstLineChars="0"/>
              <w:jc w:val="center"/>
              <w:rPr>
                <w:rFonts w:hint="eastAsia" w:hAnsi="Times New Roman" w:eastAsia="宋体" w:cs="Times New Roman"/>
                <w:b/>
                <w:bCs/>
                <w:color w:val="auto"/>
                <w:kern w:val="21"/>
                <w:szCs w:val="24"/>
                <w:lang w:eastAsia="zh-CN"/>
              </w:rPr>
            </w:pPr>
            <w:r>
              <w:rPr>
                <w:rFonts w:hAnsi="Times New Roman" w:cs="Times New Roman"/>
                <w:b/>
                <w:bCs/>
                <w:color w:val="auto"/>
                <w:kern w:val="21"/>
                <w:szCs w:val="24"/>
              </w:rPr>
              <w:t>表</w:t>
            </w:r>
            <w:r>
              <w:rPr>
                <w:rFonts w:hint="eastAsia" w:hAnsi="Times New Roman" w:cs="Times New Roman"/>
                <w:b/>
                <w:bCs/>
                <w:color w:val="auto"/>
                <w:kern w:val="21"/>
                <w:szCs w:val="24"/>
                <w:lang w:val="en-US" w:eastAsia="zh-CN"/>
              </w:rPr>
              <w:t>4-4</w:t>
            </w:r>
            <w:r>
              <w:rPr>
                <w:rFonts w:hAnsi="Times New Roman" w:cs="Times New Roman"/>
                <w:b/>
                <w:bCs/>
                <w:color w:val="auto"/>
                <w:kern w:val="21"/>
                <w:szCs w:val="24"/>
              </w:rPr>
              <w:t xml:space="preserve"> </w:t>
            </w:r>
            <w:r>
              <w:rPr>
                <w:rFonts w:hint="eastAsia" w:hAnsi="Times New Roman" w:cs="Times New Roman"/>
                <w:b/>
                <w:bCs/>
                <w:color w:val="auto"/>
                <w:kern w:val="21"/>
                <w:szCs w:val="24"/>
              </w:rPr>
              <w:t xml:space="preserve"> </w:t>
            </w:r>
            <w:r>
              <w:rPr>
                <w:rFonts w:hint="eastAsia" w:hAnsi="Times New Roman" w:cs="Times New Roman"/>
                <w:b/>
                <w:bCs/>
                <w:color w:val="auto"/>
                <w:kern w:val="21"/>
                <w:szCs w:val="24"/>
                <w:lang w:val="en-US" w:eastAsia="zh-CN"/>
              </w:rPr>
              <w:t>DA001~DA003排气筒废气产排情况</w:t>
            </w:r>
          </w:p>
          <w:tbl>
            <w:tblPr>
              <w:tblStyle w:val="25"/>
              <w:tblW w:w="821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9"/>
              <w:gridCol w:w="670"/>
              <w:gridCol w:w="436"/>
              <w:gridCol w:w="765"/>
              <w:gridCol w:w="824"/>
              <w:gridCol w:w="785"/>
              <w:gridCol w:w="716"/>
              <w:gridCol w:w="830"/>
              <w:gridCol w:w="861"/>
              <w:gridCol w:w="861"/>
              <w:gridCol w:w="800"/>
            </w:tblGrid>
            <w:tr w14:paraId="4B1D26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dxa"/>
                  <w:vMerge w:val="restart"/>
                  <w:noWrap w:val="0"/>
                  <w:vAlign w:val="center"/>
                </w:tcPr>
                <w:p w14:paraId="10605177">
                  <w:pPr>
                    <w:adjustRightInd w:val="0"/>
                    <w:snapToGrid w:val="0"/>
                    <w:jc w:val="center"/>
                    <w:rPr>
                      <w:rFonts w:hint="eastAsia" w:ascii="Times New Roman" w:hAnsi="Times New Roman" w:eastAsia="宋体" w:cs="Times New Roman"/>
                      <w:b/>
                      <w:bCs/>
                      <w:color w:val="auto"/>
                      <w:szCs w:val="21"/>
                      <w:lang w:val="en-US" w:eastAsia="zh-CN"/>
                    </w:rPr>
                  </w:pPr>
                  <w:r>
                    <w:rPr>
                      <w:rFonts w:hint="eastAsia" w:ascii="Times New Roman" w:hAnsi="Times New Roman" w:cs="Times New Roman"/>
                      <w:b/>
                      <w:bCs/>
                      <w:color w:val="auto"/>
                      <w:szCs w:val="21"/>
                      <w:lang w:val="en-US" w:eastAsia="zh-CN"/>
                    </w:rPr>
                    <w:t>排气筒</w:t>
                  </w:r>
                </w:p>
              </w:tc>
              <w:tc>
                <w:tcPr>
                  <w:tcW w:w="670" w:type="dxa"/>
                  <w:vMerge w:val="restart"/>
                  <w:noWrap w:val="0"/>
                  <w:vAlign w:val="center"/>
                </w:tcPr>
                <w:p w14:paraId="3448592B">
                  <w:pPr>
                    <w:adjustRightInd w:val="0"/>
                    <w:snapToGrid w:val="0"/>
                    <w:jc w:val="center"/>
                    <w:rPr>
                      <w:rFonts w:ascii="Times New Roman" w:hAnsi="Times New Roman" w:cs="Times New Roman"/>
                      <w:b/>
                      <w:bCs/>
                      <w:color w:val="auto"/>
                      <w:szCs w:val="21"/>
                    </w:rPr>
                  </w:pPr>
                  <w:r>
                    <w:rPr>
                      <w:rFonts w:ascii="Times New Roman" w:hAnsi="Times New Roman" w:cs="Times New Roman"/>
                      <w:b/>
                      <w:bCs/>
                      <w:color w:val="auto"/>
                      <w:szCs w:val="21"/>
                    </w:rPr>
                    <w:t>污染物</w:t>
                  </w:r>
                </w:p>
              </w:tc>
              <w:tc>
                <w:tcPr>
                  <w:tcW w:w="436" w:type="dxa"/>
                  <w:vMerge w:val="restart"/>
                  <w:noWrap w:val="0"/>
                  <w:vAlign w:val="center"/>
                </w:tcPr>
                <w:p w14:paraId="7A1774D2">
                  <w:pPr>
                    <w:adjustRightInd w:val="0"/>
                    <w:snapToGrid w:val="0"/>
                    <w:jc w:val="center"/>
                    <w:rPr>
                      <w:rFonts w:ascii="Times New Roman" w:hAnsi="Times New Roman" w:cs="Times New Roman"/>
                      <w:b/>
                      <w:bCs/>
                      <w:color w:val="auto"/>
                      <w:szCs w:val="21"/>
                    </w:rPr>
                  </w:pPr>
                  <w:r>
                    <w:rPr>
                      <w:rFonts w:ascii="Times New Roman" w:hAnsi="Times New Roman" w:cs="Times New Roman"/>
                      <w:b/>
                      <w:bCs/>
                      <w:color w:val="auto"/>
                      <w:szCs w:val="21"/>
                    </w:rPr>
                    <w:t>排放形式</w:t>
                  </w:r>
                </w:p>
              </w:tc>
              <w:tc>
                <w:tcPr>
                  <w:tcW w:w="1589" w:type="dxa"/>
                  <w:gridSpan w:val="2"/>
                  <w:noWrap w:val="0"/>
                  <w:vAlign w:val="center"/>
                </w:tcPr>
                <w:p w14:paraId="1BBD0DD1">
                  <w:pPr>
                    <w:adjustRightInd w:val="0"/>
                    <w:snapToGrid w:val="0"/>
                    <w:jc w:val="center"/>
                    <w:rPr>
                      <w:rFonts w:ascii="Times New Roman" w:hAnsi="Times New Roman" w:cs="Times New Roman"/>
                      <w:b/>
                      <w:bCs/>
                      <w:color w:val="auto"/>
                      <w:szCs w:val="21"/>
                    </w:rPr>
                  </w:pPr>
                  <w:r>
                    <w:rPr>
                      <w:rFonts w:ascii="Times New Roman" w:hAnsi="Times New Roman" w:cs="Times New Roman"/>
                      <w:b/>
                      <w:bCs/>
                      <w:color w:val="auto"/>
                      <w:szCs w:val="21"/>
                    </w:rPr>
                    <w:t>污染物产生情况</w:t>
                  </w:r>
                </w:p>
              </w:tc>
              <w:tc>
                <w:tcPr>
                  <w:tcW w:w="2331" w:type="dxa"/>
                  <w:gridSpan w:val="3"/>
                  <w:noWrap w:val="0"/>
                  <w:vAlign w:val="center"/>
                </w:tcPr>
                <w:p w14:paraId="475552E6">
                  <w:pPr>
                    <w:adjustRightInd w:val="0"/>
                    <w:snapToGrid w:val="0"/>
                    <w:jc w:val="center"/>
                    <w:rPr>
                      <w:rFonts w:ascii="Times New Roman" w:hAnsi="Times New Roman" w:cs="Times New Roman"/>
                      <w:b/>
                      <w:bCs/>
                      <w:color w:val="auto"/>
                      <w:szCs w:val="21"/>
                    </w:rPr>
                  </w:pPr>
                  <w:r>
                    <w:rPr>
                      <w:rFonts w:ascii="Times New Roman" w:hAnsi="Times New Roman" w:cs="Times New Roman"/>
                      <w:b/>
                      <w:bCs/>
                      <w:color w:val="auto"/>
                      <w:szCs w:val="21"/>
                    </w:rPr>
                    <w:t>污染物排放情况</w:t>
                  </w:r>
                </w:p>
              </w:tc>
              <w:tc>
                <w:tcPr>
                  <w:tcW w:w="861" w:type="dxa"/>
                  <w:vMerge w:val="restart"/>
                  <w:noWrap w:val="0"/>
                  <w:vAlign w:val="center"/>
                </w:tcPr>
                <w:p w14:paraId="2FB7CA09">
                  <w:pPr>
                    <w:adjustRightInd w:val="0"/>
                    <w:snapToGrid w:val="0"/>
                    <w:jc w:val="center"/>
                    <w:rPr>
                      <w:rFonts w:hint="default" w:ascii="Times New Roman" w:hAnsi="Times New Roman" w:eastAsia="宋体" w:cs="Times New Roman"/>
                      <w:b/>
                      <w:bCs/>
                      <w:color w:val="auto"/>
                      <w:szCs w:val="21"/>
                      <w:lang w:val="en-US" w:eastAsia="zh-CN"/>
                    </w:rPr>
                  </w:pPr>
                  <w:r>
                    <w:rPr>
                      <w:rFonts w:hint="eastAsia" w:cs="Times New Roman"/>
                      <w:b/>
                      <w:bCs/>
                      <w:color w:val="auto"/>
                      <w:szCs w:val="21"/>
                      <w:lang w:val="en-US" w:eastAsia="zh-CN"/>
                    </w:rPr>
                    <w:t>风机风量m</w:t>
                  </w:r>
                  <w:r>
                    <w:rPr>
                      <w:rFonts w:hint="eastAsia" w:cs="Times New Roman"/>
                      <w:b/>
                      <w:bCs/>
                      <w:color w:val="auto"/>
                      <w:szCs w:val="21"/>
                      <w:vertAlign w:val="superscript"/>
                      <w:lang w:val="en-US" w:eastAsia="zh-CN"/>
                    </w:rPr>
                    <w:t>3</w:t>
                  </w:r>
                  <w:r>
                    <w:rPr>
                      <w:rFonts w:hint="eastAsia" w:cs="Times New Roman"/>
                      <w:b/>
                      <w:bCs/>
                      <w:color w:val="auto"/>
                      <w:szCs w:val="21"/>
                      <w:lang w:val="en-US" w:eastAsia="zh-CN"/>
                    </w:rPr>
                    <w:t>/h</w:t>
                  </w:r>
                </w:p>
              </w:tc>
              <w:tc>
                <w:tcPr>
                  <w:tcW w:w="861" w:type="dxa"/>
                  <w:vMerge w:val="restart"/>
                  <w:noWrap w:val="0"/>
                  <w:vAlign w:val="center"/>
                </w:tcPr>
                <w:p w14:paraId="003D1D87">
                  <w:pPr>
                    <w:adjustRightInd w:val="0"/>
                    <w:snapToGrid w:val="0"/>
                    <w:jc w:val="center"/>
                    <w:rPr>
                      <w:rFonts w:ascii="Times New Roman" w:hAnsi="Times New Roman" w:cs="Times New Roman"/>
                      <w:b/>
                      <w:bCs/>
                      <w:color w:val="auto"/>
                      <w:szCs w:val="21"/>
                    </w:rPr>
                  </w:pPr>
                  <w:r>
                    <w:rPr>
                      <w:rFonts w:ascii="Times New Roman" w:hAnsi="Times New Roman" w:cs="Times New Roman"/>
                      <w:b/>
                      <w:bCs/>
                      <w:color w:val="auto"/>
                      <w:szCs w:val="21"/>
                    </w:rPr>
                    <w:t>排放</w:t>
                  </w:r>
                  <w:r>
                    <w:rPr>
                      <w:rFonts w:hint="eastAsia" w:ascii="Times New Roman" w:hAnsi="Times New Roman" w:cs="Times New Roman"/>
                      <w:b/>
                      <w:bCs/>
                      <w:color w:val="auto"/>
                      <w:szCs w:val="21"/>
                      <w:lang w:val="en-US" w:eastAsia="zh-CN"/>
                    </w:rPr>
                    <w:t>浓度</w:t>
                  </w:r>
                  <w:r>
                    <w:rPr>
                      <w:rFonts w:ascii="Times New Roman" w:hAnsi="Times New Roman" w:cs="Times New Roman"/>
                      <w:b/>
                      <w:bCs/>
                      <w:color w:val="auto"/>
                      <w:szCs w:val="21"/>
                    </w:rPr>
                    <w:t>限值mg/m</w:t>
                  </w:r>
                  <w:r>
                    <w:rPr>
                      <w:rFonts w:ascii="Times New Roman" w:hAnsi="Times New Roman" w:cs="Times New Roman"/>
                      <w:b/>
                      <w:bCs/>
                      <w:color w:val="auto"/>
                      <w:szCs w:val="21"/>
                      <w:vertAlign w:val="superscript"/>
                    </w:rPr>
                    <w:t>3</w:t>
                  </w:r>
                </w:p>
              </w:tc>
              <w:tc>
                <w:tcPr>
                  <w:tcW w:w="800" w:type="dxa"/>
                  <w:vMerge w:val="restart"/>
                  <w:noWrap w:val="0"/>
                  <w:vAlign w:val="center"/>
                </w:tcPr>
                <w:p w14:paraId="3521BC45">
                  <w:pPr>
                    <w:adjustRightInd w:val="0"/>
                    <w:snapToGrid w:val="0"/>
                    <w:jc w:val="center"/>
                    <w:rPr>
                      <w:rFonts w:hint="default" w:ascii="Times New Roman" w:hAnsi="Times New Roman" w:eastAsia="宋体" w:cs="Times New Roman"/>
                      <w:b/>
                      <w:bCs/>
                      <w:color w:val="auto"/>
                      <w:szCs w:val="21"/>
                      <w:lang w:val="en-US" w:eastAsia="zh-CN"/>
                    </w:rPr>
                  </w:pPr>
                  <w:r>
                    <w:rPr>
                      <w:rFonts w:hint="eastAsia" w:ascii="Times New Roman" w:hAnsi="Times New Roman" w:cs="Times New Roman"/>
                      <w:b/>
                      <w:bCs/>
                      <w:color w:val="auto"/>
                      <w:szCs w:val="21"/>
                      <w:lang w:val="en-US" w:eastAsia="zh-CN"/>
                    </w:rPr>
                    <w:t>排放速率限值kg/h</w:t>
                  </w:r>
                </w:p>
              </w:tc>
            </w:tr>
            <w:tr w14:paraId="5A7A2F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669" w:type="dxa"/>
                  <w:vMerge w:val="continue"/>
                  <w:noWrap w:val="0"/>
                  <w:vAlign w:val="center"/>
                </w:tcPr>
                <w:p w14:paraId="3263CE78">
                  <w:pPr>
                    <w:adjustRightInd w:val="0"/>
                    <w:snapToGrid w:val="0"/>
                    <w:jc w:val="center"/>
                    <w:rPr>
                      <w:rFonts w:ascii="Times New Roman" w:hAnsi="Times New Roman" w:cs="Times New Roman"/>
                      <w:b/>
                      <w:bCs/>
                      <w:color w:val="auto"/>
                      <w:szCs w:val="21"/>
                    </w:rPr>
                  </w:pPr>
                </w:p>
              </w:tc>
              <w:tc>
                <w:tcPr>
                  <w:tcW w:w="670" w:type="dxa"/>
                  <w:vMerge w:val="continue"/>
                  <w:noWrap w:val="0"/>
                  <w:vAlign w:val="center"/>
                </w:tcPr>
                <w:p w14:paraId="68DD1406">
                  <w:pPr>
                    <w:adjustRightInd w:val="0"/>
                    <w:snapToGrid w:val="0"/>
                    <w:jc w:val="center"/>
                    <w:rPr>
                      <w:rFonts w:ascii="Times New Roman" w:hAnsi="Times New Roman" w:cs="Times New Roman"/>
                      <w:b/>
                      <w:bCs/>
                      <w:color w:val="auto"/>
                      <w:szCs w:val="21"/>
                    </w:rPr>
                  </w:pPr>
                </w:p>
              </w:tc>
              <w:tc>
                <w:tcPr>
                  <w:tcW w:w="436" w:type="dxa"/>
                  <w:vMerge w:val="continue"/>
                  <w:noWrap w:val="0"/>
                  <w:vAlign w:val="center"/>
                </w:tcPr>
                <w:p w14:paraId="16DCE760">
                  <w:pPr>
                    <w:adjustRightInd w:val="0"/>
                    <w:snapToGrid w:val="0"/>
                    <w:jc w:val="center"/>
                    <w:rPr>
                      <w:rFonts w:ascii="Times New Roman" w:hAnsi="Times New Roman" w:cs="Times New Roman"/>
                      <w:b/>
                      <w:bCs/>
                      <w:color w:val="auto"/>
                      <w:szCs w:val="21"/>
                    </w:rPr>
                  </w:pPr>
                </w:p>
              </w:tc>
              <w:tc>
                <w:tcPr>
                  <w:tcW w:w="765" w:type="dxa"/>
                  <w:noWrap w:val="0"/>
                  <w:vAlign w:val="center"/>
                </w:tcPr>
                <w:p w14:paraId="351C2B63">
                  <w:pPr>
                    <w:adjustRightInd w:val="0"/>
                    <w:snapToGrid w:val="0"/>
                    <w:jc w:val="center"/>
                    <w:rPr>
                      <w:rFonts w:ascii="Times New Roman" w:hAnsi="Times New Roman" w:cs="Times New Roman"/>
                      <w:b/>
                      <w:bCs/>
                      <w:color w:val="auto"/>
                      <w:szCs w:val="21"/>
                    </w:rPr>
                  </w:pPr>
                  <w:r>
                    <w:rPr>
                      <w:rFonts w:ascii="Times New Roman" w:hAnsi="Times New Roman" w:cs="Times New Roman"/>
                      <w:b/>
                      <w:bCs/>
                      <w:color w:val="auto"/>
                      <w:szCs w:val="21"/>
                    </w:rPr>
                    <w:t>产生量t/a</w:t>
                  </w:r>
                </w:p>
              </w:tc>
              <w:tc>
                <w:tcPr>
                  <w:tcW w:w="824" w:type="dxa"/>
                  <w:noWrap w:val="0"/>
                  <w:vAlign w:val="center"/>
                </w:tcPr>
                <w:p w14:paraId="262FF19B">
                  <w:pPr>
                    <w:adjustRightInd w:val="0"/>
                    <w:snapToGrid w:val="0"/>
                    <w:jc w:val="center"/>
                    <w:rPr>
                      <w:rFonts w:ascii="Times New Roman" w:hAnsi="Times New Roman" w:cs="Times New Roman"/>
                      <w:b/>
                      <w:bCs/>
                      <w:color w:val="auto"/>
                      <w:szCs w:val="21"/>
                    </w:rPr>
                  </w:pPr>
                  <w:r>
                    <w:rPr>
                      <w:rFonts w:ascii="Times New Roman" w:hAnsi="Times New Roman" w:cs="Times New Roman"/>
                      <w:b/>
                      <w:bCs/>
                      <w:color w:val="auto"/>
                      <w:szCs w:val="21"/>
                    </w:rPr>
                    <w:t>产生速率kg/h</w:t>
                  </w:r>
                </w:p>
              </w:tc>
              <w:tc>
                <w:tcPr>
                  <w:tcW w:w="785" w:type="dxa"/>
                  <w:noWrap w:val="0"/>
                  <w:vAlign w:val="center"/>
                </w:tcPr>
                <w:p w14:paraId="6C475B29">
                  <w:pPr>
                    <w:adjustRightInd w:val="0"/>
                    <w:snapToGrid w:val="0"/>
                    <w:jc w:val="center"/>
                    <w:rPr>
                      <w:rFonts w:ascii="Times New Roman" w:hAnsi="Times New Roman" w:cs="Times New Roman"/>
                      <w:b/>
                      <w:bCs/>
                      <w:color w:val="auto"/>
                      <w:szCs w:val="21"/>
                    </w:rPr>
                  </w:pPr>
                  <w:r>
                    <w:rPr>
                      <w:rFonts w:ascii="Times New Roman" w:hAnsi="Times New Roman" w:cs="Times New Roman"/>
                      <w:b/>
                      <w:bCs/>
                      <w:color w:val="auto"/>
                      <w:szCs w:val="21"/>
                    </w:rPr>
                    <w:t>排放量t/a</w:t>
                  </w:r>
                </w:p>
              </w:tc>
              <w:tc>
                <w:tcPr>
                  <w:tcW w:w="716" w:type="dxa"/>
                  <w:noWrap w:val="0"/>
                  <w:vAlign w:val="center"/>
                </w:tcPr>
                <w:p w14:paraId="310E6FF7">
                  <w:pPr>
                    <w:adjustRightInd w:val="0"/>
                    <w:snapToGrid w:val="0"/>
                    <w:jc w:val="center"/>
                    <w:rPr>
                      <w:rFonts w:ascii="Times New Roman" w:hAnsi="Times New Roman" w:cs="Times New Roman"/>
                      <w:b/>
                      <w:bCs/>
                      <w:color w:val="auto"/>
                      <w:szCs w:val="21"/>
                    </w:rPr>
                  </w:pPr>
                  <w:r>
                    <w:rPr>
                      <w:rFonts w:ascii="Times New Roman" w:hAnsi="Times New Roman" w:cs="Times New Roman"/>
                      <w:b/>
                      <w:bCs/>
                      <w:color w:val="auto"/>
                      <w:szCs w:val="21"/>
                    </w:rPr>
                    <w:t>排放速率kg/h</w:t>
                  </w:r>
                </w:p>
              </w:tc>
              <w:tc>
                <w:tcPr>
                  <w:tcW w:w="830" w:type="dxa"/>
                  <w:noWrap w:val="0"/>
                  <w:vAlign w:val="center"/>
                </w:tcPr>
                <w:p w14:paraId="3905A8F9">
                  <w:pPr>
                    <w:adjustRightInd w:val="0"/>
                    <w:snapToGrid w:val="0"/>
                    <w:jc w:val="center"/>
                    <w:rPr>
                      <w:rFonts w:ascii="Times New Roman" w:hAnsi="Times New Roman" w:cs="Times New Roman"/>
                      <w:b/>
                      <w:bCs/>
                      <w:color w:val="auto"/>
                      <w:szCs w:val="21"/>
                    </w:rPr>
                  </w:pPr>
                  <w:r>
                    <w:rPr>
                      <w:rFonts w:ascii="Times New Roman" w:hAnsi="Times New Roman" w:cs="Times New Roman"/>
                      <w:b/>
                      <w:bCs/>
                      <w:color w:val="auto"/>
                      <w:szCs w:val="21"/>
                    </w:rPr>
                    <w:t>排放浓度mg/m</w:t>
                  </w:r>
                  <w:r>
                    <w:rPr>
                      <w:rFonts w:ascii="Times New Roman" w:hAnsi="Times New Roman" w:cs="Times New Roman"/>
                      <w:b/>
                      <w:bCs/>
                      <w:color w:val="auto"/>
                      <w:szCs w:val="21"/>
                      <w:vertAlign w:val="superscript"/>
                    </w:rPr>
                    <w:t>3</w:t>
                  </w:r>
                </w:p>
              </w:tc>
              <w:tc>
                <w:tcPr>
                  <w:tcW w:w="861" w:type="dxa"/>
                  <w:vMerge w:val="continue"/>
                  <w:noWrap w:val="0"/>
                  <w:vAlign w:val="center"/>
                </w:tcPr>
                <w:p w14:paraId="2E17112B">
                  <w:pPr>
                    <w:adjustRightInd w:val="0"/>
                    <w:snapToGrid w:val="0"/>
                    <w:jc w:val="center"/>
                    <w:rPr>
                      <w:rFonts w:ascii="Times New Roman" w:hAnsi="Times New Roman" w:cs="Times New Roman"/>
                      <w:b/>
                      <w:bCs/>
                      <w:color w:val="auto"/>
                      <w:szCs w:val="21"/>
                    </w:rPr>
                  </w:pPr>
                </w:p>
              </w:tc>
              <w:tc>
                <w:tcPr>
                  <w:tcW w:w="861" w:type="dxa"/>
                  <w:vMerge w:val="continue"/>
                  <w:noWrap w:val="0"/>
                  <w:vAlign w:val="center"/>
                </w:tcPr>
                <w:p w14:paraId="3715494A">
                  <w:pPr>
                    <w:adjustRightInd w:val="0"/>
                    <w:snapToGrid w:val="0"/>
                    <w:jc w:val="center"/>
                    <w:rPr>
                      <w:rFonts w:ascii="Times New Roman" w:hAnsi="Times New Roman" w:cs="Times New Roman"/>
                      <w:b/>
                      <w:bCs/>
                      <w:color w:val="auto"/>
                      <w:szCs w:val="21"/>
                    </w:rPr>
                  </w:pPr>
                </w:p>
              </w:tc>
              <w:tc>
                <w:tcPr>
                  <w:tcW w:w="800" w:type="dxa"/>
                  <w:vMerge w:val="continue"/>
                  <w:noWrap w:val="0"/>
                  <w:vAlign w:val="center"/>
                </w:tcPr>
                <w:p w14:paraId="2AF42DD0">
                  <w:pPr>
                    <w:adjustRightInd w:val="0"/>
                    <w:snapToGrid w:val="0"/>
                    <w:jc w:val="center"/>
                    <w:rPr>
                      <w:rFonts w:ascii="Times New Roman" w:hAnsi="Times New Roman" w:cs="Times New Roman"/>
                      <w:b/>
                      <w:bCs/>
                      <w:color w:val="auto"/>
                      <w:szCs w:val="21"/>
                    </w:rPr>
                  </w:pPr>
                </w:p>
              </w:tc>
            </w:tr>
            <w:tr w14:paraId="1C655B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dxa"/>
                  <w:vMerge w:val="restart"/>
                  <w:noWrap w:val="0"/>
                  <w:vAlign w:val="center"/>
                </w:tcPr>
                <w:p w14:paraId="4CCF3B76">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DA001</w:t>
                  </w:r>
                </w:p>
              </w:tc>
              <w:tc>
                <w:tcPr>
                  <w:tcW w:w="670" w:type="dxa"/>
                  <w:noWrap w:val="0"/>
                  <w:vAlign w:val="center"/>
                </w:tcPr>
                <w:p w14:paraId="734F8BB4">
                  <w:pPr>
                    <w:adjustRightInd w:val="0"/>
                    <w:snapToGrid w:val="0"/>
                    <w:jc w:val="center"/>
                    <w:rPr>
                      <w:rFonts w:ascii="Times New Roman" w:hAnsi="Times New Roman" w:cs="Times New Roman"/>
                      <w:color w:val="auto"/>
                      <w:szCs w:val="21"/>
                    </w:rPr>
                  </w:pPr>
                  <w:r>
                    <w:rPr>
                      <w:rFonts w:ascii="Times New Roman" w:hAnsi="Times New Roman" w:cs="Times New Roman"/>
                      <w:color w:val="auto"/>
                      <w:szCs w:val="21"/>
                    </w:rPr>
                    <w:t>漆雾</w:t>
                  </w:r>
                </w:p>
              </w:tc>
              <w:tc>
                <w:tcPr>
                  <w:tcW w:w="436" w:type="dxa"/>
                  <w:vMerge w:val="restart"/>
                  <w:noWrap w:val="0"/>
                  <w:vAlign w:val="center"/>
                </w:tcPr>
                <w:p w14:paraId="75F8737F">
                  <w:pPr>
                    <w:adjustRightInd w:val="0"/>
                    <w:snapToGrid w:val="0"/>
                    <w:jc w:val="center"/>
                    <w:rPr>
                      <w:rFonts w:ascii="Times New Roman" w:hAnsi="Times New Roman" w:cs="Times New Roman"/>
                      <w:color w:val="auto"/>
                      <w:szCs w:val="21"/>
                    </w:rPr>
                  </w:pPr>
                  <w:r>
                    <w:rPr>
                      <w:rFonts w:ascii="Times New Roman" w:hAnsi="Times New Roman" w:cs="Times New Roman"/>
                      <w:color w:val="auto"/>
                      <w:szCs w:val="21"/>
                    </w:rPr>
                    <w:t>有组织</w:t>
                  </w:r>
                </w:p>
              </w:tc>
              <w:tc>
                <w:tcPr>
                  <w:tcW w:w="765" w:type="dxa"/>
                  <w:noWrap w:val="0"/>
                  <w:vAlign w:val="center"/>
                </w:tcPr>
                <w:p w14:paraId="454AF7DE">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w:t>
                  </w:r>
                  <w:r>
                    <w:rPr>
                      <w:rFonts w:hint="eastAsia" w:cs="Times New Roman"/>
                      <w:color w:val="auto"/>
                      <w:szCs w:val="21"/>
                      <w:lang w:val="en-US" w:eastAsia="zh-CN"/>
                    </w:rPr>
                    <w:t>67</w:t>
                  </w:r>
                </w:p>
              </w:tc>
              <w:tc>
                <w:tcPr>
                  <w:tcW w:w="824" w:type="dxa"/>
                  <w:noWrap w:val="0"/>
                  <w:vAlign w:val="center"/>
                </w:tcPr>
                <w:p w14:paraId="64DA7B59">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0.19</w:t>
                  </w:r>
                </w:p>
              </w:tc>
              <w:tc>
                <w:tcPr>
                  <w:tcW w:w="785" w:type="dxa"/>
                  <w:noWrap w:val="0"/>
                  <w:vAlign w:val="center"/>
                </w:tcPr>
                <w:p w14:paraId="2A806044">
                  <w:pPr>
                    <w:adjustRightInd w:val="0"/>
                    <w:snapToGrid w:val="0"/>
                    <w:jc w:val="center"/>
                    <w:rPr>
                      <w:rFonts w:hint="default" w:ascii="Times New Roman" w:hAnsi="Times New Roman" w:eastAsia="宋体" w:cs="Times New Roman"/>
                      <w:color w:val="auto"/>
                      <w:szCs w:val="21"/>
                      <w:lang w:val="en-US" w:eastAsia="zh-CN"/>
                    </w:rPr>
                  </w:pPr>
                  <w:r>
                    <w:rPr>
                      <w:rFonts w:ascii="Times New Roman" w:hAnsi="Times New Roman" w:cs="Times New Roman"/>
                      <w:color w:val="auto"/>
                      <w:szCs w:val="21"/>
                    </w:rPr>
                    <w:t>0.0</w:t>
                  </w:r>
                  <w:r>
                    <w:rPr>
                      <w:rFonts w:hint="eastAsia" w:cs="Times New Roman"/>
                      <w:color w:val="auto"/>
                      <w:szCs w:val="21"/>
                      <w:lang w:val="en-US" w:eastAsia="zh-CN"/>
                    </w:rPr>
                    <w:t>25</w:t>
                  </w:r>
                </w:p>
              </w:tc>
              <w:tc>
                <w:tcPr>
                  <w:tcW w:w="716" w:type="dxa"/>
                  <w:noWrap w:val="0"/>
                  <w:vAlign w:val="center"/>
                </w:tcPr>
                <w:p w14:paraId="56757FDF">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0.03</w:t>
                  </w:r>
                </w:p>
              </w:tc>
              <w:tc>
                <w:tcPr>
                  <w:tcW w:w="830" w:type="dxa"/>
                  <w:noWrap w:val="0"/>
                  <w:vAlign w:val="center"/>
                </w:tcPr>
                <w:p w14:paraId="109AFEF5">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861" w:type="dxa"/>
                  <w:vMerge w:val="restart"/>
                  <w:noWrap w:val="0"/>
                  <w:vAlign w:val="center"/>
                </w:tcPr>
                <w:p w14:paraId="07130C69">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30000</w:t>
                  </w:r>
                </w:p>
              </w:tc>
              <w:tc>
                <w:tcPr>
                  <w:tcW w:w="861" w:type="dxa"/>
                  <w:noWrap w:val="0"/>
                  <w:vAlign w:val="center"/>
                </w:tcPr>
                <w:p w14:paraId="7BA7ED87">
                  <w:pPr>
                    <w:adjustRightInd w:val="0"/>
                    <w:snapToGrid w:val="0"/>
                    <w:jc w:val="center"/>
                    <w:rPr>
                      <w:rFonts w:ascii="Times New Roman" w:hAnsi="Times New Roman" w:cs="Times New Roman"/>
                      <w:color w:val="auto"/>
                      <w:szCs w:val="21"/>
                    </w:rPr>
                  </w:pPr>
                  <w:r>
                    <w:rPr>
                      <w:rFonts w:ascii="Times New Roman" w:hAnsi="Times New Roman" w:cs="Times New Roman"/>
                      <w:color w:val="auto"/>
                      <w:szCs w:val="21"/>
                    </w:rPr>
                    <w:t>120</w:t>
                  </w:r>
                </w:p>
              </w:tc>
              <w:tc>
                <w:tcPr>
                  <w:tcW w:w="800" w:type="dxa"/>
                  <w:noWrap w:val="0"/>
                  <w:vAlign w:val="center"/>
                </w:tcPr>
                <w:p w14:paraId="78392E31">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3.98</w:t>
                  </w:r>
                </w:p>
              </w:tc>
            </w:tr>
            <w:tr w14:paraId="5070CF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669" w:type="dxa"/>
                  <w:vMerge w:val="continue"/>
                  <w:noWrap w:val="0"/>
                  <w:vAlign w:val="center"/>
                </w:tcPr>
                <w:p w14:paraId="516ABD59">
                  <w:pPr>
                    <w:adjustRightInd w:val="0"/>
                    <w:snapToGrid w:val="0"/>
                    <w:jc w:val="center"/>
                    <w:rPr>
                      <w:rFonts w:ascii="Times New Roman" w:hAnsi="Times New Roman" w:cs="Times New Roman"/>
                      <w:color w:val="auto"/>
                      <w:szCs w:val="21"/>
                    </w:rPr>
                  </w:pPr>
                </w:p>
              </w:tc>
              <w:tc>
                <w:tcPr>
                  <w:tcW w:w="670" w:type="dxa"/>
                  <w:noWrap w:val="0"/>
                  <w:vAlign w:val="center"/>
                </w:tcPr>
                <w:p w14:paraId="7FBF32E7">
                  <w:pPr>
                    <w:adjustRightInd w:val="0"/>
                    <w:snapToGrid w:val="0"/>
                    <w:jc w:val="center"/>
                    <w:rPr>
                      <w:rFonts w:ascii="Times New Roman" w:hAnsi="Times New Roman" w:cs="Times New Roman"/>
                      <w:color w:val="auto"/>
                      <w:szCs w:val="21"/>
                    </w:rPr>
                  </w:pPr>
                  <w:r>
                    <w:rPr>
                      <w:rFonts w:ascii="Times New Roman" w:hAnsi="Times New Roman" w:cs="Times New Roman"/>
                      <w:color w:val="auto"/>
                      <w:szCs w:val="21"/>
                    </w:rPr>
                    <w:t>非甲烷总烃</w:t>
                  </w:r>
                </w:p>
              </w:tc>
              <w:tc>
                <w:tcPr>
                  <w:tcW w:w="436" w:type="dxa"/>
                  <w:vMerge w:val="continue"/>
                  <w:noWrap w:val="0"/>
                  <w:vAlign w:val="center"/>
                </w:tcPr>
                <w:p w14:paraId="718EC260">
                  <w:pPr>
                    <w:adjustRightInd w:val="0"/>
                    <w:snapToGrid w:val="0"/>
                    <w:jc w:val="center"/>
                    <w:rPr>
                      <w:rFonts w:ascii="Times New Roman" w:hAnsi="Times New Roman" w:cs="Times New Roman"/>
                      <w:color w:val="auto"/>
                      <w:szCs w:val="21"/>
                    </w:rPr>
                  </w:pPr>
                </w:p>
              </w:tc>
              <w:tc>
                <w:tcPr>
                  <w:tcW w:w="765" w:type="dxa"/>
                  <w:noWrap w:val="0"/>
                  <w:vAlign w:val="center"/>
                </w:tcPr>
                <w:p w14:paraId="210D0205">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0.3</w:t>
                  </w:r>
                  <w:r>
                    <w:rPr>
                      <w:rFonts w:hint="eastAsia" w:cs="Times New Roman"/>
                      <w:color w:val="auto"/>
                      <w:szCs w:val="21"/>
                      <w:lang w:val="en-US" w:eastAsia="zh-CN"/>
                    </w:rPr>
                    <w:t>91</w:t>
                  </w:r>
                </w:p>
              </w:tc>
              <w:tc>
                <w:tcPr>
                  <w:tcW w:w="824" w:type="dxa"/>
                  <w:noWrap w:val="0"/>
                  <w:vAlign w:val="center"/>
                </w:tcPr>
                <w:p w14:paraId="1664F13C">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0.45</w:t>
                  </w:r>
                </w:p>
              </w:tc>
              <w:tc>
                <w:tcPr>
                  <w:tcW w:w="785" w:type="dxa"/>
                  <w:noWrap w:val="0"/>
                  <w:vAlign w:val="center"/>
                </w:tcPr>
                <w:p w14:paraId="4CAAA033">
                  <w:pPr>
                    <w:adjustRightInd w:val="0"/>
                    <w:snapToGrid w:val="0"/>
                    <w:jc w:val="center"/>
                    <w:rPr>
                      <w:rFonts w:hint="default" w:ascii="Times New Roman" w:hAnsi="Times New Roman" w:eastAsia="宋体" w:cs="Times New Roman"/>
                      <w:color w:val="auto"/>
                      <w:szCs w:val="21"/>
                      <w:lang w:val="en-US" w:eastAsia="zh-CN"/>
                    </w:rPr>
                  </w:pPr>
                  <w:r>
                    <w:rPr>
                      <w:rFonts w:ascii="Times New Roman" w:hAnsi="Times New Roman" w:cs="Times New Roman"/>
                      <w:color w:val="auto"/>
                      <w:szCs w:val="21"/>
                    </w:rPr>
                    <w:t>0.</w:t>
                  </w:r>
                  <w:r>
                    <w:rPr>
                      <w:rFonts w:hint="eastAsia" w:cs="Times New Roman"/>
                      <w:color w:val="auto"/>
                      <w:szCs w:val="21"/>
                      <w:lang w:val="en-US" w:eastAsia="zh-CN"/>
                    </w:rPr>
                    <w:t>25</w:t>
                  </w:r>
                </w:p>
              </w:tc>
              <w:tc>
                <w:tcPr>
                  <w:tcW w:w="716" w:type="dxa"/>
                  <w:noWrap w:val="0"/>
                  <w:vAlign w:val="center"/>
                </w:tcPr>
                <w:p w14:paraId="1D46F115">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29</w:t>
                  </w:r>
                </w:p>
              </w:tc>
              <w:tc>
                <w:tcPr>
                  <w:tcW w:w="830" w:type="dxa"/>
                  <w:noWrap w:val="0"/>
                  <w:vAlign w:val="center"/>
                </w:tcPr>
                <w:p w14:paraId="16A671C4">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9.7</w:t>
                  </w:r>
                </w:p>
              </w:tc>
              <w:tc>
                <w:tcPr>
                  <w:tcW w:w="861" w:type="dxa"/>
                  <w:vMerge w:val="continue"/>
                  <w:noWrap w:val="0"/>
                  <w:vAlign w:val="center"/>
                </w:tcPr>
                <w:p w14:paraId="331F1096">
                  <w:pPr>
                    <w:adjustRightInd w:val="0"/>
                    <w:snapToGrid w:val="0"/>
                    <w:jc w:val="center"/>
                    <w:rPr>
                      <w:rFonts w:hint="eastAsia" w:ascii="Times New Roman" w:hAnsi="Times New Roman" w:eastAsia="宋体" w:cs="Times New Roman"/>
                      <w:color w:val="auto"/>
                      <w:szCs w:val="21"/>
                      <w:lang w:val="en-US" w:eastAsia="zh-CN"/>
                    </w:rPr>
                  </w:pPr>
                </w:p>
              </w:tc>
              <w:tc>
                <w:tcPr>
                  <w:tcW w:w="861" w:type="dxa"/>
                  <w:noWrap w:val="0"/>
                  <w:vAlign w:val="center"/>
                </w:tcPr>
                <w:p w14:paraId="3E8CC076">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50</w:t>
                  </w:r>
                </w:p>
              </w:tc>
              <w:tc>
                <w:tcPr>
                  <w:tcW w:w="800" w:type="dxa"/>
                  <w:noWrap w:val="0"/>
                  <w:vAlign w:val="center"/>
                </w:tcPr>
                <w:p w14:paraId="062E39A2">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w:t>
                  </w:r>
                </w:p>
              </w:tc>
            </w:tr>
            <w:tr w14:paraId="5D3338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dxa"/>
                  <w:vMerge w:val="continue"/>
                  <w:noWrap w:val="0"/>
                  <w:vAlign w:val="center"/>
                </w:tcPr>
                <w:p w14:paraId="5BD804B5">
                  <w:pPr>
                    <w:adjustRightInd w:val="0"/>
                    <w:snapToGrid w:val="0"/>
                    <w:jc w:val="center"/>
                    <w:rPr>
                      <w:rFonts w:ascii="Times New Roman" w:hAnsi="Times New Roman" w:cs="Times New Roman"/>
                      <w:color w:val="auto"/>
                      <w:szCs w:val="21"/>
                    </w:rPr>
                  </w:pPr>
                </w:p>
              </w:tc>
              <w:tc>
                <w:tcPr>
                  <w:tcW w:w="670" w:type="dxa"/>
                  <w:noWrap w:val="0"/>
                  <w:vAlign w:val="center"/>
                </w:tcPr>
                <w:p w14:paraId="3A75C7AF">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甲苯</w:t>
                  </w:r>
                </w:p>
              </w:tc>
              <w:tc>
                <w:tcPr>
                  <w:tcW w:w="436" w:type="dxa"/>
                  <w:vMerge w:val="continue"/>
                  <w:noWrap w:val="0"/>
                  <w:vAlign w:val="center"/>
                </w:tcPr>
                <w:p w14:paraId="7B6AFD4E">
                  <w:pPr>
                    <w:adjustRightInd w:val="0"/>
                    <w:snapToGrid w:val="0"/>
                    <w:jc w:val="center"/>
                    <w:rPr>
                      <w:rFonts w:ascii="Times New Roman" w:hAnsi="Times New Roman" w:cs="Times New Roman"/>
                      <w:color w:val="auto"/>
                      <w:szCs w:val="21"/>
                    </w:rPr>
                  </w:pPr>
                </w:p>
              </w:tc>
              <w:tc>
                <w:tcPr>
                  <w:tcW w:w="765" w:type="dxa"/>
                  <w:noWrap w:val="0"/>
                  <w:vAlign w:val="center"/>
                </w:tcPr>
                <w:p w14:paraId="05FD55C5">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0.0</w:t>
                  </w:r>
                  <w:r>
                    <w:rPr>
                      <w:rFonts w:hint="eastAsia" w:cs="Times New Roman"/>
                      <w:color w:val="auto"/>
                      <w:szCs w:val="21"/>
                      <w:lang w:val="en-US" w:eastAsia="zh-CN"/>
                    </w:rPr>
                    <w:t>29</w:t>
                  </w:r>
                </w:p>
              </w:tc>
              <w:tc>
                <w:tcPr>
                  <w:tcW w:w="824" w:type="dxa"/>
                  <w:noWrap w:val="0"/>
                  <w:vAlign w:val="center"/>
                </w:tcPr>
                <w:p w14:paraId="4CCD59BA">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0.03</w:t>
                  </w:r>
                </w:p>
              </w:tc>
              <w:tc>
                <w:tcPr>
                  <w:tcW w:w="785" w:type="dxa"/>
                  <w:noWrap w:val="0"/>
                  <w:vAlign w:val="center"/>
                </w:tcPr>
                <w:p w14:paraId="2A03FC9C">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0.0</w:t>
                  </w:r>
                  <w:r>
                    <w:rPr>
                      <w:rFonts w:hint="eastAsia" w:cs="Times New Roman"/>
                      <w:color w:val="auto"/>
                      <w:szCs w:val="21"/>
                      <w:lang w:val="en-US" w:eastAsia="zh-CN"/>
                    </w:rPr>
                    <w:t>19</w:t>
                  </w:r>
                </w:p>
              </w:tc>
              <w:tc>
                <w:tcPr>
                  <w:tcW w:w="716" w:type="dxa"/>
                  <w:noWrap w:val="0"/>
                  <w:vAlign w:val="center"/>
                </w:tcPr>
                <w:p w14:paraId="05B58B68">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2</w:t>
                  </w:r>
                </w:p>
              </w:tc>
              <w:tc>
                <w:tcPr>
                  <w:tcW w:w="830" w:type="dxa"/>
                  <w:noWrap w:val="0"/>
                  <w:vAlign w:val="center"/>
                </w:tcPr>
                <w:p w14:paraId="071C9DC4">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7</w:t>
                  </w:r>
                </w:p>
              </w:tc>
              <w:tc>
                <w:tcPr>
                  <w:tcW w:w="861" w:type="dxa"/>
                  <w:vMerge w:val="continue"/>
                  <w:noWrap w:val="0"/>
                  <w:vAlign w:val="center"/>
                </w:tcPr>
                <w:p w14:paraId="4624A3C9">
                  <w:pPr>
                    <w:adjustRightInd w:val="0"/>
                    <w:snapToGrid w:val="0"/>
                    <w:jc w:val="center"/>
                    <w:rPr>
                      <w:rFonts w:hint="eastAsia" w:ascii="Times New Roman" w:hAnsi="Times New Roman" w:cs="Times New Roman"/>
                      <w:color w:val="auto"/>
                      <w:szCs w:val="21"/>
                      <w:lang w:val="en-US" w:eastAsia="zh-CN"/>
                    </w:rPr>
                  </w:pPr>
                </w:p>
              </w:tc>
              <w:tc>
                <w:tcPr>
                  <w:tcW w:w="861" w:type="dxa"/>
                  <w:noWrap w:val="0"/>
                  <w:vAlign w:val="center"/>
                </w:tcPr>
                <w:p w14:paraId="4DBB54E6">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5</w:t>
                  </w:r>
                </w:p>
              </w:tc>
              <w:tc>
                <w:tcPr>
                  <w:tcW w:w="800" w:type="dxa"/>
                  <w:noWrap w:val="0"/>
                  <w:vAlign w:val="center"/>
                </w:tcPr>
                <w:p w14:paraId="2E8FAFFB">
                  <w:pPr>
                    <w:adjustRightInd w:val="0"/>
                    <w:snapToGrid w:val="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r>
            <w:tr w14:paraId="62DC2B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69" w:type="dxa"/>
                  <w:vMerge w:val="continue"/>
                  <w:noWrap w:val="0"/>
                  <w:vAlign w:val="center"/>
                </w:tcPr>
                <w:p w14:paraId="39588E06">
                  <w:pPr>
                    <w:adjustRightInd w:val="0"/>
                    <w:snapToGrid w:val="0"/>
                    <w:jc w:val="center"/>
                    <w:rPr>
                      <w:rFonts w:ascii="Times New Roman" w:hAnsi="Times New Roman" w:cs="Times New Roman"/>
                      <w:color w:val="auto"/>
                      <w:szCs w:val="21"/>
                    </w:rPr>
                  </w:pPr>
                </w:p>
              </w:tc>
              <w:tc>
                <w:tcPr>
                  <w:tcW w:w="670" w:type="dxa"/>
                  <w:noWrap w:val="0"/>
                  <w:vAlign w:val="center"/>
                </w:tcPr>
                <w:p w14:paraId="28C2A0F8">
                  <w:pPr>
                    <w:adjustRightInd w:val="0"/>
                    <w:snapToGrid w:val="0"/>
                    <w:jc w:val="center"/>
                    <w:rPr>
                      <w:rFonts w:ascii="Times New Roman" w:hAnsi="Times New Roman" w:cs="Times New Roman"/>
                      <w:color w:val="auto"/>
                      <w:szCs w:val="21"/>
                    </w:rPr>
                  </w:pPr>
                  <w:r>
                    <w:rPr>
                      <w:rFonts w:ascii="Times New Roman" w:hAnsi="Times New Roman" w:cs="Times New Roman"/>
                      <w:color w:val="auto"/>
                      <w:szCs w:val="21"/>
                    </w:rPr>
                    <w:t>二甲苯</w:t>
                  </w:r>
                </w:p>
              </w:tc>
              <w:tc>
                <w:tcPr>
                  <w:tcW w:w="436" w:type="dxa"/>
                  <w:vMerge w:val="continue"/>
                  <w:noWrap w:val="0"/>
                  <w:vAlign w:val="center"/>
                </w:tcPr>
                <w:p w14:paraId="0070EFF7">
                  <w:pPr>
                    <w:adjustRightInd w:val="0"/>
                    <w:snapToGrid w:val="0"/>
                    <w:jc w:val="center"/>
                    <w:rPr>
                      <w:rFonts w:ascii="Times New Roman" w:hAnsi="Times New Roman" w:cs="Times New Roman"/>
                      <w:color w:val="auto"/>
                      <w:szCs w:val="21"/>
                    </w:rPr>
                  </w:pPr>
                </w:p>
              </w:tc>
              <w:tc>
                <w:tcPr>
                  <w:tcW w:w="765" w:type="dxa"/>
                  <w:noWrap w:val="0"/>
                  <w:vAlign w:val="center"/>
                </w:tcPr>
                <w:p w14:paraId="78760BA1">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1</w:t>
                  </w:r>
                </w:p>
              </w:tc>
              <w:tc>
                <w:tcPr>
                  <w:tcW w:w="824" w:type="dxa"/>
                  <w:noWrap w:val="0"/>
                  <w:vAlign w:val="center"/>
                </w:tcPr>
                <w:p w14:paraId="6C438816">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0.01</w:t>
                  </w:r>
                </w:p>
              </w:tc>
              <w:tc>
                <w:tcPr>
                  <w:tcW w:w="785" w:type="dxa"/>
                  <w:noWrap w:val="0"/>
                  <w:vAlign w:val="center"/>
                </w:tcPr>
                <w:p w14:paraId="350BE9A2">
                  <w:pPr>
                    <w:adjustRightInd w:val="0"/>
                    <w:snapToGrid w:val="0"/>
                    <w:jc w:val="center"/>
                    <w:rPr>
                      <w:rFonts w:hint="default" w:ascii="Times New Roman" w:hAnsi="Times New Roman" w:eastAsia="宋体" w:cs="Times New Roman"/>
                      <w:color w:val="auto"/>
                      <w:szCs w:val="21"/>
                      <w:lang w:val="en-US" w:eastAsia="zh-CN"/>
                    </w:rPr>
                  </w:pPr>
                  <w:r>
                    <w:rPr>
                      <w:rFonts w:ascii="Times New Roman" w:hAnsi="Times New Roman" w:cs="Times New Roman"/>
                      <w:color w:val="auto"/>
                      <w:szCs w:val="21"/>
                    </w:rPr>
                    <w:t>0.0</w:t>
                  </w:r>
                  <w:r>
                    <w:rPr>
                      <w:rFonts w:hint="eastAsia" w:ascii="Times New Roman" w:hAnsi="Times New Roman" w:cs="Times New Roman"/>
                      <w:color w:val="auto"/>
                      <w:szCs w:val="21"/>
                      <w:lang w:val="en-US" w:eastAsia="zh-CN"/>
                    </w:rPr>
                    <w:t>0</w:t>
                  </w:r>
                  <w:r>
                    <w:rPr>
                      <w:rFonts w:hint="eastAsia" w:cs="Times New Roman"/>
                      <w:color w:val="auto"/>
                      <w:szCs w:val="21"/>
                      <w:lang w:val="en-US" w:eastAsia="zh-CN"/>
                    </w:rPr>
                    <w:t>6</w:t>
                  </w:r>
                </w:p>
              </w:tc>
              <w:tc>
                <w:tcPr>
                  <w:tcW w:w="716" w:type="dxa"/>
                  <w:noWrap w:val="0"/>
                  <w:vAlign w:val="center"/>
                </w:tcPr>
                <w:p w14:paraId="41CEA27F">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w:t>
                  </w:r>
                  <w:r>
                    <w:rPr>
                      <w:rFonts w:hint="eastAsia" w:cs="Times New Roman"/>
                      <w:color w:val="auto"/>
                      <w:szCs w:val="21"/>
                      <w:lang w:val="en-US" w:eastAsia="zh-CN"/>
                    </w:rPr>
                    <w:t>7</w:t>
                  </w:r>
                </w:p>
              </w:tc>
              <w:tc>
                <w:tcPr>
                  <w:tcW w:w="830" w:type="dxa"/>
                  <w:noWrap w:val="0"/>
                  <w:vAlign w:val="center"/>
                </w:tcPr>
                <w:p w14:paraId="62CC048C">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2</w:t>
                  </w:r>
                </w:p>
              </w:tc>
              <w:tc>
                <w:tcPr>
                  <w:tcW w:w="861" w:type="dxa"/>
                  <w:vMerge w:val="continue"/>
                  <w:noWrap w:val="0"/>
                  <w:vAlign w:val="center"/>
                </w:tcPr>
                <w:p w14:paraId="5850C117">
                  <w:pPr>
                    <w:adjustRightInd w:val="0"/>
                    <w:snapToGrid w:val="0"/>
                    <w:jc w:val="center"/>
                    <w:rPr>
                      <w:rFonts w:ascii="Times New Roman" w:hAnsi="Times New Roman" w:cs="Times New Roman"/>
                      <w:color w:val="auto"/>
                      <w:szCs w:val="21"/>
                    </w:rPr>
                  </w:pPr>
                </w:p>
              </w:tc>
              <w:tc>
                <w:tcPr>
                  <w:tcW w:w="861" w:type="dxa"/>
                  <w:noWrap w:val="0"/>
                  <w:vAlign w:val="center"/>
                </w:tcPr>
                <w:p w14:paraId="2174B013">
                  <w:pPr>
                    <w:adjustRightInd w:val="0"/>
                    <w:snapToGrid w:val="0"/>
                    <w:jc w:val="center"/>
                    <w:rPr>
                      <w:rFonts w:ascii="Times New Roman" w:hAnsi="Times New Roman" w:cs="Times New Roman"/>
                      <w:color w:val="auto"/>
                      <w:szCs w:val="21"/>
                    </w:rPr>
                  </w:pPr>
                  <w:r>
                    <w:rPr>
                      <w:rFonts w:ascii="Times New Roman" w:hAnsi="Times New Roman" w:cs="Times New Roman"/>
                      <w:color w:val="auto"/>
                      <w:szCs w:val="21"/>
                    </w:rPr>
                    <w:t>15</w:t>
                  </w:r>
                </w:p>
              </w:tc>
              <w:tc>
                <w:tcPr>
                  <w:tcW w:w="800" w:type="dxa"/>
                  <w:noWrap w:val="0"/>
                  <w:vAlign w:val="center"/>
                </w:tcPr>
                <w:p w14:paraId="33721F71">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w:t>
                  </w:r>
                </w:p>
              </w:tc>
            </w:tr>
            <w:tr w14:paraId="05F2D9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dxa"/>
                  <w:vMerge w:val="continue"/>
                  <w:noWrap w:val="0"/>
                  <w:vAlign w:val="center"/>
                </w:tcPr>
                <w:p w14:paraId="59C629D2">
                  <w:pPr>
                    <w:adjustRightInd w:val="0"/>
                    <w:snapToGrid w:val="0"/>
                    <w:jc w:val="center"/>
                    <w:rPr>
                      <w:rFonts w:ascii="Times New Roman" w:hAnsi="Times New Roman" w:cs="Times New Roman"/>
                      <w:color w:val="auto"/>
                      <w:szCs w:val="21"/>
                    </w:rPr>
                  </w:pPr>
                </w:p>
              </w:tc>
              <w:tc>
                <w:tcPr>
                  <w:tcW w:w="670" w:type="dxa"/>
                  <w:noWrap w:val="0"/>
                  <w:vAlign w:val="center"/>
                </w:tcPr>
                <w:p w14:paraId="6001B00B">
                  <w:pPr>
                    <w:adjustRightInd w:val="0"/>
                    <w:snapToGrid w:val="0"/>
                    <w:jc w:val="center"/>
                    <w:rPr>
                      <w:rFonts w:ascii="Times New Roman" w:hAnsi="Times New Roman" w:cs="Times New Roman"/>
                      <w:color w:val="auto"/>
                      <w:kern w:val="2"/>
                      <w:sz w:val="21"/>
                      <w:szCs w:val="21"/>
                      <w:lang w:val="en-US" w:eastAsia="zh-CN" w:bidi="ar-SA"/>
                    </w:rPr>
                  </w:pPr>
                  <w:r>
                    <w:rPr>
                      <w:rFonts w:ascii="Times New Roman" w:hAnsi="Times New Roman" w:cs="Times New Roman"/>
                      <w:color w:val="auto"/>
                      <w:szCs w:val="21"/>
                    </w:rPr>
                    <w:t>漆雾</w:t>
                  </w:r>
                </w:p>
              </w:tc>
              <w:tc>
                <w:tcPr>
                  <w:tcW w:w="436" w:type="dxa"/>
                  <w:vMerge w:val="restart"/>
                  <w:noWrap w:val="0"/>
                  <w:vAlign w:val="center"/>
                </w:tcPr>
                <w:p w14:paraId="63DD898A">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无组织</w:t>
                  </w:r>
                </w:p>
              </w:tc>
              <w:tc>
                <w:tcPr>
                  <w:tcW w:w="765" w:type="dxa"/>
                  <w:noWrap w:val="0"/>
                  <w:vAlign w:val="center"/>
                </w:tcPr>
                <w:p w14:paraId="7B4FB478">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w:t>
                  </w:r>
                  <w:r>
                    <w:rPr>
                      <w:rFonts w:hint="eastAsia" w:cs="Times New Roman"/>
                      <w:color w:val="auto"/>
                      <w:szCs w:val="21"/>
                      <w:lang w:val="en-US" w:eastAsia="zh-CN"/>
                    </w:rPr>
                    <w:t>9</w:t>
                  </w:r>
                </w:p>
              </w:tc>
              <w:tc>
                <w:tcPr>
                  <w:tcW w:w="824" w:type="dxa"/>
                  <w:noWrap w:val="0"/>
                  <w:vAlign w:val="center"/>
                </w:tcPr>
                <w:p w14:paraId="51878B4F">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785" w:type="dxa"/>
                  <w:noWrap w:val="0"/>
                  <w:vAlign w:val="center"/>
                </w:tcPr>
                <w:p w14:paraId="27A3D833">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0.00</w:t>
                  </w:r>
                  <w:r>
                    <w:rPr>
                      <w:rFonts w:hint="eastAsia" w:cs="Times New Roman"/>
                      <w:color w:val="auto"/>
                      <w:szCs w:val="21"/>
                      <w:lang w:val="en-US" w:eastAsia="zh-CN"/>
                    </w:rPr>
                    <w:t>9</w:t>
                  </w:r>
                </w:p>
              </w:tc>
              <w:tc>
                <w:tcPr>
                  <w:tcW w:w="716" w:type="dxa"/>
                  <w:noWrap w:val="0"/>
                  <w:vAlign w:val="center"/>
                </w:tcPr>
                <w:p w14:paraId="336CB9BB">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830" w:type="dxa"/>
                  <w:noWrap w:val="0"/>
                  <w:vAlign w:val="center"/>
                </w:tcPr>
                <w:p w14:paraId="17AD99FE">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861" w:type="dxa"/>
                  <w:vMerge w:val="continue"/>
                  <w:noWrap w:val="0"/>
                  <w:vAlign w:val="center"/>
                </w:tcPr>
                <w:p w14:paraId="414A5F06">
                  <w:pPr>
                    <w:adjustRightInd w:val="0"/>
                    <w:snapToGrid w:val="0"/>
                    <w:jc w:val="center"/>
                    <w:rPr>
                      <w:rFonts w:hint="eastAsia" w:ascii="Times New Roman" w:hAnsi="Times New Roman" w:cs="Times New Roman"/>
                      <w:color w:val="auto"/>
                      <w:szCs w:val="21"/>
                      <w:lang w:val="en-US" w:eastAsia="zh-CN"/>
                    </w:rPr>
                  </w:pPr>
                </w:p>
              </w:tc>
              <w:tc>
                <w:tcPr>
                  <w:tcW w:w="861" w:type="dxa"/>
                  <w:noWrap w:val="0"/>
                  <w:vAlign w:val="center"/>
                </w:tcPr>
                <w:p w14:paraId="7BF45B28">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1.0</w:t>
                  </w:r>
                </w:p>
              </w:tc>
              <w:tc>
                <w:tcPr>
                  <w:tcW w:w="800" w:type="dxa"/>
                  <w:noWrap w:val="0"/>
                  <w:vAlign w:val="center"/>
                </w:tcPr>
                <w:p w14:paraId="6A431F15">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r>
            <w:tr w14:paraId="576E56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669" w:type="dxa"/>
                  <w:vMerge w:val="continue"/>
                  <w:noWrap w:val="0"/>
                  <w:vAlign w:val="center"/>
                </w:tcPr>
                <w:p w14:paraId="7023B9CB">
                  <w:pPr>
                    <w:adjustRightInd w:val="0"/>
                    <w:snapToGrid w:val="0"/>
                    <w:jc w:val="center"/>
                    <w:rPr>
                      <w:rFonts w:ascii="Times New Roman" w:hAnsi="Times New Roman" w:cs="Times New Roman"/>
                      <w:color w:val="auto"/>
                      <w:szCs w:val="21"/>
                    </w:rPr>
                  </w:pPr>
                </w:p>
              </w:tc>
              <w:tc>
                <w:tcPr>
                  <w:tcW w:w="670" w:type="dxa"/>
                  <w:noWrap w:val="0"/>
                  <w:vAlign w:val="center"/>
                </w:tcPr>
                <w:p w14:paraId="501994FA">
                  <w:pPr>
                    <w:adjustRightInd w:val="0"/>
                    <w:snapToGrid w:val="0"/>
                    <w:jc w:val="center"/>
                    <w:rPr>
                      <w:rFonts w:ascii="Times New Roman" w:hAnsi="Times New Roman" w:cs="Times New Roman"/>
                      <w:color w:val="auto"/>
                      <w:kern w:val="2"/>
                      <w:sz w:val="21"/>
                      <w:szCs w:val="21"/>
                      <w:lang w:val="en-US" w:eastAsia="zh-CN" w:bidi="ar-SA"/>
                    </w:rPr>
                  </w:pPr>
                  <w:r>
                    <w:rPr>
                      <w:rFonts w:ascii="Times New Roman" w:hAnsi="Times New Roman" w:cs="Times New Roman"/>
                      <w:color w:val="auto"/>
                      <w:szCs w:val="21"/>
                    </w:rPr>
                    <w:t>非甲烷总烃</w:t>
                  </w:r>
                </w:p>
              </w:tc>
              <w:tc>
                <w:tcPr>
                  <w:tcW w:w="436" w:type="dxa"/>
                  <w:vMerge w:val="continue"/>
                  <w:noWrap w:val="0"/>
                  <w:vAlign w:val="center"/>
                </w:tcPr>
                <w:p w14:paraId="441B5FE8">
                  <w:pPr>
                    <w:adjustRightInd w:val="0"/>
                    <w:snapToGrid w:val="0"/>
                    <w:jc w:val="center"/>
                    <w:rPr>
                      <w:rFonts w:ascii="Times New Roman" w:hAnsi="Times New Roman" w:cs="Times New Roman"/>
                      <w:color w:val="auto"/>
                      <w:szCs w:val="21"/>
                    </w:rPr>
                  </w:pPr>
                </w:p>
              </w:tc>
              <w:tc>
                <w:tcPr>
                  <w:tcW w:w="765" w:type="dxa"/>
                  <w:noWrap w:val="0"/>
                  <w:vAlign w:val="center"/>
                </w:tcPr>
                <w:p w14:paraId="1B3990A3">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0.021</w:t>
                  </w:r>
                </w:p>
              </w:tc>
              <w:tc>
                <w:tcPr>
                  <w:tcW w:w="824" w:type="dxa"/>
                  <w:noWrap w:val="0"/>
                  <w:vAlign w:val="center"/>
                </w:tcPr>
                <w:p w14:paraId="0D2B7416">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785" w:type="dxa"/>
                  <w:noWrap w:val="0"/>
                  <w:vAlign w:val="center"/>
                </w:tcPr>
                <w:p w14:paraId="0948B76B">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0.021</w:t>
                  </w:r>
                </w:p>
              </w:tc>
              <w:tc>
                <w:tcPr>
                  <w:tcW w:w="716" w:type="dxa"/>
                  <w:noWrap w:val="0"/>
                  <w:vAlign w:val="center"/>
                </w:tcPr>
                <w:p w14:paraId="3BC73B9D">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830" w:type="dxa"/>
                  <w:noWrap w:val="0"/>
                  <w:vAlign w:val="center"/>
                </w:tcPr>
                <w:p w14:paraId="37F1E931">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861" w:type="dxa"/>
                  <w:vMerge w:val="continue"/>
                  <w:noWrap w:val="0"/>
                  <w:vAlign w:val="center"/>
                </w:tcPr>
                <w:p w14:paraId="516F6DB4">
                  <w:pPr>
                    <w:adjustRightInd w:val="0"/>
                    <w:snapToGrid w:val="0"/>
                    <w:jc w:val="center"/>
                    <w:rPr>
                      <w:rFonts w:hint="eastAsia" w:ascii="Times New Roman" w:hAnsi="Times New Roman" w:cs="Times New Roman"/>
                      <w:color w:val="auto"/>
                      <w:szCs w:val="21"/>
                      <w:lang w:val="en-US" w:eastAsia="zh-CN"/>
                    </w:rPr>
                  </w:pPr>
                </w:p>
              </w:tc>
              <w:tc>
                <w:tcPr>
                  <w:tcW w:w="861" w:type="dxa"/>
                  <w:noWrap w:val="0"/>
                  <w:vAlign w:val="center"/>
                </w:tcPr>
                <w:p w14:paraId="3DCCC9E3">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3.0</w:t>
                  </w:r>
                </w:p>
              </w:tc>
              <w:tc>
                <w:tcPr>
                  <w:tcW w:w="800" w:type="dxa"/>
                  <w:noWrap w:val="0"/>
                  <w:vAlign w:val="center"/>
                </w:tcPr>
                <w:p w14:paraId="503913B3">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r>
            <w:tr w14:paraId="71CA4A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dxa"/>
                  <w:vMerge w:val="continue"/>
                  <w:noWrap w:val="0"/>
                  <w:vAlign w:val="center"/>
                </w:tcPr>
                <w:p w14:paraId="530427DC">
                  <w:pPr>
                    <w:adjustRightInd w:val="0"/>
                    <w:snapToGrid w:val="0"/>
                    <w:jc w:val="center"/>
                    <w:rPr>
                      <w:rFonts w:ascii="Times New Roman" w:hAnsi="Times New Roman" w:cs="Times New Roman"/>
                      <w:color w:val="auto"/>
                      <w:szCs w:val="21"/>
                    </w:rPr>
                  </w:pPr>
                </w:p>
              </w:tc>
              <w:tc>
                <w:tcPr>
                  <w:tcW w:w="670" w:type="dxa"/>
                  <w:noWrap w:val="0"/>
                  <w:vAlign w:val="center"/>
                </w:tcPr>
                <w:p w14:paraId="4768E548">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甲苯</w:t>
                  </w:r>
                </w:p>
              </w:tc>
              <w:tc>
                <w:tcPr>
                  <w:tcW w:w="436" w:type="dxa"/>
                  <w:vMerge w:val="continue"/>
                  <w:noWrap w:val="0"/>
                  <w:vAlign w:val="center"/>
                </w:tcPr>
                <w:p w14:paraId="1C3EB5D0">
                  <w:pPr>
                    <w:adjustRightInd w:val="0"/>
                    <w:snapToGrid w:val="0"/>
                    <w:jc w:val="center"/>
                    <w:rPr>
                      <w:rFonts w:ascii="Times New Roman" w:hAnsi="Times New Roman" w:cs="Times New Roman"/>
                      <w:color w:val="auto"/>
                      <w:szCs w:val="21"/>
                    </w:rPr>
                  </w:pPr>
                </w:p>
              </w:tc>
              <w:tc>
                <w:tcPr>
                  <w:tcW w:w="765" w:type="dxa"/>
                  <w:noWrap w:val="0"/>
                  <w:vAlign w:val="center"/>
                </w:tcPr>
                <w:p w14:paraId="233440A8">
                  <w:pPr>
                    <w:adjustRightInd w:val="0"/>
                    <w:snapToGrid w:val="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w:t>
                  </w:r>
                  <w:r>
                    <w:rPr>
                      <w:rFonts w:hint="eastAsia" w:cs="Times New Roman"/>
                      <w:color w:val="auto"/>
                      <w:szCs w:val="21"/>
                      <w:lang w:val="en-US" w:eastAsia="zh-CN"/>
                    </w:rPr>
                    <w:t>2</w:t>
                  </w:r>
                </w:p>
              </w:tc>
              <w:tc>
                <w:tcPr>
                  <w:tcW w:w="824" w:type="dxa"/>
                  <w:noWrap w:val="0"/>
                  <w:vAlign w:val="center"/>
                </w:tcPr>
                <w:p w14:paraId="7D5C2718">
                  <w:pPr>
                    <w:adjustRightInd w:val="0"/>
                    <w:snapToGrid w:val="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785" w:type="dxa"/>
                  <w:noWrap w:val="0"/>
                  <w:vAlign w:val="center"/>
                </w:tcPr>
                <w:p w14:paraId="1CC220FD">
                  <w:pPr>
                    <w:adjustRightInd w:val="0"/>
                    <w:snapToGrid w:val="0"/>
                    <w:jc w:val="center"/>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0.00</w:t>
                  </w:r>
                  <w:r>
                    <w:rPr>
                      <w:rFonts w:hint="eastAsia" w:cs="Times New Roman"/>
                      <w:color w:val="auto"/>
                      <w:szCs w:val="21"/>
                      <w:lang w:val="en-US" w:eastAsia="zh-CN"/>
                    </w:rPr>
                    <w:t>2</w:t>
                  </w:r>
                </w:p>
              </w:tc>
              <w:tc>
                <w:tcPr>
                  <w:tcW w:w="716" w:type="dxa"/>
                  <w:noWrap w:val="0"/>
                  <w:vAlign w:val="center"/>
                </w:tcPr>
                <w:p w14:paraId="6273E470">
                  <w:pPr>
                    <w:adjustRightInd w:val="0"/>
                    <w:snapToGrid w:val="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830" w:type="dxa"/>
                  <w:noWrap w:val="0"/>
                  <w:vAlign w:val="center"/>
                </w:tcPr>
                <w:p w14:paraId="1875938E">
                  <w:pPr>
                    <w:adjustRightInd w:val="0"/>
                    <w:snapToGrid w:val="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861" w:type="dxa"/>
                  <w:vMerge w:val="continue"/>
                  <w:noWrap w:val="0"/>
                  <w:vAlign w:val="center"/>
                </w:tcPr>
                <w:p w14:paraId="5A28364F">
                  <w:pPr>
                    <w:adjustRightInd w:val="0"/>
                    <w:snapToGrid w:val="0"/>
                    <w:jc w:val="center"/>
                    <w:rPr>
                      <w:rFonts w:hint="eastAsia" w:ascii="Times New Roman" w:hAnsi="Times New Roman" w:cs="Times New Roman"/>
                      <w:color w:val="auto"/>
                      <w:szCs w:val="21"/>
                      <w:lang w:val="en-US" w:eastAsia="zh-CN"/>
                    </w:rPr>
                  </w:pPr>
                </w:p>
              </w:tc>
              <w:tc>
                <w:tcPr>
                  <w:tcW w:w="861" w:type="dxa"/>
                  <w:noWrap w:val="0"/>
                  <w:vAlign w:val="center"/>
                </w:tcPr>
                <w:p w14:paraId="68D7F523">
                  <w:pPr>
                    <w:adjustRightInd w:val="0"/>
                    <w:snapToGrid w:val="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0.3</w:t>
                  </w:r>
                </w:p>
              </w:tc>
              <w:tc>
                <w:tcPr>
                  <w:tcW w:w="800" w:type="dxa"/>
                  <w:noWrap w:val="0"/>
                  <w:vAlign w:val="center"/>
                </w:tcPr>
                <w:p w14:paraId="7D56FC35">
                  <w:pPr>
                    <w:adjustRightInd w:val="0"/>
                    <w:snapToGrid w:val="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r>
            <w:tr w14:paraId="2FE850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69" w:type="dxa"/>
                  <w:vMerge w:val="continue"/>
                  <w:noWrap w:val="0"/>
                  <w:vAlign w:val="center"/>
                </w:tcPr>
                <w:p w14:paraId="0E3649F0">
                  <w:pPr>
                    <w:adjustRightInd w:val="0"/>
                    <w:snapToGrid w:val="0"/>
                    <w:jc w:val="center"/>
                    <w:rPr>
                      <w:rFonts w:ascii="Times New Roman" w:hAnsi="Times New Roman" w:cs="Times New Roman"/>
                      <w:color w:val="auto"/>
                      <w:szCs w:val="21"/>
                    </w:rPr>
                  </w:pPr>
                </w:p>
              </w:tc>
              <w:tc>
                <w:tcPr>
                  <w:tcW w:w="670" w:type="dxa"/>
                  <w:noWrap w:val="0"/>
                  <w:vAlign w:val="center"/>
                </w:tcPr>
                <w:p w14:paraId="28C82C9C">
                  <w:pPr>
                    <w:adjustRightInd w:val="0"/>
                    <w:snapToGrid w:val="0"/>
                    <w:jc w:val="center"/>
                    <w:rPr>
                      <w:rFonts w:ascii="Times New Roman" w:hAnsi="Times New Roman" w:cs="Times New Roman"/>
                      <w:color w:val="auto"/>
                      <w:kern w:val="2"/>
                      <w:sz w:val="21"/>
                      <w:szCs w:val="21"/>
                      <w:lang w:val="en-US" w:eastAsia="zh-CN" w:bidi="ar-SA"/>
                    </w:rPr>
                  </w:pPr>
                  <w:r>
                    <w:rPr>
                      <w:rFonts w:ascii="Times New Roman" w:hAnsi="Times New Roman" w:cs="Times New Roman"/>
                      <w:color w:val="auto"/>
                      <w:szCs w:val="21"/>
                    </w:rPr>
                    <w:t>二甲苯</w:t>
                  </w:r>
                </w:p>
              </w:tc>
              <w:tc>
                <w:tcPr>
                  <w:tcW w:w="436" w:type="dxa"/>
                  <w:vMerge w:val="continue"/>
                  <w:noWrap w:val="0"/>
                  <w:vAlign w:val="center"/>
                </w:tcPr>
                <w:p w14:paraId="6B8F18C8">
                  <w:pPr>
                    <w:adjustRightInd w:val="0"/>
                    <w:snapToGrid w:val="0"/>
                    <w:jc w:val="center"/>
                    <w:rPr>
                      <w:rFonts w:ascii="Times New Roman" w:hAnsi="Times New Roman" w:cs="Times New Roman"/>
                      <w:color w:val="auto"/>
                      <w:szCs w:val="21"/>
                    </w:rPr>
                  </w:pPr>
                </w:p>
              </w:tc>
              <w:tc>
                <w:tcPr>
                  <w:tcW w:w="765" w:type="dxa"/>
                  <w:noWrap w:val="0"/>
                  <w:vAlign w:val="center"/>
                </w:tcPr>
                <w:p w14:paraId="04E19D23">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0</w:t>
                  </w:r>
                </w:p>
              </w:tc>
              <w:tc>
                <w:tcPr>
                  <w:tcW w:w="824" w:type="dxa"/>
                  <w:noWrap w:val="0"/>
                  <w:vAlign w:val="center"/>
                </w:tcPr>
                <w:p w14:paraId="439BF88E">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785" w:type="dxa"/>
                  <w:noWrap w:val="0"/>
                  <w:vAlign w:val="center"/>
                </w:tcPr>
                <w:p w14:paraId="5FF1E8C3">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w:t>
                  </w:r>
                </w:p>
              </w:tc>
              <w:tc>
                <w:tcPr>
                  <w:tcW w:w="716" w:type="dxa"/>
                  <w:noWrap w:val="0"/>
                  <w:vAlign w:val="center"/>
                </w:tcPr>
                <w:p w14:paraId="7C7F8CD8">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830" w:type="dxa"/>
                  <w:noWrap w:val="0"/>
                  <w:vAlign w:val="center"/>
                </w:tcPr>
                <w:p w14:paraId="08662199">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861" w:type="dxa"/>
                  <w:vMerge w:val="continue"/>
                  <w:noWrap w:val="0"/>
                  <w:vAlign w:val="center"/>
                </w:tcPr>
                <w:p w14:paraId="4F2B1430">
                  <w:pPr>
                    <w:adjustRightInd w:val="0"/>
                    <w:snapToGrid w:val="0"/>
                    <w:jc w:val="center"/>
                    <w:rPr>
                      <w:rFonts w:hint="eastAsia" w:ascii="Times New Roman" w:hAnsi="Times New Roman" w:cs="Times New Roman"/>
                      <w:color w:val="auto"/>
                      <w:szCs w:val="21"/>
                      <w:lang w:val="en-US" w:eastAsia="zh-CN"/>
                    </w:rPr>
                  </w:pPr>
                </w:p>
              </w:tc>
              <w:tc>
                <w:tcPr>
                  <w:tcW w:w="861" w:type="dxa"/>
                  <w:noWrap w:val="0"/>
                  <w:vAlign w:val="center"/>
                </w:tcPr>
                <w:p w14:paraId="7161E361">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0.3</w:t>
                  </w:r>
                </w:p>
              </w:tc>
              <w:tc>
                <w:tcPr>
                  <w:tcW w:w="800" w:type="dxa"/>
                  <w:noWrap w:val="0"/>
                  <w:vAlign w:val="center"/>
                </w:tcPr>
                <w:p w14:paraId="7E1340B5">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r>
            <w:tr w14:paraId="208BAA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dxa"/>
                  <w:vMerge w:val="restart"/>
                  <w:noWrap w:val="0"/>
                  <w:vAlign w:val="center"/>
                </w:tcPr>
                <w:p w14:paraId="1CBAF96F">
                  <w:pPr>
                    <w:adjustRightInd w:val="0"/>
                    <w:snapToGrid w:val="0"/>
                    <w:jc w:val="center"/>
                    <w:rPr>
                      <w:rFonts w:hint="default" w:ascii="Times New Roman" w:hAnsi="Times New Roman" w:cs="Times New Roman"/>
                      <w:color w:val="auto"/>
                      <w:szCs w:val="21"/>
                      <w:lang w:val="en-US"/>
                    </w:rPr>
                  </w:pPr>
                  <w:r>
                    <w:rPr>
                      <w:rFonts w:hint="eastAsia" w:ascii="Times New Roman" w:hAnsi="Times New Roman" w:cs="Times New Roman"/>
                      <w:color w:val="auto"/>
                      <w:szCs w:val="21"/>
                      <w:lang w:val="en-US" w:eastAsia="zh-CN"/>
                    </w:rPr>
                    <w:t>DA002</w:t>
                  </w:r>
                </w:p>
              </w:tc>
              <w:tc>
                <w:tcPr>
                  <w:tcW w:w="670" w:type="dxa"/>
                  <w:noWrap w:val="0"/>
                  <w:vAlign w:val="center"/>
                </w:tcPr>
                <w:p w14:paraId="7EC2A392">
                  <w:pPr>
                    <w:adjustRightInd w:val="0"/>
                    <w:snapToGrid w:val="0"/>
                    <w:jc w:val="center"/>
                    <w:rPr>
                      <w:rFonts w:ascii="Times New Roman" w:hAnsi="Times New Roman" w:cs="Times New Roman"/>
                      <w:color w:val="auto"/>
                      <w:kern w:val="2"/>
                      <w:sz w:val="21"/>
                      <w:szCs w:val="21"/>
                      <w:lang w:val="en-US" w:eastAsia="zh-CN" w:bidi="ar-SA"/>
                    </w:rPr>
                  </w:pPr>
                  <w:r>
                    <w:rPr>
                      <w:rFonts w:ascii="Times New Roman" w:hAnsi="Times New Roman" w:cs="Times New Roman"/>
                      <w:color w:val="auto"/>
                      <w:szCs w:val="21"/>
                    </w:rPr>
                    <w:t>漆雾</w:t>
                  </w:r>
                </w:p>
              </w:tc>
              <w:tc>
                <w:tcPr>
                  <w:tcW w:w="436" w:type="dxa"/>
                  <w:vMerge w:val="restart"/>
                  <w:noWrap w:val="0"/>
                  <w:vAlign w:val="center"/>
                </w:tcPr>
                <w:p w14:paraId="25AAECEF">
                  <w:pPr>
                    <w:adjustRightInd w:val="0"/>
                    <w:snapToGrid w:val="0"/>
                    <w:jc w:val="center"/>
                    <w:rPr>
                      <w:rFonts w:ascii="Times New Roman" w:hAnsi="Times New Roman" w:cs="Times New Roman"/>
                      <w:color w:val="auto"/>
                      <w:szCs w:val="21"/>
                    </w:rPr>
                  </w:pPr>
                  <w:r>
                    <w:rPr>
                      <w:rFonts w:ascii="Times New Roman" w:hAnsi="Times New Roman" w:cs="Times New Roman"/>
                      <w:color w:val="auto"/>
                      <w:szCs w:val="21"/>
                    </w:rPr>
                    <w:t>有组织</w:t>
                  </w:r>
                </w:p>
              </w:tc>
              <w:tc>
                <w:tcPr>
                  <w:tcW w:w="765" w:type="dxa"/>
                  <w:shd w:val="clear" w:color="auto" w:fill="auto"/>
                  <w:noWrap w:val="0"/>
                  <w:vAlign w:val="center"/>
                </w:tcPr>
                <w:p w14:paraId="31926777">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0.1</w:t>
                  </w:r>
                  <w:r>
                    <w:rPr>
                      <w:rFonts w:hint="eastAsia" w:cs="Times New Roman"/>
                      <w:color w:val="auto"/>
                      <w:szCs w:val="21"/>
                      <w:lang w:val="en-US" w:eastAsia="zh-CN"/>
                    </w:rPr>
                    <w:t>67</w:t>
                  </w:r>
                </w:p>
              </w:tc>
              <w:tc>
                <w:tcPr>
                  <w:tcW w:w="824" w:type="dxa"/>
                  <w:shd w:val="clear" w:color="auto" w:fill="auto"/>
                  <w:noWrap w:val="0"/>
                  <w:vAlign w:val="center"/>
                </w:tcPr>
                <w:p w14:paraId="5024FC9D">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0.19</w:t>
                  </w:r>
                </w:p>
              </w:tc>
              <w:tc>
                <w:tcPr>
                  <w:tcW w:w="785" w:type="dxa"/>
                  <w:shd w:val="clear" w:color="auto" w:fill="auto"/>
                  <w:noWrap w:val="0"/>
                  <w:vAlign w:val="center"/>
                </w:tcPr>
                <w:p w14:paraId="6FE1B8AE">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0.0</w:t>
                  </w:r>
                  <w:r>
                    <w:rPr>
                      <w:rFonts w:hint="eastAsia" w:cs="Times New Roman"/>
                      <w:color w:val="auto"/>
                      <w:szCs w:val="21"/>
                      <w:lang w:val="en-US" w:eastAsia="zh-CN"/>
                    </w:rPr>
                    <w:t>25</w:t>
                  </w:r>
                </w:p>
              </w:tc>
              <w:tc>
                <w:tcPr>
                  <w:tcW w:w="716" w:type="dxa"/>
                  <w:shd w:val="clear" w:color="auto" w:fill="auto"/>
                  <w:noWrap w:val="0"/>
                  <w:vAlign w:val="center"/>
                </w:tcPr>
                <w:p w14:paraId="4625A8C2">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0.03</w:t>
                  </w:r>
                </w:p>
              </w:tc>
              <w:tc>
                <w:tcPr>
                  <w:tcW w:w="830" w:type="dxa"/>
                  <w:shd w:val="clear" w:color="auto" w:fill="auto"/>
                  <w:noWrap w:val="0"/>
                  <w:vAlign w:val="center"/>
                </w:tcPr>
                <w:p w14:paraId="3E806147">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1</w:t>
                  </w:r>
                </w:p>
              </w:tc>
              <w:tc>
                <w:tcPr>
                  <w:tcW w:w="861" w:type="dxa"/>
                  <w:vMerge w:val="restart"/>
                  <w:noWrap w:val="0"/>
                  <w:vAlign w:val="center"/>
                </w:tcPr>
                <w:p w14:paraId="7B8E526E">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30000</w:t>
                  </w:r>
                </w:p>
              </w:tc>
              <w:tc>
                <w:tcPr>
                  <w:tcW w:w="861" w:type="dxa"/>
                  <w:noWrap w:val="0"/>
                  <w:vAlign w:val="center"/>
                </w:tcPr>
                <w:p w14:paraId="22111532">
                  <w:pPr>
                    <w:adjustRightInd w:val="0"/>
                    <w:snapToGrid w:val="0"/>
                    <w:jc w:val="center"/>
                    <w:rPr>
                      <w:rFonts w:hint="eastAsia" w:ascii="Times New Roman" w:hAnsi="Times New Roman" w:cs="Times New Roman"/>
                      <w:color w:val="auto"/>
                      <w:kern w:val="2"/>
                      <w:sz w:val="21"/>
                      <w:szCs w:val="21"/>
                      <w:lang w:val="en-US" w:eastAsia="zh-CN" w:bidi="ar-SA"/>
                    </w:rPr>
                  </w:pPr>
                  <w:r>
                    <w:rPr>
                      <w:rFonts w:ascii="Times New Roman" w:hAnsi="Times New Roman" w:cs="Times New Roman"/>
                      <w:color w:val="auto"/>
                      <w:szCs w:val="21"/>
                    </w:rPr>
                    <w:t>120</w:t>
                  </w:r>
                </w:p>
              </w:tc>
              <w:tc>
                <w:tcPr>
                  <w:tcW w:w="800" w:type="dxa"/>
                  <w:noWrap w:val="0"/>
                  <w:vAlign w:val="center"/>
                </w:tcPr>
                <w:p w14:paraId="436FEF77">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3.98</w:t>
                  </w:r>
                </w:p>
              </w:tc>
            </w:tr>
            <w:tr w14:paraId="1C52CF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69" w:type="dxa"/>
                  <w:vMerge w:val="continue"/>
                  <w:noWrap w:val="0"/>
                  <w:vAlign w:val="center"/>
                </w:tcPr>
                <w:p w14:paraId="085D238E">
                  <w:pPr>
                    <w:adjustRightInd w:val="0"/>
                    <w:snapToGrid w:val="0"/>
                    <w:jc w:val="center"/>
                    <w:rPr>
                      <w:rFonts w:ascii="Times New Roman" w:hAnsi="Times New Roman" w:cs="Times New Roman"/>
                      <w:color w:val="auto"/>
                      <w:szCs w:val="21"/>
                    </w:rPr>
                  </w:pPr>
                </w:p>
              </w:tc>
              <w:tc>
                <w:tcPr>
                  <w:tcW w:w="670" w:type="dxa"/>
                  <w:noWrap w:val="0"/>
                  <w:vAlign w:val="center"/>
                </w:tcPr>
                <w:p w14:paraId="05F25FE4">
                  <w:pPr>
                    <w:adjustRightInd w:val="0"/>
                    <w:snapToGrid w:val="0"/>
                    <w:jc w:val="center"/>
                    <w:rPr>
                      <w:rFonts w:ascii="Times New Roman" w:hAnsi="Times New Roman" w:cs="Times New Roman"/>
                      <w:color w:val="auto"/>
                      <w:kern w:val="2"/>
                      <w:sz w:val="21"/>
                      <w:szCs w:val="21"/>
                      <w:lang w:val="en-US" w:eastAsia="zh-CN" w:bidi="ar-SA"/>
                    </w:rPr>
                  </w:pPr>
                  <w:r>
                    <w:rPr>
                      <w:rFonts w:ascii="Times New Roman" w:hAnsi="Times New Roman" w:cs="Times New Roman"/>
                      <w:color w:val="auto"/>
                      <w:szCs w:val="21"/>
                    </w:rPr>
                    <w:t>非甲烷总烃</w:t>
                  </w:r>
                </w:p>
              </w:tc>
              <w:tc>
                <w:tcPr>
                  <w:tcW w:w="436" w:type="dxa"/>
                  <w:vMerge w:val="continue"/>
                  <w:noWrap w:val="0"/>
                  <w:vAlign w:val="center"/>
                </w:tcPr>
                <w:p w14:paraId="617D541D">
                  <w:pPr>
                    <w:adjustRightInd w:val="0"/>
                    <w:snapToGrid w:val="0"/>
                    <w:jc w:val="center"/>
                    <w:rPr>
                      <w:rFonts w:ascii="Times New Roman" w:hAnsi="Times New Roman" w:cs="Times New Roman"/>
                      <w:color w:val="auto"/>
                      <w:szCs w:val="21"/>
                    </w:rPr>
                  </w:pPr>
                </w:p>
              </w:tc>
              <w:tc>
                <w:tcPr>
                  <w:tcW w:w="765" w:type="dxa"/>
                  <w:shd w:val="clear" w:color="auto" w:fill="auto"/>
                  <w:noWrap w:val="0"/>
                  <w:vAlign w:val="center"/>
                </w:tcPr>
                <w:p w14:paraId="03CAC791">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0.3</w:t>
                  </w:r>
                  <w:r>
                    <w:rPr>
                      <w:rFonts w:hint="eastAsia" w:cs="Times New Roman"/>
                      <w:color w:val="auto"/>
                      <w:szCs w:val="21"/>
                      <w:lang w:val="en-US" w:eastAsia="zh-CN"/>
                    </w:rPr>
                    <w:t>91</w:t>
                  </w:r>
                </w:p>
              </w:tc>
              <w:tc>
                <w:tcPr>
                  <w:tcW w:w="824" w:type="dxa"/>
                  <w:shd w:val="clear" w:color="auto" w:fill="auto"/>
                  <w:noWrap w:val="0"/>
                  <w:vAlign w:val="center"/>
                </w:tcPr>
                <w:p w14:paraId="1B2B013C">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0.45</w:t>
                  </w:r>
                </w:p>
              </w:tc>
              <w:tc>
                <w:tcPr>
                  <w:tcW w:w="785" w:type="dxa"/>
                  <w:shd w:val="clear" w:color="auto" w:fill="auto"/>
                  <w:noWrap w:val="0"/>
                  <w:vAlign w:val="center"/>
                </w:tcPr>
                <w:p w14:paraId="769B036F">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0.</w:t>
                  </w:r>
                  <w:r>
                    <w:rPr>
                      <w:rFonts w:hint="eastAsia" w:cs="Times New Roman"/>
                      <w:color w:val="auto"/>
                      <w:szCs w:val="21"/>
                      <w:lang w:val="en-US" w:eastAsia="zh-CN"/>
                    </w:rPr>
                    <w:t>25</w:t>
                  </w:r>
                </w:p>
              </w:tc>
              <w:tc>
                <w:tcPr>
                  <w:tcW w:w="716" w:type="dxa"/>
                  <w:shd w:val="clear" w:color="auto" w:fill="auto"/>
                  <w:noWrap w:val="0"/>
                  <w:vAlign w:val="center"/>
                </w:tcPr>
                <w:p w14:paraId="6F67D454">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29</w:t>
                  </w:r>
                </w:p>
              </w:tc>
              <w:tc>
                <w:tcPr>
                  <w:tcW w:w="830" w:type="dxa"/>
                  <w:shd w:val="clear" w:color="auto" w:fill="auto"/>
                  <w:noWrap w:val="0"/>
                  <w:vAlign w:val="center"/>
                </w:tcPr>
                <w:p w14:paraId="6A8560C4">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9.7</w:t>
                  </w:r>
                </w:p>
              </w:tc>
              <w:tc>
                <w:tcPr>
                  <w:tcW w:w="861" w:type="dxa"/>
                  <w:vMerge w:val="continue"/>
                  <w:noWrap w:val="0"/>
                  <w:vAlign w:val="center"/>
                </w:tcPr>
                <w:p w14:paraId="694C8722">
                  <w:pPr>
                    <w:adjustRightInd w:val="0"/>
                    <w:snapToGrid w:val="0"/>
                    <w:jc w:val="center"/>
                    <w:rPr>
                      <w:rFonts w:hint="eastAsia" w:ascii="Times New Roman" w:hAnsi="Times New Roman" w:eastAsia="宋体" w:cs="Times New Roman"/>
                      <w:color w:val="auto"/>
                      <w:szCs w:val="21"/>
                      <w:lang w:val="en-US" w:eastAsia="zh-CN"/>
                    </w:rPr>
                  </w:pPr>
                </w:p>
              </w:tc>
              <w:tc>
                <w:tcPr>
                  <w:tcW w:w="861" w:type="dxa"/>
                  <w:noWrap w:val="0"/>
                  <w:vAlign w:val="center"/>
                </w:tcPr>
                <w:p w14:paraId="2F6624E7">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50</w:t>
                  </w:r>
                </w:p>
              </w:tc>
              <w:tc>
                <w:tcPr>
                  <w:tcW w:w="800" w:type="dxa"/>
                  <w:noWrap w:val="0"/>
                  <w:vAlign w:val="center"/>
                </w:tcPr>
                <w:p w14:paraId="5C9CD715">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r>
            <w:tr w14:paraId="50E476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dxa"/>
                  <w:vMerge w:val="continue"/>
                  <w:noWrap w:val="0"/>
                  <w:vAlign w:val="center"/>
                </w:tcPr>
                <w:p w14:paraId="23AA818B">
                  <w:pPr>
                    <w:adjustRightInd w:val="0"/>
                    <w:snapToGrid w:val="0"/>
                    <w:jc w:val="center"/>
                    <w:rPr>
                      <w:rFonts w:ascii="Times New Roman" w:hAnsi="Times New Roman" w:cs="Times New Roman"/>
                      <w:color w:val="auto"/>
                      <w:szCs w:val="21"/>
                    </w:rPr>
                  </w:pPr>
                </w:p>
              </w:tc>
              <w:tc>
                <w:tcPr>
                  <w:tcW w:w="670" w:type="dxa"/>
                  <w:noWrap w:val="0"/>
                  <w:vAlign w:val="center"/>
                </w:tcPr>
                <w:p w14:paraId="3C4AFD5F">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甲苯</w:t>
                  </w:r>
                </w:p>
              </w:tc>
              <w:tc>
                <w:tcPr>
                  <w:tcW w:w="436" w:type="dxa"/>
                  <w:vMerge w:val="continue"/>
                  <w:noWrap w:val="0"/>
                  <w:vAlign w:val="center"/>
                </w:tcPr>
                <w:p w14:paraId="146B1895">
                  <w:pPr>
                    <w:adjustRightInd w:val="0"/>
                    <w:snapToGrid w:val="0"/>
                    <w:jc w:val="center"/>
                    <w:rPr>
                      <w:rFonts w:ascii="Times New Roman" w:hAnsi="Times New Roman" w:cs="Times New Roman"/>
                      <w:color w:val="auto"/>
                      <w:szCs w:val="21"/>
                    </w:rPr>
                  </w:pPr>
                </w:p>
              </w:tc>
              <w:tc>
                <w:tcPr>
                  <w:tcW w:w="765" w:type="dxa"/>
                  <w:shd w:val="clear" w:color="auto" w:fill="auto"/>
                  <w:noWrap w:val="0"/>
                  <w:vAlign w:val="center"/>
                </w:tcPr>
                <w:p w14:paraId="64C91C43">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0.0</w:t>
                  </w:r>
                  <w:r>
                    <w:rPr>
                      <w:rFonts w:hint="eastAsia" w:cs="Times New Roman"/>
                      <w:color w:val="auto"/>
                      <w:szCs w:val="21"/>
                      <w:lang w:val="en-US" w:eastAsia="zh-CN"/>
                    </w:rPr>
                    <w:t>29</w:t>
                  </w:r>
                </w:p>
              </w:tc>
              <w:tc>
                <w:tcPr>
                  <w:tcW w:w="824" w:type="dxa"/>
                  <w:shd w:val="clear" w:color="auto" w:fill="auto"/>
                  <w:noWrap w:val="0"/>
                  <w:vAlign w:val="center"/>
                </w:tcPr>
                <w:p w14:paraId="53BAB909">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0.03</w:t>
                  </w:r>
                </w:p>
              </w:tc>
              <w:tc>
                <w:tcPr>
                  <w:tcW w:w="785" w:type="dxa"/>
                  <w:shd w:val="clear" w:color="auto" w:fill="auto"/>
                  <w:noWrap w:val="0"/>
                  <w:vAlign w:val="center"/>
                </w:tcPr>
                <w:p w14:paraId="1558E2A2">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0.0</w:t>
                  </w:r>
                  <w:r>
                    <w:rPr>
                      <w:rFonts w:hint="eastAsia" w:cs="Times New Roman"/>
                      <w:color w:val="auto"/>
                      <w:szCs w:val="21"/>
                      <w:lang w:val="en-US" w:eastAsia="zh-CN"/>
                    </w:rPr>
                    <w:t>19</w:t>
                  </w:r>
                </w:p>
              </w:tc>
              <w:tc>
                <w:tcPr>
                  <w:tcW w:w="716" w:type="dxa"/>
                  <w:shd w:val="clear" w:color="auto" w:fill="auto"/>
                  <w:noWrap w:val="0"/>
                  <w:vAlign w:val="center"/>
                </w:tcPr>
                <w:p w14:paraId="25442744">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2</w:t>
                  </w:r>
                </w:p>
              </w:tc>
              <w:tc>
                <w:tcPr>
                  <w:tcW w:w="830" w:type="dxa"/>
                  <w:shd w:val="clear" w:color="auto" w:fill="auto"/>
                  <w:noWrap w:val="0"/>
                  <w:vAlign w:val="center"/>
                </w:tcPr>
                <w:p w14:paraId="4B194929">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7</w:t>
                  </w:r>
                </w:p>
              </w:tc>
              <w:tc>
                <w:tcPr>
                  <w:tcW w:w="861" w:type="dxa"/>
                  <w:vMerge w:val="continue"/>
                  <w:noWrap w:val="0"/>
                  <w:vAlign w:val="center"/>
                </w:tcPr>
                <w:p w14:paraId="5C1201E3">
                  <w:pPr>
                    <w:adjustRightInd w:val="0"/>
                    <w:snapToGrid w:val="0"/>
                    <w:jc w:val="center"/>
                    <w:rPr>
                      <w:rFonts w:hint="eastAsia" w:ascii="Times New Roman" w:hAnsi="Times New Roman" w:cs="Times New Roman"/>
                      <w:color w:val="auto"/>
                      <w:szCs w:val="21"/>
                      <w:lang w:val="en-US" w:eastAsia="zh-CN"/>
                    </w:rPr>
                  </w:pPr>
                </w:p>
              </w:tc>
              <w:tc>
                <w:tcPr>
                  <w:tcW w:w="861" w:type="dxa"/>
                  <w:noWrap w:val="0"/>
                  <w:vAlign w:val="center"/>
                </w:tcPr>
                <w:p w14:paraId="275A7647">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5</w:t>
                  </w:r>
                </w:p>
              </w:tc>
              <w:tc>
                <w:tcPr>
                  <w:tcW w:w="800" w:type="dxa"/>
                  <w:noWrap w:val="0"/>
                  <w:vAlign w:val="center"/>
                </w:tcPr>
                <w:p w14:paraId="20CF1EF6">
                  <w:pPr>
                    <w:adjustRightInd w:val="0"/>
                    <w:snapToGrid w:val="0"/>
                    <w:jc w:val="center"/>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r>
            <w:tr w14:paraId="002646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69" w:type="dxa"/>
                  <w:vMerge w:val="continue"/>
                  <w:noWrap w:val="0"/>
                  <w:vAlign w:val="center"/>
                </w:tcPr>
                <w:p w14:paraId="20BB5ED8">
                  <w:pPr>
                    <w:adjustRightInd w:val="0"/>
                    <w:snapToGrid w:val="0"/>
                    <w:jc w:val="center"/>
                    <w:rPr>
                      <w:rFonts w:ascii="Times New Roman" w:hAnsi="Times New Roman" w:cs="Times New Roman"/>
                      <w:color w:val="auto"/>
                      <w:szCs w:val="21"/>
                    </w:rPr>
                  </w:pPr>
                </w:p>
              </w:tc>
              <w:tc>
                <w:tcPr>
                  <w:tcW w:w="670" w:type="dxa"/>
                  <w:noWrap w:val="0"/>
                  <w:vAlign w:val="center"/>
                </w:tcPr>
                <w:p w14:paraId="532C655C">
                  <w:pPr>
                    <w:adjustRightInd w:val="0"/>
                    <w:snapToGrid w:val="0"/>
                    <w:jc w:val="center"/>
                    <w:rPr>
                      <w:rFonts w:ascii="Times New Roman" w:hAnsi="Times New Roman" w:cs="Times New Roman"/>
                      <w:color w:val="auto"/>
                      <w:kern w:val="2"/>
                      <w:sz w:val="21"/>
                      <w:szCs w:val="21"/>
                      <w:lang w:val="en-US" w:eastAsia="zh-CN" w:bidi="ar-SA"/>
                    </w:rPr>
                  </w:pPr>
                  <w:r>
                    <w:rPr>
                      <w:rFonts w:ascii="Times New Roman" w:hAnsi="Times New Roman" w:cs="Times New Roman"/>
                      <w:color w:val="auto"/>
                      <w:szCs w:val="21"/>
                    </w:rPr>
                    <w:t>二甲苯</w:t>
                  </w:r>
                </w:p>
              </w:tc>
              <w:tc>
                <w:tcPr>
                  <w:tcW w:w="436" w:type="dxa"/>
                  <w:vMerge w:val="continue"/>
                  <w:noWrap w:val="0"/>
                  <w:vAlign w:val="center"/>
                </w:tcPr>
                <w:p w14:paraId="506D8864">
                  <w:pPr>
                    <w:adjustRightInd w:val="0"/>
                    <w:snapToGrid w:val="0"/>
                    <w:jc w:val="center"/>
                    <w:rPr>
                      <w:rFonts w:ascii="Times New Roman" w:hAnsi="Times New Roman" w:cs="Times New Roman"/>
                      <w:color w:val="auto"/>
                      <w:szCs w:val="21"/>
                    </w:rPr>
                  </w:pPr>
                </w:p>
              </w:tc>
              <w:tc>
                <w:tcPr>
                  <w:tcW w:w="765" w:type="dxa"/>
                  <w:shd w:val="clear" w:color="auto" w:fill="auto"/>
                  <w:noWrap w:val="0"/>
                  <w:vAlign w:val="center"/>
                </w:tcPr>
                <w:p w14:paraId="40D7A7BB">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1</w:t>
                  </w:r>
                </w:p>
              </w:tc>
              <w:tc>
                <w:tcPr>
                  <w:tcW w:w="824" w:type="dxa"/>
                  <w:shd w:val="clear" w:color="auto" w:fill="auto"/>
                  <w:noWrap w:val="0"/>
                  <w:vAlign w:val="center"/>
                </w:tcPr>
                <w:p w14:paraId="1DB3D4BD">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0.01</w:t>
                  </w:r>
                </w:p>
              </w:tc>
              <w:tc>
                <w:tcPr>
                  <w:tcW w:w="785" w:type="dxa"/>
                  <w:shd w:val="clear" w:color="auto" w:fill="auto"/>
                  <w:noWrap w:val="0"/>
                  <w:vAlign w:val="center"/>
                </w:tcPr>
                <w:p w14:paraId="32A784CD">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0.0</w:t>
                  </w:r>
                  <w:r>
                    <w:rPr>
                      <w:rFonts w:hint="eastAsia" w:ascii="Times New Roman" w:hAnsi="Times New Roman" w:cs="Times New Roman"/>
                      <w:color w:val="auto"/>
                      <w:szCs w:val="21"/>
                      <w:lang w:val="en-US" w:eastAsia="zh-CN"/>
                    </w:rPr>
                    <w:t>0</w:t>
                  </w:r>
                  <w:r>
                    <w:rPr>
                      <w:rFonts w:hint="eastAsia" w:cs="Times New Roman"/>
                      <w:color w:val="auto"/>
                      <w:szCs w:val="21"/>
                      <w:lang w:val="en-US" w:eastAsia="zh-CN"/>
                    </w:rPr>
                    <w:t>6</w:t>
                  </w:r>
                </w:p>
              </w:tc>
              <w:tc>
                <w:tcPr>
                  <w:tcW w:w="716" w:type="dxa"/>
                  <w:shd w:val="clear" w:color="auto" w:fill="auto"/>
                  <w:noWrap w:val="0"/>
                  <w:vAlign w:val="center"/>
                </w:tcPr>
                <w:p w14:paraId="3992D1D1">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0.00</w:t>
                  </w:r>
                  <w:r>
                    <w:rPr>
                      <w:rFonts w:hint="eastAsia" w:cs="Times New Roman"/>
                      <w:color w:val="auto"/>
                      <w:szCs w:val="21"/>
                      <w:lang w:val="en-US" w:eastAsia="zh-CN"/>
                    </w:rPr>
                    <w:t>7</w:t>
                  </w:r>
                </w:p>
              </w:tc>
              <w:tc>
                <w:tcPr>
                  <w:tcW w:w="830" w:type="dxa"/>
                  <w:shd w:val="clear" w:color="auto" w:fill="auto"/>
                  <w:noWrap w:val="0"/>
                  <w:vAlign w:val="center"/>
                </w:tcPr>
                <w:p w14:paraId="5E688EC9">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2</w:t>
                  </w:r>
                </w:p>
              </w:tc>
              <w:tc>
                <w:tcPr>
                  <w:tcW w:w="861" w:type="dxa"/>
                  <w:vMerge w:val="continue"/>
                  <w:noWrap w:val="0"/>
                  <w:vAlign w:val="center"/>
                </w:tcPr>
                <w:p w14:paraId="7B026B53">
                  <w:pPr>
                    <w:adjustRightInd w:val="0"/>
                    <w:snapToGrid w:val="0"/>
                    <w:jc w:val="center"/>
                    <w:rPr>
                      <w:rFonts w:ascii="Times New Roman" w:hAnsi="Times New Roman" w:cs="Times New Roman"/>
                      <w:color w:val="auto"/>
                      <w:szCs w:val="21"/>
                    </w:rPr>
                  </w:pPr>
                </w:p>
              </w:tc>
              <w:tc>
                <w:tcPr>
                  <w:tcW w:w="861" w:type="dxa"/>
                  <w:noWrap w:val="0"/>
                  <w:vAlign w:val="center"/>
                </w:tcPr>
                <w:p w14:paraId="33361383">
                  <w:pPr>
                    <w:adjustRightInd w:val="0"/>
                    <w:snapToGrid w:val="0"/>
                    <w:jc w:val="center"/>
                    <w:rPr>
                      <w:rFonts w:hint="eastAsia" w:ascii="Times New Roman" w:hAnsi="Times New Roman" w:cs="Times New Roman"/>
                      <w:color w:val="auto"/>
                      <w:kern w:val="2"/>
                      <w:sz w:val="21"/>
                      <w:szCs w:val="21"/>
                      <w:lang w:val="en-US" w:eastAsia="zh-CN" w:bidi="ar-SA"/>
                    </w:rPr>
                  </w:pPr>
                  <w:r>
                    <w:rPr>
                      <w:rFonts w:ascii="Times New Roman" w:hAnsi="Times New Roman" w:cs="Times New Roman"/>
                      <w:color w:val="auto"/>
                      <w:szCs w:val="21"/>
                    </w:rPr>
                    <w:t>15</w:t>
                  </w:r>
                </w:p>
              </w:tc>
              <w:tc>
                <w:tcPr>
                  <w:tcW w:w="800" w:type="dxa"/>
                  <w:noWrap w:val="0"/>
                  <w:vAlign w:val="center"/>
                </w:tcPr>
                <w:p w14:paraId="119D1177">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r>
            <w:tr w14:paraId="1A75B9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dxa"/>
                  <w:vMerge w:val="continue"/>
                  <w:noWrap w:val="0"/>
                  <w:vAlign w:val="center"/>
                </w:tcPr>
                <w:p w14:paraId="48CC8424">
                  <w:pPr>
                    <w:adjustRightInd w:val="0"/>
                    <w:snapToGrid w:val="0"/>
                    <w:jc w:val="center"/>
                    <w:rPr>
                      <w:rFonts w:ascii="Times New Roman" w:hAnsi="Times New Roman" w:cs="Times New Roman"/>
                      <w:color w:val="auto"/>
                      <w:szCs w:val="21"/>
                    </w:rPr>
                  </w:pPr>
                </w:p>
              </w:tc>
              <w:tc>
                <w:tcPr>
                  <w:tcW w:w="670" w:type="dxa"/>
                  <w:noWrap w:val="0"/>
                  <w:vAlign w:val="center"/>
                </w:tcPr>
                <w:p w14:paraId="560447FF">
                  <w:pPr>
                    <w:adjustRightInd w:val="0"/>
                    <w:snapToGrid w:val="0"/>
                    <w:jc w:val="center"/>
                    <w:rPr>
                      <w:rFonts w:ascii="Times New Roman" w:hAnsi="Times New Roman" w:cs="Times New Roman"/>
                      <w:color w:val="auto"/>
                      <w:kern w:val="2"/>
                      <w:sz w:val="21"/>
                      <w:szCs w:val="21"/>
                      <w:lang w:val="en-US" w:eastAsia="zh-CN" w:bidi="ar-SA"/>
                    </w:rPr>
                  </w:pPr>
                  <w:r>
                    <w:rPr>
                      <w:rFonts w:ascii="Times New Roman" w:hAnsi="Times New Roman" w:cs="Times New Roman"/>
                      <w:color w:val="auto"/>
                      <w:szCs w:val="21"/>
                    </w:rPr>
                    <w:t>漆雾</w:t>
                  </w:r>
                </w:p>
              </w:tc>
              <w:tc>
                <w:tcPr>
                  <w:tcW w:w="436" w:type="dxa"/>
                  <w:vMerge w:val="restart"/>
                  <w:noWrap w:val="0"/>
                  <w:vAlign w:val="center"/>
                </w:tcPr>
                <w:p w14:paraId="60C33BF6">
                  <w:pPr>
                    <w:adjustRightInd w:val="0"/>
                    <w:snapToGrid w:val="0"/>
                    <w:jc w:val="center"/>
                    <w:rPr>
                      <w:rFonts w:ascii="Times New Roman" w:hAnsi="Times New Roman" w:cs="Times New Roman"/>
                      <w:color w:val="auto"/>
                      <w:szCs w:val="21"/>
                    </w:rPr>
                  </w:pPr>
                  <w:r>
                    <w:rPr>
                      <w:rFonts w:hint="eastAsia" w:ascii="Times New Roman" w:hAnsi="Times New Roman" w:cs="Times New Roman"/>
                      <w:color w:val="auto"/>
                      <w:szCs w:val="21"/>
                      <w:lang w:val="en-US" w:eastAsia="zh-CN"/>
                    </w:rPr>
                    <w:t>无组织</w:t>
                  </w:r>
                </w:p>
              </w:tc>
              <w:tc>
                <w:tcPr>
                  <w:tcW w:w="765" w:type="dxa"/>
                  <w:shd w:val="clear" w:color="auto" w:fill="auto"/>
                  <w:noWrap w:val="0"/>
                  <w:vAlign w:val="center"/>
                </w:tcPr>
                <w:p w14:paraId="7AA5BF63">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0.00</w:t>
                  </w:r>
                  <w:r>
                    <w:rPr>
                      <w:rFonts w:hint="eastAsia" w:cs="Times New Roman"/>
                      <w:color w:val="auto"/>
                      <w:szCs w:val="21"/>
                      <w:lang w:val="en-US" w:eastAsia="zh-CN"/>
                    </w:rPr>
                    <w:t>9</w:t>
                  </w:r>
                </w:p>
              </w:tc>
              <w:tc>
                <w:tcPr>
                  <w:tcW w:w="824" w:type="dxa"/>
                  <w:shd w:val="clear" w:color="auto" w:fill="auto"/>
                  <w:noWrap w:val="0"/>
                  <w:vAlign w:val="center"/>
                </w:tcPr>
                <w:p w14:paraId="340834E8">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785" w:type="dxa"/>
                  <w:shd w:val="clear" w:color="auto" w:fill="auto"/>
                  <w:noWrap w:val="0"/>
                  <w:vAlign w:val="center"/>
                </w:tcPr>
                <w:p w14:paraId="2A035E17">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0.00</w:t>
                  </w:r>
                  <w:r>
                    <w:rPr>
                      <w:rFonts w:hint="eastAsia" w:cs="Times New Roman"/>
                      <w:color w:val="auto"/>
                      <w:szCs w:val="21"/>
                      <w:lang w:val="en-US" w:eastAsia="zh-CN"/>
                    </w:rPr>
                    <w:t>9</w:t>
                  </w:r>
                </w:p>
              </w:tc>
              <w:tc>
                <w:tcPr>
                  <w:tcW w:w="716" w:type="dxa"/>
                  <w:noWrap w:val="0"/>
                  <w:vAlign w:val="center"/>
                </w:tcPr>
                <w:p w14:paraId="49FA28B3">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w:t>
                  </w:r>
                </w:p>
              </w:tc>
              <w:tc>
                <w:tcPr>
                  <w:tcW w:w="830" w:type="dxa"/>
                  <w:noWrap w:val="0"/>
                  <w:vAlign w:val="center"/>
                </w:tcPr>
                <w:p w14:paraId="32CF0FA2">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861" w:type="dxa"/>
                  <w:vMerge w:val="continue"/>
                  <w:noWrap w:val="0"/>
                  <w:vAlign w:val="center"/>
                </w:tcPr>
                <w:p w14:paraId="370066CC">
                  <w:pPr>
                    <w:adjustRightInd w:val="0"/>
                    <w:snapToGrid w:val="0"/>
                    <w:jc w:val="center"/>
                    <w:rPr>
                      <w:rFonts w:hint="eastAsia" w:ascii="Times New Roman" w:hAnsi="Times New Roman" w:cs="Times New Roman"/>
                      <w:color w:val="auto"/>
                      <w:szCs w:val="21"/>
                      <w:lang w:val="en-US" w:eastAsia="zh-CN"/>
                    </w:rPr>
                  </w:pPr>
                </w:p>
              </w:tc>
              <w:tc>
                <w:tcPr>
                  <w:tcW w:w="861" w:type="dxa"/>
                  <w:noWrap w:val="0"/>
                  <w:vAlign w:val="center"/>
                </w:tcPr>
                <w:p w14:paraId="6679D0A6">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1.0</w:t>
                  </w:r>
                </w:p>
              </w:tc>
              <w:tc>
                <w:tcPr>
                  <w:tcW w:w="800" w:type="dxa"/>
                  <w:noWrap w:val="0"/>
                  <w:vAlign w:val="center"/>
                </w:tcPr>
                <w:p w14:paraId="456D4A57">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r>
            <w:tr w14:paraId="6118BF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69" w:type="dxa"/>
                  <w:vMerge w:val="continue"/>
                  <w:noWrap w:val="0"/>
                  <w:vAlign w:val="center"/>
                </w:tcPr>
                <w:p w14:paraId="5EE3BD4F">
                  <w:pPr>
                    <w:adjustRightInd w:val="0"/>
                    <w:snapToGrid w:val="0"/>
                    <w:jc w:val="center"/>
                    <w:rPr>
                      <w:rFonts w:ascii="Times New Roman" w:hAnsi="Times New Roman" w:cs="Times New Roman"/>
                      <w:color w:val="auto"/>
                      <w:szCs w:val="21"/>
                    </w:rPr>
                  </w:pPr>
                </w:p>
              </w:tc>
              <w:tc>
                <w:tcPr>
                  <w:tcW w:w="670" w:type="dxa"/>
                  <w:noWrap w:val="0"/>
                  <w:vAlign w:val="center"/>
                </w:tcPr>
                <w:p w14:paraId="2563BE4A">
                  <w:pPr>
                    <w:adjustRightInd w:val="0"/>
                    <w:snapToGrid w:val="0"/>
                    <w:jc w:val="center"/>
                    <w:rPr>
                      <w:rFonts w:ascii="Times New Roman" w:hAnsi="Times New Roman" w:cs="Times New Roman"/>
                      <w:color w:val="auto"/>
                      <w:kern w:val="2"/>
                      <w:sz w:val="21"/>
                      <w:szCs w:val="21"/>
                      <w:lang w:val="en-US" w:eastAsia="zh-CN" w:bidi="ar-SA"/>
                    </w:rPr>
                  </w:pPr>
                  <w:r>
                    <w:rPr>
                      <w:rFonts w:ascii="Times New Roman" w:hAnsi="Times New Roman" w:cs="Times New Roman"/>
                      <w:color w:val="auto"/>
                      <w:szCs w:val="21"/>
                    </w:rPr>
                    <w:t>非甲烷总烃</w:t>
                  </w:r>
                </w:p>
              </w:tc>
              <w:tc>
                <w:tcPr>
                  <w:tcW w:w="436" w:type="dxa"/>
                  <w:vMerge w:val="continue"/>
                  <w:noWrap w:val="0"/>
                  <w:vAlign w:val="center"/>
                </w:tcPr>
                <w:p w14:paraId="24CDDD1D">
                  <w:pPr>
                    <w:adjustRightInd w:val="0"/>
                    <w:snapToGrid w:val="0"/>
                    <w:jc w:val="center"/>
                    <w:rPr>
                      <w:rFonts w:ascii="Times New Roman" w:hAnsi="Times New Roman" w:cs="Times New Roman"/>
                      <w:color w:val="auto"/>
                      <w:szCs w:val="21"/>
                    </w:rPr>
                  </w:pPr>
                </w:p>
              </w:tc>
              <w:tc>
                <w:tcPr>
                  <w:tcW w:w="765" w:type="dxa"/>
                  <w:shd w:val="clear" w:color="auto" w:fill="auto"/>
                  <w:noWrap w:val="0"/>
                  <w:vAlign w:val="center"/>
                </w:tcPr>
                <w:p w14:paraId="35969203">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0.021</w:t>
                  </w:r>
                </w:p>
              </w:tc>
              <w:tc>
                <w:tcPr>
                  <w:tcW w:w="824" w:type="dxa"/>
                  <w:shd w:val="clear" w:color="auto" w:fill="auto"/>
                  <w:noWrap w:val="0"/>
                  <w:vAlign w:val="center"/>
                </w:tcPr>
                <w:p w14:paraId="1F05DD3E">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785" w:type="dxa"/>
                  <w:shd w:val="clear" w:color="auto" w:fill="auto"/>
                  <w:noWrap w:val="0"/>
                  <w:vAlign w:val="center"/>
                </w:tcPr>
                <w:p w14:paraId="55DA5BCA">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0.021</w:t>
                  </w:r>
                </w:p>
              </w:tc>
              <w:tc>
                <w:tcPr>
                  <w:tcW w:w="716" w:type="dxa"/>
                  <w:noWrap w:val="0"/>
                  <w:vAlign w:val="center"/>
                </w:tcPr>
                <w:p w14:paraId="3770BDDA">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830" w:type="dxa"/>
                  <w:noWrap w:val="0"/>
                  <w:vAlign w:val="center"/>
                </w:tcPr>
                <w:p w14:paraId="74D3E33F">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861" w:type="dxa"/>
                  <w:vMerge w:val="continue"/>
                  <w:noWrap w:val="0"/>
                  <w:vAlign w:val="center"/>
                </w:tcPr>
                <w:p w14:paraId="00812AC4">
                  <w:pPr>
                    <w:adjustRightInd w:val="0"/>
                    <w:snapToGrid w:val="0"/>
                    <w:jc w:val="center"/>
                    <w:rPr>
                      <w:rFonts w:hint="eastAsia" w:ascii="Times New Roman" w:hAnsi="Times New Roman" w:cs="Times New Roman"/>
                      <w:color w:val="auto"/>
                      <w:szCs w:val="21"/>
                      <w:lang w:val="en-US" w:eastAsia="zh-CN"/>
                    </w:rPr>
                  </w:pPr>
                </w:p>
              </w:tc>
              <w:tc>
                <w:tcPr>
                  <w:tcW w:w="861" w:type="dxa"/>
                  <w:noWrap w:val="0"/>
                  <w:vAlign w:val="center"/>
                </w:tcPr>
                <w:p w14:paraId="7282A6E0">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3.0</w:t>
                  </w:r>
                </w:p>
              </w:tc>
              <w:tc>
                <w:tcPr>
                  <w:tcW w:w="800" w:type="dxa"/>
                  <w:noWrap w:val="0"/>
                  <w:vAlign w:val="center"/>
                </w:tcPr>
                <w:p w14:paraId="0936A044">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r>
            <w:tr w14:paraId="240683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dxa"/>
                  <w:vMerge w:val="continue"/>
                  <w:noWrap w:val="0"/>
                  <w:vAlign w:val="center"/>
                </w:tcPr>
                <w:p w14:paraId="15EC3866">
                  <w:pPr>
                    <w:adjustRightInd w:val="0"/>
                    <w:snapToGrid w:val="0"/>
                    <w:jc w:val="center"/>
                    <w:rPr>
                      <w:rFonts w:ascii="Times New Roman" w:hAnsi="Times New Roman" w:cs="Times New Roman"/>
                      <w:color w:val="auto"/>
                      <w:szCs w:val="21"/>
                    </w:rPr>
                  </w:pPr>
                </w:p>
              </w:tc>
              <w:tc>
                <w:tcPr>
                  <w:tcW w:w="670" w:type="dxa"/>
                  <w:noWrap w:val="0"/>
                  <w:vAlign w:val="center"/>
                </w:tcPr>
                <w:p w14:paraId="4C5B698E">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甲苯</w:t>
                  </w:r>
                </w:p>
              </w:tc>
              <w:tc>
                <w:tcPr>
                  <w:tcW w:w="436" w:type="dxa"/>
                  <w:vMerge w:val="continue"/>
                  <w:noWrap w:val="0"/>
                  <w:vAlign w:val="center"/>
                </w:tcPr>
                <w:p w14:paraId="75FB6F7D">
                  <w:pPr>
                    <w:adjustRightInd w:val="0"/>
                    <w:snapToGrid w:val="0"/>
                    <w:jc w:val="center"/>
                    <w:rPr>
                      <w:rFonts w:ascii="Times New Roman" w:hAnsi="Times New Roman" w:cs="Times New Roman"/>
                      <w:color w:val="auto"/>
                      <w:szCs w:val="21"/>
                    </w:rPr>
                  </w:pPr>
                </w:p>
              </w:tc>
              <w:tc>
                <w:tcPr>
                  <w:tcW w:w="765" w:type="dxa"/>
                  <w:shd w:val="clear" w:color="auto" w:fill="auto"/>
                  <w:noWrap w:val="0"/>
                  <w:vAlign w:val="center"/>
                </w:tcPr>
                <w:p w14:paraId="5E55E2EA">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0.00</w:t>
                  </w:r>
                  <w:r>
                    <w:rPr>
                      <w:rFonts w:hint="eastAsia" w:cs="Times New Roman"/>
                      <w:color w:val="auto"/>
                      <w:szCs w:val="21"/>
                      <w:lang w:val="en-US" w:eastAsia="zh-CN"/>
                    </w:rPr>
                    <w:t>2</w:t>
                  </w:r>
                </w:p>
              </w:tc>
              <w:tc>
                <w:tcPr>
                  <w:tcW w:w="824" w:type="dxa"/>
                  <w:shd w:val="clear" w:color="auto" w:fill="auto"/>
                  <w:noWrap w:val="0"/>
                  <w:vAlign w:val="center"/>
                </w:tcPr>
                <w:p w14:paraId="6907FD23">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785" w:type="dxa"/>
                  <w:shd w:val="clear" w:color="auto" w:fill="auto"/>
                  <w:noWrap w:val="0"/>
                  <w:vAlign w:val="center"/>
                </w:tcPr>
                <w:p w14:paraId="2391D2F4">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0.00</w:t>
                  </w:r>
                  <w:r>
                    <w:rPr>
                      <w:rFonts w:hint="eastAsia" w:cs="Times New Roman"/>
                      <w:color w:val="auto"/>
                      <w:szCs w:val="21"/>
                      <w:lang w:val="en-US" w:eastAsia="zh-CN"/>
                    </w:rPr>
                    <w:t>2</w:t>
                  </w:r>
                </w:p>
              </w:tc>
              <w:tc>
                <w:tcPr>
                  <w:tcW w:w="716" w:type="dxa"/>
                  <w:noWrap w:val="0"/>
                  <w:vAlign w:val="center"/>
                </w:tcPr>
                <w:p w14:paraId="3609BEA1">
                  <w:pPr>
                    <w:adjustRightInd w:val="0"/>
                    <w:snapToGrid w:val="0"/>
                    <w:jc w:val="center"/>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830" w:type="dxa"/>
                  <w:noWrap w:val="0"/>
                  <w:vAlign w:val="center"/>
                </w:tcPr>
                <w:p w14:paraId="2E61583B">
                  <w:pPr>
                    <w:adjustRightInd w:val="0"/>
                    <w:snapToGrid w:val="0"/>
                    <w:jc w:val="center"/>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861" w:type="dxa"/>
                  <w:vMerge w:val="continue"/>
                  <w:noWrap w:val="0"/>
                  <w:vAlign w:val="center"/>
                </w:tcPr>
                <w:p w14:paraId="35C100E6">
                  <w:pPr>
                    <w:adjustRightInd w:val="0"/>
                    <w:snapToGrid w:val="0"/>
                    <w:jc w:val="center"/>
                    <w:rPr>
                      <w:rFonts w:hint="eastAsia" w:ascii="Times New Roman" w:hAnsi="Times New Roman" w:cs="Times New Roman"/>
                      <w:color w:val="auto"/>
                      <w:szCs w:val="21"/>
                      <w:lang w:val="en-US" w:eastAsia="zh-CN"/>
                    </w:rPr>
                  </w:pPr>
                </w:p>
              </w:tc>
              <w:tc>
                <w:tcPr>
                  <w:tcW w:w="861" w:type="dxa"/>
                  <w:noWrap w:val="0"/>
                  <w:vAlign w:val="center"/>
                </w:tcPr>
                <w:p w14:paraId="5FB844F1">
                  <w:pPr>
                    <w:adjustRightInd w:val="0"/>
                    <w:snapToGrid w:val="0"/>
                    <w:jc w:val="center"/>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0.3</w:t>
                  </w:r>
                </w:p>
              </w:tc>
              <w:tc>
                <w:tcPr>
                  <w:tcW w:w="800" w:type="dxa"/>
                  <w:noWrap w:val="0"/>
                  <w:vAlign w:val="center"/>
                </w:tcPr>
                <w:p w14:paraId="2A382E0B">
                  <w:pPr>
                    <w:adjustRightInd w:val="0"/>
                    <w:snapToGrid w:val="0"/>
                    <w:jc w:val="center"/>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r>
            <w:tr w14:paraId="107F83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69" w:type="dxa"/>
                  <w:vMerge w:val="continue"/>
                  <w:noWrap w:val="0"/>
                  <w:vAlign w:val="center"/>
                </w:tcPr>
                <w:p w14:paraId="2AE31938">
                  <w:pPr>
                    <w:adjustRightInd w:val="0"/>
                    <w:snapToGrid w:val="0"/>
                    <w:jc w:val="center"/>
                    <w:rPr>
                      <w:rFonts w:ascii="Times New Roman" w:hAnsi="Times New Roman" w:cs="Times New Roman"/>
                      <w:color w:val="auto"/>
                      <w:szCs w:val="21"/>
                    </w:rPr>
                  </w:pPr>
                </w:p>
              </w:tc>
              <w:tc>
                <w:tcPr>
                  <w:tcW w:w="670" w:type="dxa"/>
                  <w:noWrap w:val="0"/>
                  <w:vAlign w:val="center"/>
                </w:tcPr>
                <w:p w14:paraId="0123DFD3">
                  <w:pPr>
                    <w:adjustRightInd w:val="0"/>
                    <w:snapToGrid w:val="0"/>
                    <w:jc w:val="center"/>
                    <w:rPr>
                      <w:rFonts w:ascii="Times New Roman" w:hAnsi="Times New Roman" w:cs="Times New Roman"/>
                      <w:color w:val="auto"/>
                      <w:kern w:val="2"/>
                      <w:sz w:val="21"/>
                      <w:szCs w:val="21"/>
                      <w:lang w:val="en-US" w:eastAsia="zh-CN" w:bidi="ar-SA"/>
                    </w:rPr>
                  </w:pPr>
                  <w:r>
                    <w:rPr>
                      <w:rFonts w:ascii="Times New Roman" w:hAnsi="Times New Roman" w:cs="Times New Roman"/>
                      <w:color w:val="auto"/>
                      <w:szCs w:val="21"/>
                    </w:rPr>
                    <w:t>二甲苯</w:t>
                  </w:r>
                </w:p>
              </w:tc>
              <w:tc>
                <w:tcPr>
                  <w:tcW w:w="436" w:type="dxa"/>
                  <w:vMerge w:val="continue"/>
                  <w:noWrap w:val="0"/>
                  <w:vAlign w:val="center"/>
                </w:tcPr>
                <w:p w14:paraId="40D445A8">
                  <w:pPr>
                    <w:adjustRightInd w:val="0"/>
                    <w:snapToGrid w:val="0"/>
                    <w:jc w:val="center"/>
                    <w:rPr>
                      <w:rFonts w:ascii="Times New Roman" w:hAnsi="Times New Roman" w:cs="Times New Roman"/>
                      <w:color w:val="auto"/>
                      <w:szCs w:val="21"/>
                    </w:rPr>
                  </w:pPr>
                </w:p>
              </w:tc>
              <w:tc>
                <w:tcPr>
                  <w:tcW w:w="765" w:type="dxa"/>
                  <w:noWrap w:val="0"/>
                  <w:vAlign w:val="center"/>
                </w:tcPr>
                <w:p w14:paraId="176D6EAB">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w:t>
                  </w:r>
                </w:p>
              </w:tc>
              <w:tc>
                <w:tcPr>
                  <w:tcW w:w="824" w:type="dxa"/>
                  <w:noWrap w:val="0"/>
                  <w:vAlign w:val="center"/>
                </w:tcPr>
                <w:p w14:paraId="6E9633D7">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785" w:type="dxa"/>
                  <w:noWrap w:val="0"/>
                  <w:vAlign w:val="center"/>
                </w:tcPr>
                <w:p w14:paraId="770A1E8C">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w:t>
                  </w:r>
                </w:p>
              </w:tc>
              <w:tc>
                <w:tcPr>
                  <w:tcW w:w="716" w:type="dxa"/>
                  <w:noWrap w:val="0"/>
                  <w:vAlign w:val="center"/>
                </w:tcPr>
                <w:p w14:paraId="3266B864">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830" w:type="dxa"/>
                  <w:noWrap w:val="0"/>
                  <w:vAlign w:val="center"/>
                </w:tcPr>
                <w:p w14:paraId="1BE9EAA9">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861" w:type="dxa"/>
                  <w:vMerge w:val="continue"/>
                  <w:noWrap w:val="0"/>
                  <w:vAlign w:val="center"/>
                </w:tcPr>
                <w:p w14:paraId="57135C17">
                  <w:pPr>
                    <w:adjustRightInd w:val="0"/>
                    <w:snapToGrid w:val="0"/>
                    <w:jc w:val="center"/>
                    <w:rPr>
                      <w:rFonts w:hint="eastAsia" w:ascii="Times New Roman" w:hAnsi="Times New Roman" w:cs="Times New Roman"/>
                      <w:color w:val="auto"/>
                      <w:szCs w:val="21"/>
                      <w:lang w:val="en-US" w:eastAsia="zh-CN"/>
                    </w:rPr>
                  </w:pPr>
                </w:p>
              </w:tc>
              <w:tc>
                <w:tcPr>
                  <w:tcW w:w="861" w:type="dxa"/>
                  <w:noWrap w:val="0"/>
                  <w:vAlign w:val="center"/>
                </w:tcPr>
                <w:p w14:paraId="5DD5966E">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0.3</w:t>
                  </w:r>
                </w:p>
              </w:tc>
              <w:tc>
                <w:tcPr>
                  <w:tcW w:w="800" w:type="dxa"/>
                  <w:noWrap w:val="0"/>
                  <w:vAlign w:val="center"/>
                </w:tcPr>
                <w:p w14:paraId="581CB296">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r>
            <w:tr w14:paraId="0F5259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69" w:type="dxa"/>
                  <w:vMerge w:val="restart"/>
                  <w:noWrap w:val="0"/>
                  <w:vAlign w:val="center"/>
                </w:tcPr>
                <w:p w14:paraId="4ABC664B">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DA003</w:t>
                  </w:r>
                </w:p>
              </w:tc>
              <w:tc>
                <w:tcPr>
                  <w:tcW w:w="670" w:type="dxa"/>
                  <w:noWrap w:val="0"/>
                  <w:vAlign w:val="center"/>
                </w:tcPr>
                <w:p w14:paraId="094ECF5E">
                  <w:pPr>
                    <w:adjustRightInd w:val="0"/>
                    <w:snapToGrid w:val="0"/>
                    <w:jc w:val="center"/>
                    <w:rPr>
                      <w:rFonts w:ascii="Times New Roman" w:hAnsi="Times New Roman" w:cs="Times New Roman"/>
                      <w:color w:val="auto"/>
                      <w:kern w:val="2"/>
                      <w:sz w:val="21"/>
                      <w:szCs w:val="21"/>
                      <w:lang w:val="en-US" w:eastAsia="zh-CN" w:bidi="ar-SA"/>
                    </w:rPr>
                  </w:pPr>
                  <w:r>
                    <w:rPr>
                      <w:rFonts w:ascii="Times New Roman" w:hAnsi="Times New Roman" w:cs="Times New Roman"/>
                      <w:color w:val="auto"/>
                      <w:szCs w:val="21"/>
                    </w:rPr>
                    <w:t>漆雾</w:t>
                  </w:r>
                </w:p>
              </w:tc>
              <w:tc>
                <w:tcPr>
                  <w:tcW w:w="436" w:type="dxa"/>
                  <w:vMerge w:val="restart"/>
                  <w:noWrap w:val="0"/>
                  <w:vAlign w:val="center"/>
                </w:tcPr>
                <w:p w14:paraId="32F048D7">
                  <w:pPr>
                    <w:adjustRightInd w:val="0"/>
                    <w:snapToGrid w:val="0"/>
                    <w:jc w:val="center"/>
                    <w:rPr>
                      <w:rFonts w:ascii="Times New Roman" w:hAnsi="Times New Roman" w:cs="Times New Roman"/>
                      <w:color w:val="auto"/>
                      <w:szCs w:val="21"/>
                    </w:rPr>
                  </w:pPr>
                  <w:r>
                    <w:rPr>
                      <w:rFonts w:ascii="Times New Roman" w:hAnsi="Times New Roman" w:cs="Times New Roman"/>
                      <w:color w:val="auto"/>
                      <w:szCs w:val="21"/>
                    </w:rPr>
                    <w:t>有组织</w:t>
                  </w:r>
                </w:p>
              </w:tc>
              <w:tc>
                <w:tcPr>
                  <w:tcW w:w="765" w:type="dxa"/>
                  <w:noWrap w:val="0"/>
                  <w:vAlign w:val="center"/>
                </w:tcPr>
                <w:p w14:paraId="5E800742">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334</w:t>
                  </w:r>
                </w:p>
              </w:tc>
              <w:tc>
                <w:tcPr>
                  <w:tcW w:w="824" w:type="dxa"/>
                  <w:noWrap w:val="0"/>
                  <w:vAlign w:val="center"/>
                </w:tcPr>
                <w:p w14:paraId="516C5ADE">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w:t>
                  </w:r>
                  <w:r>
                    <w:rPr>
                      <w:rFonts w:hint="eastAsia" w:cs="Times New Roman"/>
                      <w:color w:val="auto"/>
                      <w:szCs w:val="21"/>
                      <w:lang w:val="en-US" w:eastAsia="zh-CN"/>
                    </w:rPr>
                    <w:t>38</w:t>
                  </w:r>
                </w:p>
              </w:tc>
              <w:tc>
                <w:tcPr>
                  <w:tcW w:w="785" w:type="dxa"/>
                  <w:noWrap w:val="0"/>
                  <w:vAlign w:val="center"/>
                </w:tcPr>
                <w:p w14:paraId="5FD13204">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0.0</w:t>
                  </w:r>
                  <w:r>
                    <w:rPr>
                      <w:rFonts w:hint="eastAsia" w:cs="Times New Roman"/>
                      <w:color w:val="auto"/>
                      <w:szCs w:val="21"/>
                      <w:lang w:val="en-US" w:eastAsia="zh-CN"/>
                    </w:rPr>
                    <w:t>5</w:t>
                  </w:r>
                </w:p>
              </w:tc>
              <w:tc>
                <w:tcPr>
                  <w:tcW w:w="716" w:type="dxa"/>
                  <w:noWrap w:val="0"/>
                  <w:vAlign w:val="center"/>
                </w:tcPr>
                <w:p w14:paraId="190BFE8C">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6</w:t>
                  </w:r>
                </w:p>
              </w:tc>
              <w:tc>
                <w:tcPr>
                  <w:tcW w:w="830" w:type="dxa"/>
                  <w:noWrap w:val="0"/>
                  <w:vAlign w:val="center"/>
                </w:tcPr>
                <w:p w14:paraId="351FA351">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2.9</w:t>
                  </w:r>
                </w:p>
              </w:tc>
              <w:tc>
                <w:tcPr>
                  <w:tcW w:w="861" w:type="dxa"/>
                  <w:vMerge w:val="restart"/>
                  <w:noWrap w:val="0"/>
                  <w:vAlign w:val="center"/>
                </w:tcPr>
                <w:p w14:paraId="5CC516A5">
                  <w:pPr>
                    <w:adjustRightInd w:val="0"/>
                    <w:snapToGrid w:val="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50000</w:t>
                  </w:r>
                </w:p>
              </w:tc>
              <w:tc>
                <w:tcPr>
                  <w:tcW w:w="861" w:type="dxa"/>
                  <w:noWrap w:val="0"/>
                  <w:vAlign w:val="center"/>
                </w:tcPr>
                <w:p w14:paraId="6C7CA53E">
                  <w:pPr>
                    <w:adjustRightInd w:val="0"/>
                    <w:snapToGrid w:val="0"/>
                    <w:jc w:val="center"/>
                    <w:rPr>
                      <w:rFonts w:hint="eastAsia" w:ascii="Times New Roman" w:hAnsi="Times New Roman" w:cs="Times New Roman"/>
                      <w:color w:val="auto"/>
                      <w:kern w:val="2"/>
                      <w:sz w:val="21"/>
                      <w:szCs w:val="21"/>
                      <w:lang w:val="en-US" w:eastAsia="zh-CN" w:bidi="ar-SA"/>
                    </w:rPr>
                  </w:pPr>
                  <w:r>
                    <w:rPr>
                      <w:rFonts w:ascii="Times New Roman" w:hAnsi="Times New Roman" w:cs="Times New Roman"/>
                      <w:color w:val="auto"/>
                      <w:szCs w:val="21"/>
                    </w:rPr>
                    <w:t>120</w:t>
                  </w:r>
                </w:p>
              </w:tc>
              <w:tc>
                <w:tcPr>
                  <w:tcW w:w="800" w:type="dxa"/>
                  <w:noWrap w:val="0"/>
                  <w:vAlign w:val="center"/>
                </w:tcPr>
                <w:p w14:paraId="3A40A4B9">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3.98</w:t>
                  </w:r>
                </w:p>
              </w:tc>
            </w:tr>
            <w:tr w14:paraId="3C868C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69" w:type="dxa"/>
                  <w:vMerge w:val="continue"/>
                  <w:noWrap w:val="0"/>
                  <w:vAlign w:val="center"/>
                </w:tcPr>
                <w:p w14:paraId="52BF3F4A">
                  <w:pPr>
                    <w:adjustRightInd w:val="0"/>
                    <w:snapToGrid w:val="0"/>
                    <w:jc w:val="center"/>
                    <w:rPr>
                      <w:rFonts w:ascii="Times New Roman" w:hAnsi="Times New Roman" w:cs="Times New Roman"/>
                      <w:color w:val="auto"/>
                      <w:szCs w:val="21"/>
                    </w:rPr>
                  </w:pPr>
                </w:p>
              </w:tc>
              <w:tc>
                <w:tcPr>
                  <w:tcW w:w="670" w:type="dxa"/>
                  <w:noWrap w:val="0"/>
                  <w:vAlign w:val="center"/>
                </w:tcPr>
                <w:p w14:paraId="263F0FC2">
                  <w:pPr>
                    <w:adjustRightInd w:val="0"/>
                    <w:snapToGrid w:val="0"/>
                    <w:jc w:val="center"/>
                    <w:rPr>
                      <w:rFonts w:ascii="Times New Roman" w:hAnsi="Times New Roman" w:cs="Times New Roman"/>
                      <w:color w:val="auto"/>
                      <w:kern w:val="2"/>
                      <w:sz w:val="21"/>
                      <w:szCs w:val="21"/>
                      <w:lang w:val="en-US" w:eastAsia="zh-CN" w:bidi="ar-SA"/>
                    </w:rPr>
                  </w:pPr>
                  <w:r>
                    <w:rPr>
                      <w:rFonts w:ascii="Times New Roman" w:hAnsi="Times New Roman" w:cs="Times New Roman"/>
                      <w:color w:val="auto"/>
                      <w:szCs w:val="21"/>
                    </w:rPr>
                    <w:t>非甲烷总烃</w:t>
                  </w:r>
                </w:p>
              </w:tc>
              <w:tc>
                <w:tcPr>
                  <w:tcW w:w="436" w:type="dxa"/>
                  <w:vMerge w:val="continue"/>
                  <w:noWrap w:val="0"/>
                  <w:vAlign w:val="center"/>
                </w:tcPr>
                <w:p w14:paraId="67A90E37">
                  <w:pPr>
                    <w:adjustRightInd w:val="0"/>
                    <w:snapToGrid w:val="0"/>
                    <w:jc w:val="center"/>
                    <w:rPr>
                      <w:rFonts w:ascii="Times New Roman" w:hAnsi="Times New Roman" w:cs="Times New Roman"/>
                      <w:color w:val="auto"/>
                      <w:szCs w:val="21"/>
                    </w:rPr>
                  </w:pPr>
                </w:p>
              </w:tc>
              <w:tc>
                <w:tcPr>
                  <w:tcW w:w="765" w:type="dxa"/>
                  <w:shd w:val="clear" w:color="auto" w:fill="auto"/>
                  <w:noWrap w:val="0"/>
                  <w:vAlign w:val="center"/>
                </w:tcPr>
                <w:p w14:paraId="504B1D09">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865</w:t>
                  </w:r>
                </w:p>
              </w:tc>
              <w:tc>
                <w:tcPr>
                  <w:tcW w:w="824" w:type="dxa"/>
                  <w:shd w:val="clear" w:color="auto" w:fill="auto"/>
                  <w:noWrap w:val="0"/>
                  <w:vAlign w:val="center"/>
                </w:tcPr>
                <w:p w14:paraId="167ABFA0">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1.122</w:t>
                  </w:r>
                </w:p>
              </w:tc>
              <w:tc>
                <w:tcPr>
                  <w:tcW w:w="785" w:type="dxa"/>
                  <w:shd w:val="clear" w:color="auto" w:fill="auto"/>
                  <w:noWrap w:val="0"/>
                  <w:vAlign w:val="center"/>
                </w:tcPr>
                <w:p w14:paraId="189C30CA">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0.</w:t>
                  </w:r>
                  <w:r>
                    <w:rPr>
                      <w:rFonts w:hint="eastAsia" w:cs="Times New Roman"/>
                      <w:color w:val="auto"/>
                      <w:szCs w:val="21"/>
                      <w:lang w:val="en-US" w:eastAsia="zh-CN"/>
                    </w:rPr>
                    <w:t>554</w:t>
                  </w:r>
                </w:p>
              </w:tc>
              <w:tc>
                <w:tcPr>
                  <w:tcW w:w="716" w:type="dxa"/>
                  <w:shd w:val="clear" w:color="auto" w:fill="auto"/>
                  <w:noWrap w:val="0"/>
                  <w:vAlign w:val="center"/>
                </w:tcPr>
                <w:p w14:paraId="52E50ECD">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721</w:t>
                  </w:r>
                </w:p>
              </w:tc>
              <w:tc>
                <w:tcPr>
                  <w:tcW w:w="830" w:type="dxa"/>
                  <w:shd w:val="clear" w:color="auto" w:fill="auto"/>
                  <w:noWrap w:val="0"/>
                  <w:vAlign w:val="center"/>
                </w:tcPr>
                <w:p w14:paraId="342EA60C">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14.4</w:t>
                  </w:r>
                </w:p>
              </w:tc>
              <w:tc>
                <w:tcPr>
                  <w:tcW w:w="861" w:type="dxa"/>
                  <w:vMerge w:val="continue"/>
                  <w:noWrap w:val="0"/>
                  <w:vAlign w:val="center"/>
                </w:tcPr>
                <w:p w14:paraId="2C0644B5">
                  <w:pPr>
                    <w:adjustRightInd w:val="0"/>
                    <w:snapToGrid w:val="0"/>
                    <w:jc w:val="center"/>
                    <w:rPr>
                      <w:rFonts w:hint="eastAsia" w:ascii="Times New Roman" w:hAnsi="Times New Roman" w:eastAsia="宋体" w:cs="Times New Roman"/>
                      <w:color w:val="auto"/>
                      <w:szCs w:val="21"/>
                      <w:lang w:val="en-US" w:eastAsia="zh-CN"/>
                    </w:rPr>
                  </w:pPr>
                </w:p>
              </w:tc>
              <w:tc>
                <w:tcPr>
                  <w:tcW w:w="861" w:type="dxa"/>
                  <w:noWrap w:val="0"/>
                  <w:vAlign w:val="center"/>
                </w:tcPr>
                <w:p w14:paraId="455798A1">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50</w:t>
                  </w:r>
                </w:p>
              </w:tc>
              <w:tc>
                <w:tcPr>
                  <w:tcW w:w="800" w:type="dxa"/>
                  <w:noWrap w:val="0"/>
                  <w:vAlign w:val="center"/>
                </w:tcPr>
                <w:p w14:paraId="1DF3D4DA">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r>
            <w:tr w14:paraId="1CF5AC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dxa"/>
                  <w:vMerge w:val="continue"/>
                  <w:noWrap w:val="0"/>
                  <w:vAlign w:val="center"/>
                </w:tcPr>
                <w:p w14:paraId="2ED8B74D">
                  <w:pPr>
                    <w:adjustRightInd w:val="0"/>
                    <w:snapToGrid w:val="0"/>
                    <w:jc w:val="center"/>
                    <w:rPr>
                      <w:rFonts w:ascii="Times New Roman" w:hAnsi="Times New Roman" w:cs="Times New Roman"/>
                      <w:color w:val="auto"/>
                      <w:szCs w:val="21"/>
                    </w:rPr>
                  </w:pPr>
                </w:p>
              </w:tc>
              <w:tc>
                <w:tcPr>
                  <w:tcW w:w="670" w:type="dxa"/>
                  <w:noWrap w:val="0"/>
                  <w:vAlign w:val="center"/>
                </w:tcPr>
                <w:p w14:paraId="21521D5F">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甲苯</w:t>
                  </w:r>
                </w:p>
              </w:tc>
              <w:tc>
                <w:tcPr>
                  <w:tcW w:w="436" w:type="dxa"/>
                  <w:vMerge w:val="continue"/>
                  <w:noWrap w:val="0"/>
                  <w:vAlign w:val="center"/>
                </w:tcPr>
                <w:p w14:paraId="7D511E97">
                  <w:pPr>
                    <w:adjustRightInd w:val="0"/>
                    <w:snapToGrid w:val="0"/>
                    <w:jc w:val="center"/>
                    <w:rPr>
                      <w:rFonts w:ascii="Times New Roman" w:hAnsi="Times New Roman" w:cs="Times New Roman"/>
                      <w:color w:val="auto"/>
                      <w:szCs w:val="21"/>
                    </w:rPr>
                  </w:pPr>
                </w:p>
              </w:tc>
              <w:tc>
                <w:tcPr>
                  <w:tcW w:w="765" w:type="dxa"/>
                  <w:shd w:val="clear" w:color="auto" w:fill="auto"/>
                  <w:noWrap w:val="0"/>
                  <w:vAlign w:val="center"/>
                </w:tcPr>
                <w:p w14:paraId="39A99AE5">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0.0</w:t>
                  </w:r>
                  <w:r>
                    <w:rPr>
                      <w:rFonts w:hint="eastAsia" w:cs="Times New Roman"/>
                      <w:color w:val="auto"/>
                      <w:szCs w:val="21"/>
                      <w:lang w:val="en-US" w:eastAsia="zh-CN"/>
                    </w:rPr>
                    <w:t>62</w:t>
                  </w:r>
                </w:p>
              </w:tc>
              <w:tc>
                <w:tcPr>
                  <w:tcW w:w="824" w:type="dxa"/>
                  <w:shd w:val="clear" w:color="auto" w:fill="auto"/>
                  <w:noWrap w:val="0"/>
                  <w:vAlign w:val="center"/>
                </w:tcPr>
                <w:p w14:paraId="7869F270">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79</w:t>
                  </w:r>
                </w:p>
              </w:tc>
              <w:tc>
                <w:tcPr>
                  <w:tcW w:w="785" w:type="dxa"/>
                  <w:shd w:val="clear" w:color="auto" w:fill="auto"/>
                  <w:noWrap w:val="0"/>
                  <w:vAlign w:val="center"/>
                </w:tcPr>
                <w:p w14:paraId="65376F2E">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w:t>
                  </w:r>
                  <w:r>
                    <w:rPr>
                      <w:rFonts w:hint="eastAsia" w:cs="Times New Roman"/>
                      <w:color w:val="auto"/>
                      <w:szCs w:val="21"/>
                      <w:lang w:val="en-US" w:eastAsia="zh-CN"/>
                    </w:rPr>
                    <w:t>04</w:t>
                  </w:r>
                </w:p>
              </w:tc>
              <w:tc>
                <w:tcPr>
                  <w:tcW w:w="716" w:type="dxa"/>
                  <w:shd w:val="clear" w:color="auto" w:fill="auto"/>
                  <w:noWrap w:val="0"/>
                  <w:vAlign w:val="center"/>
                </w:tcPr>
                <w:p w14:paraId="392D9C08">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5</w:t>
                  </w:r>
                </w:p>
              </w:tc>
              <w:tc>
                <w:tcPr>
                  <w:tcW w:w="830" w:type="dxa"/>
                  <w:shd w:val="clear" w:color="auto" w:fill="auto"/>
                  <w:noWrap w:val="0"/>
                  <w:vAlign w:val="center"/>
                </w:tcPr>
                <w:p w14:paraId="5D9EC6AD">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1.0</w:t>
                  </w:r>
                </w:p>
              </w:tc>
              <w:tc>
                <w:tcPr>
                  <w:tcW w:w="861" w:type="dxa"/>
                  <w:vMerge w:val="continue"/>
                  <w:noWrap w:val="0"/>
                  <w:vAlign w:val="center"/>
                </w:tcPr>
                <w:p w14:paraId="71882991">
                  <w:pPr>
                    <w:adjustRightInd w:val="0"/>
                    <w:snapToGrid w:val="0"/>
                    <w:jc w:val="center"/>
                    <w:rPr>
                      <w:rFonts w:hint="eastAsia" w:ascii="Times New Roman" w:hAnsi="Times New Roman" w:cs="Times New Roman"/>
                      <w:color w:val="auto"/>
                      <w:szCs w:val="21"/>
                      <w:lang w:val="en-US" w:eastAsia="zh-CN"/>
                    </w:rPr>
                  </w:pPr>
                </w:p>
              </w:tc>
              <w:tc>
                <w:tcPr>
                  <w:tcW w:w="861" w:type="dxa"/>
                  <w:noWrap w:val="0"/>
                  <w:vAlign w:val="center"/>
                </w:tcPr>
                <w:p w14:paraId="2D6CA2F8">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5</w:t>
                  </w:r>
                </w:p>
              </w:tc>
              <w:tc>
                <w:tcPr>
                  <w:tcW w:w="800" w:type="dxa"/>
                  <w:noWrap w:val="0"/>
                  <w:vAlign w:val="center"/>
                </w:tcPr>
                <w:p w14:paraId="5816F6AB">
                  <w:pPr>
                    <w:adjustRightInd w:val="0"/>
                    <w:snapToGrid w:val="0"/>
                    <w:jc w:val="center"/>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r>
            <w:tr w14:paraId="5EFB12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69" w:type="dxa"/>
                  <w:vMerge w:val="continue"/>
                  <w:noWrap w:val="0"/>
                  <w:vAlign w:val="center"/>
                </w:tcPr>
                <w:p w14:paraId="111973B8">
                  <w:pPr>
                    <w:adjustRightInd w:val="0"/>
                    <w:snapToGrid w:val="0"/>
                    <w:jc w:val="center"/>
                    <w:rPr>
                      <w:rFonts w:ascii="Times New Roman" w:hAnsi="Times New Roman" w:cs="Times New Roman"/>
                      <w:color w:val="auto"/>
                      <w:szCs w:val="21"/>
                    </w:rPr>
                  </w:pPr>
                </w:p>
              </w:tc>
              <w:tc>
                <w:tcPr>
                  <w:tcW w:w="670" w:type="dxa"/>
                  <w:noWrap w:val="0"/>
                  <w:vAlign w:val="center"/>
                </w:tcPr>
                <w:p w14:paraId="0DCD9246">
                  <w:pPr>
                    <w:adjustRightInd w:val="0"/>
                    <w:snapToGrid w:val="0"/>
                    <w:jc w:val="center"/>
                    <w:rPr>
                      <w:rFonts w:ascii="Times New Roman" w:hAnsi="Times New Roman" w:cs="Times New Roman"/>
                      <w:color w:val="auto"/>
                      <w:kern w:val="2"/>
                      <w:sz w:val="21"/>
                      <w:szCs w:val="21"/>
                      <w:lang w:val="en-US" w:eastAsia="zh-CN" w:bidi="ar-SA"/>
                    </w:rPr>
                  </w:pPr>
                  <w:r>
                    <w:rPr>
                      <w:rFonts w:ascii="Times New Roman" w:hAnsi="Times New Roman" w:cs="Times New Roman"/>
                      <w:color w:val="auto"/>
                      <w:szCs w:val="21"/>
                    </w:rPr>
                    <w:t>二甲苯</w:t>
                  </w:r>
                </w:p>
              </w:tc>
              <w:tc>
                <w:tcPr>
                  <w:tcW w:w="436" w:type="dxa"/>
                  <w:vMerge w:val="continue"/>
                  <w:noWrap w:val="0"/>
                  <w:vAlign w:val="center"/>
                </w:tcPr>
                <w:p w14:paraId="2C34DB16">
                  <w:pPr>
                    <w:adjustRightInd w:val="0"/>
                    <w:snapToGrid w:val="0"/>
                    <w:jc w:val="center"/>
                    <w:rPr>
                      <w:rFonts w:ascii="Times New Roman" w:hAnsi="Times New Roman" w:cs="Times New Roman"/>
                      <w:color w:val="auto"/>
                      <w:szCs w:val="21"/>
                    </w:rPr>
                  </w:pPr>
                </w:p>
              </w:tc>
              <w:tc>
                <w:tcPr>
                  <w:tcW w:w="765" w:type="dxa"/>
                  <w:shd w:val="clear" w:color="auto" w:fill="auto"/>
                  <w:noWrap w:val="0"/>
                  <w:vAlign w:val="center"/>
                </w:tcPr>
                <w:p w14:paraId="7B69D854">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25</w:t>
                  </w:r>
                </w:p>
              </w:tc>
              <w:tc>
                <w:tcPr>
                  <w:tcW w:w="824" w:type="dxa"/>
                  <w:shd w:val="clear" w:color="auto" w:fill="auto"/>
                  <w:noWrap w:val="0"/>
                  <w:vAlign w:val="center"/>
                </w:tcPr>
                <w:p w14:paraId="0D91CDD6">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4</w:t>
                  </w:r>
                </w:p>
              </w:tc>
              <w:tc>
                <w:tcPr>
                  <w:tcW w:w="785" w:type="dxa"/>
                  <w:shd w:val="clear" w:color="auto" w:fill="auto"/>
                  <w:noWrap w:val="0"/>
                  <w:vAlign w:val="center"/>
                </w:tcPr>
                <w:p w14:paraId="50DC7BE0">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0.0</w:t>
                  </w:r>
                  <w:r>
                    <w:rPr>
                      <w:rFonts w:hint="eastAsia" w:cs="Times New Roman"/>
                      <w:color w:val="auto"/>
                      <w:szCs w:val="21"/>
                      <w:lang w:val="en-US" w:eastAsia="zh-CN"/>
                    </w:rPr>
                    <w:t>16</w:t>
                  </w:r>
                </w:p>
              </w:tc>
              <w:tc>
                <w:tcPr>
                  <w:tcW w:w="716" w:type="dxa"/>
                  <w:shd w:val="clear" w:color="auto" w:fill="auto"/>
                  <w:noWrap w:val="0"/>
                  <w:vAlign w:val="center"/>
                </w:tcPr>
                <w:p w14:paraId="7E3D4766">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14</w:t>
                  </w:r>
                </w:p>
              </w:tc>
              <w:tc>
                <w:tcPr>
                  <w:tcW w:w="830" w:type="dxa"/>
                  <w:shd w:val="clear" w:color="auto" w:fill="auto"/>
                  <w:noWrap w:val="0"/>
                  <w:vAlign w:val="center"/>
                </w:tcPr>
                <w:p w14:paraId="5E4D0A3D">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3</w:t>
                  </w:r>
                </w:p>
              </w:tc>
              <w:tc>
                <w:tcPr>
                  <w:tcW w:w="861" w:type="dxa"/>
                  <w:vMerge w:val="continue"/>
                  <w:noWrap w:val="0"/>
                  <w:vAlign w:val="center"/>
                </w:tcPr>
                <w:p w14:paraId="60162C4F">
                  <w:pPr>
                    <w:adjustRightInd w:val="0"/>
                    <w:snapToGrid w:val="0"/>
                    <w:jc w:val="center"/>
                    <w:rPr>
                      <w:rFonts w:ascii="Times New Roman" w:hAnsi="Times New Roman" w:cs="Times New Roman"/>
                      <w:color w:val="auto"/>
                      <w:szCs w:val="21"/>
                    </w:rPr>
                  </w:pPr>
                </w:p>
              </w:tc>
              <w:tc>
                <w:tcPr>
                  <w:tcW w:w="861" w:type="dxa"/>
                  <w:noWrap w:val="0"/>
                  <w:vAlign w:val="center"/>
                </w:tcPr>
                <w:p w14:paraId="35A31094">
                  <w:pPr>
                    <w:adjustRightInd w:val="0"/>
                    <w:snapToGrid w:val="0"/>
                    <w:jc w:val="center"/>
                    <w:rPr>
                      <w:rFonts w:hint="eastAsia" w:ascii="Times New Roman" w:hAnsi="Times New Roman" w:cs="Times New Roman"/>
                      <w:color w:val="auto"/>
                      <w:kern w:val="2"/>
                      <w:sz w:val="21"/>
                      <w:szCs w:val="21"/>
                      <w:lang w:val="en-US" w:eastAsia="zh-CN" w:bidi="ar-SA"/>
                    </w:rPr>
                  </w:pPr>
                  <w:r>
                    <w:rPr>
                      <w:rFonts w:ascii="Times New Roman" w:hAnsi="Times New Roman" w:cs="Times New Roman"/>
                      <w:color w:val="auto"/>
                      <w:szCs w:val="21"/>
                    </w:rPr>
                    <w:t>15</w:t>
                  </w:r>
                </w:p>
              </w:tc>
              <w:tc>
                <w:tcPr>
                  <w:tcW w:w="800" w:type="dxa"/>
                  <w:noWrap w:val="0"/>
                  <w:vAlign w:val="center"/>
                </w:tcPr>
                <w:p w14:paraId="68EC2CCF">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r>
            <w:tr w14:paraId="78BC4A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dxa"/>
                  <w:vMerge w:val="continue"/>
                  <w:noWrap w:val="0"/>
                  <w:vAlign w:val="center"/>
                </w:tcPr>
                <w:p w14:paraId="47A0371B">
                  <w:pPr>
                    <w:adjustRightInd w:val="0"/>
                    <w:snapToGrid w:val="0"/>
                    <w:jc w:val="center"/>
                    <w:rPr>
                      <w:rFonts w:ascii="Times New Roman" w:hAnsi="Times New Roman" w:cs="Times New Roman"/>
                      <w:color w:val="auto"/>
                      <w:szCs w:val="21"/>
                    </w:rPr>
                  </w:pPr>
                </w:p>
              </w:tc>
              <w:tc>
                <w:tcPr>
                  <w:tcW w:w="670" w:type="dxa"/>
                  <w:noWrap w:val="0"/>
                  <w:vAlign w:val="center"/>
                </w:tcPr>
                <w:p w14:paraId="6EBEB0D6">
                  <w:pPr>
                    <w:adjustRightInd w:val="0"/>
                    <w:snapToGrid w:val="0"/>
                    <w:jc w:val="center"/>
                    <w:rPr>
                      <w:rFonts w:ascii="Times New Roman" w:hAnsi="Times New Roman" w:cs="Times New Roman"/>
                      <w:color w:val="auto"/>
                      <w:kern w:val="2"/>
                      <w:sz w:val="21"/>
                      <w:szCs w:val="21"/>
                      <w:lang w:val="en-US" w:eastAsia="zh-CN" w:bidi="ar-SA"/>
                    </w:rPr>
                  </w:pPr>
                  <w:r>
                    <w:rPr>
                      <w:rFonts w:ascii="Times New Roman" w:hAnsi="Times New Roman" w:cs="Times New Roman"/>
                      <w:color w:val="auto"/>
                      <w:szCs w:val="21"/>
                    </w:rPr>
                    <w:t>漆雾</w:t>
                  </w:r>
                </w:p>
              </w:tc>
              <w:tc>
                <w:tcPr>
                  <w:tcW w:w="436" w:type="dxa"/>
                  <w:vMerge w:val="restart"/>
                  <w:noWrap w:val="0"/>
                  <w:vAlign w:val="center"/>
                </w:tcPr>
                <w:p w14:paraId="4F566585">
                  <w:pPr>
                    <w:adjustRightInd w:val="0"/>
                    <w:snapToGrid w:val="0"/>
                    <w:jc w:val="center"/>
                    <w:rPr>
                      <w:rFonts w:ascii="Times New Roman" w:hAnsi="Times New Roman" w:cs="Times New Roman"/>
                      <w:color w:val="auto"/>
                      <w:szCs w:val="21"/>
                    </w:rPr>
                  </w:pPr>
                  <w:r>
                    <w:rPr>
                      <w:rFonts w:hint="eastAsia" w:ascii="Times New Roman" w:hAnsi="Times New Roman" w:cs="Times New Roman"/>
                      <w:color w:val="auto"/>
                      <w:szCs w:val="21"/>
                      <w:lang w:val="en-US" w:eastAsia="zh-CN"/>
                    </w:rPr>
                    <w:t>无组织</w:t>
                  </w:r>
                </w:p>
              </w:tc>
              <w:tc>
                <w:tcPr>
                  <w:tcW w:w="765" w:type="dxa"/>
                  <w:noWrap w:val="0"/>
                  <w:vAlign w:val="center"/>
                </w:tcPr>
                <w:p w14:paraId="397DB16C">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18</w:t>
                  </w:r>
                </w:p>
              </w:tc>
              <w:tc>
                <w:tcPr>
                  <w:tcW w:w="824" w:type="dxa"/>
                  <w:noWrap w:val="0"/>
                  <w:vAlign w:val="center"/>
                </w:tcPr>
                <w:p w14:paraId="19067BCD">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785" w:type="dxa"/>
                  <w:noWrap w:val="0"/>
                  <w:vAlign w:val="center"/>
                </w:tcPr>
                <w:p w14:paraId="10046065">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18</w:t>
                  </w:r>
                </w:p>
              </w:tc>
              <w:tc>
                <w:tcPr>
                  <w:tcW w:w="716" w:type="dxa"/>
                  <w:noWrap w:val="0"/>
                  <w:vAlign w:val="center"/>
                </w:tcPr>
                <w:p w14:paraId="2D26166C">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830" w:type="dxa"/>
                  <w:noWrap w:val="0"/>
                  <w:vAlign w:val="center"/>
                </w:tcPr>
                <w:p w14:paraId="225A92B2">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861" w:type="dxa"/>
                  <w:vMerge w:val="continue"/>
                  <w:noWrap w:val="0"/>
                  <w:vAlign w:val="center"/>
                </w:tcPr>
                <w:p w14:paraId="131A6F62">
                  <w:pPr>
                    <w:adjustRightInd w:val="0"/>
                    <w:snapToGrid w:val="0"/>
                    <w:jc w:val="center"/>
                    <w:rPr>
                      <w:rFonts w:hint="eastAsia" w:ascii="Times New Roman" w:hAnsi="Times New Roman" w:cs="Times New Roman"/>
                      <w:color w:val="auto"/>
                      <w:szCs w:val="21"/>
                      <w:lang w:val="en-US" w:eastAsia="zh-CN"/>
                    </w:rPr>
                  </w:pPr>
                </w:p>
              </w:tc>
              <w:tc>
                <w:tcPr>
                  <w:tcW w:w="861" w:type="dxa"/>
                  <w:noWrap w:val="0"/>
                  <w:vAlign w:val="center"/>
                </w:tcPr>
                <w:p w14:paraId="48FD7A39">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1.0</w:t>
                  </w:r>
                </w:p>
              </w:tc>
              <w:tc>
                <w:tcPr>
                  <w:tcW w:w="800" w:type="dxa"/>
                  <w:noWrap w:val="0"/>
                  <w:vAlign w:val="center"/>
                </w:tcPr>
                <w:p w14:paraId="3564F896">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r>
            <w:tr w14:paraId="091326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69" w:type="dxa"/>
                  <w:vMerge w:val="continue"/>
                  <w:noWrap w:val="0"/>
                  <w:vAlign w:val="center"/>
                </w:tcPr>
                <w:p w14:paraId="1F9D699F">
                  <w:pPr>
                    <w:adjustRightInd w:val="0"/>
                    <w:snapToGrid w:val="0"/>
                    <w:jc w:val="center"/>
                    <w:rPr>
                      <w:rFonts w:ascii="Times New Roman" w:hAnsi="Times New Roman" w:cs="Times New Roman"/>
                      <w:color w:val="auto"/>
                      <w:szCs w:val="21"/>
                    </w:rPr>
                  </w:pPr>
                </w:p>
              </w:tc>
              <w:tc>
                <w:tcPr>
                  <w:tcW w:w="670" w:type="dxa"/>
                  <w:noWrap w:val="0"/>
                  <w:vAlign w:val="center"/>
                </w:tcPr>
                <w:p w14:paraId="383E8C8F">
                  <w:pPr>
                    <w:adjustRightInd w:val="0"/>
                    <w:snapToGrid w:val="0"/>
                    <w:jc w:val="center"/>
                    <w:rPr>
                      <w:rFonts w:ascii="Times New Roman" w:hAnsi="Times New Roman" w:cs="Times New Roman"/>
                      <w:color w:val="auto"/>
                      <w:kern w:val="2"/>
                      <w:sz w:val="21"/>
                      <w:szCs w:val="21"/>
                      <w:lang w:val="en-US" w:eastAsia="zh-CN" w:bidi="ar-SA"/>
                    </w:rPr>
                  </w:pPr>
                  <w:r>
                    <w:rPr>
                      <w:rFonts w:ascii="Times New Roman" w:hAnsi="Times New Roman" w:cs="Times New Roman"/>
                      <w:color w:val="auto"/>
                      <w:szCs w:val="21"/>
                    </w:rPr>
                    <w:t>非甲烷总烃</w:t>
                  </w:r>
                </w:p>
              </w:tc>
              <w:tc>
                <w:tcPr>
                  <w:tcW w:w="436" w:type="dxa"/>
                  <w:vMerge w:val="continue"/>
                  <w:noWrap w:val="0"/>
                  <w:vAlign w:val="center"/>
                </w:tcPr>
                <w:p w14:paraId="3309C975">
                  <w:pPr>
                    <w:adjustRightInd w:val="0"/>
                    <w:snapToGrid w:val="0"/>
                    <w:jc w:val="center"/>
                    <w:rPr>
                      <w:rFonts w:ascii="Times New Roman" w:hAnsi="Times New Roman" w:cs="Times New Roman"/>
                      <w:color w:val="auto"/>
                      <w:szCs w:val="21"/>
                    </w:rPr>
                  </w:pPr>
                </w:p>
              </w:tc>
              <w:tc>
                <w:tcPr>
                  <w:tcW w:w="765" w:type="dxa"/>
                  <w:shd w:val="clear" w:color="auto" w:fill="auto"/>
                  <w:noWrap w:val="0"/>
                  <w:vAlign w:val="center"/>
                </w:tcPr>
                <w:p w14:paraId="249746D8">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56</w:t>
                  </w:r>
                </w:p>
              </w:tc>
              <w:tc>
                <w:tcPr>
                  <w:tcW w:w="824" w:type="dxa"/>
                  <w:noWrap w:val="0"/>
                  <w:vAlign w:val="center"/>
                </w:tcPr>
                <w:p w14:paraId="698A2090">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785" w:type="dxa"/>
                  <w:shd w:val="clear" w:color="auto" w:fill="auto"/>
                  <w:noWrap w:val="0"/>
                  <w:vAlign w:val="center"/>
                </w:tcPr>
                <w:p w14:paraId="677684C2">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56</w:t>
                  </w:r>
                </w:p>
              </w:tc>
              <w:tc>
                <w:tcPr>
                  <w:tcW w:w="716" w:type="dxa"/>
                  <w:noWrap w:val="0"/>
                  <w:vAlign w:val="center"/>
                </w:tcPr>
                <w:p w14:paraId="54EBB4FF">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830" w:type="dxa"/>
                  <w:noWrap w:val="0"/>
                  <w:vAlign w:val="center"/>
                </w:tcPr>
                <w:p w14:paraId="0EB1896D">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861" w:type="dxa"/>
                  <w:vMerge w:val="continue"/>
                  <w:noWrap w:val="0"/>
                  <w:vAlign w:val="center"/>
                </w:tcPr>
                <w:p w14:paraId="43547B02">
                  <w:pPr>
                    <w:adjustRightInd w:val="0"/>
                    <w:snapToGrid w:val="0"/>
                    <w:jc w:val="center"/>
                    <w:rPr>
                      <w:rFonts w:hint="eastAsia" w:ascii="Times New Roman" w:hAnsi="Times New Roman" w:cs="Times New Roman"/>
                      <w:color w:val="auto"/>
                      <w:szCs w:val="21"/>
                      <w:lang w:val="en-US" w:eastAsia="zh-CN"/>
                    </w:rPr>
                  </w:pPr>
                </w:p>
              </w:tc>
              <w:tc>
                <w:tcPr>
                  <w:tcW w:w="861" w:type="dxa"/>
                  <w:noWrap w:val="0"/>
                  <w:vAlign w:val="center"/>
                </w:tcPr>
                <w:p w14:paraId="2BC519DD">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3.0</w:t>
                  </w:r>
                </w:p>
              </w:tc>
              <w:tc>
                <w:tcPr>
                  <w:tcW w:w="800" w:type="dxa"/>
                  <w:noWrap w:val="0"/>
                  <w:vAlign w:val="center"/>
                </w:tcPr>
                <w:p w14:paraId="1A9DBC2E">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r>
            <w:tr w14:paraId="7B6771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dxa"/>
                  <w:vMerge w:val="continue"/>
                  <w:noWrap w:val="0"/>
                  <w:vAlign w:val="center"/>
                </w:tcPr>
                <w:p w14:paraId="410AA471">
                  <w:pPr>
                    <w:adjustRightInd w:val="0"/>
                    <w:snapToGrid w:val="0"/>
                    <w:jc w:val="center"/>
                    <w:rPr>
                      <w:rFonts w:ascii="Times New Roman" w:hAnsi="Times New Roman" w:cs="Times New Roman"/>
                      <w:color w:val="auto"/>
                      <w:szCs w:val="21"/>
                    </w:rPr>
                  </w:pPr>
                </w:p>
              </w:tc>
              <w:tc>
                <w:tcPr>
                  <w:tcW w:w="670" w:type="dxa"/>
                  <w:noWrap w:val="0"/>
                  <w:vAlign w:val="center"/>
                </w:tcPr>
                <w:p w14:paraId="73836684">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甲苯</w:t>
                  </w:r>
                </w:p>
              </w:tc>
              <w:tc>
                <w:tcPr>
                  <w:tcW w:w="436" w:type="dxa"/>
                  <w:vMerge w:val="continue"/>
                  <w:noWrap w:val="0"/>
                  <w:vAlign w:val="center"/>
                </w:tcPr>
                <w:p w14:paraId="4106DB67">
                  <w:pPr>
                    <w:adjustRightInd w:val="0"/>
                    <w:snapToGrid w:val="0"/>
                    <w:jc w:val="center"/>
                    <w:rPr>
                      <w:rFonts w:ascii="Times New Roman" w:hAnsi="Times New Roman" w:cs="Times New Roman"/>
                      <w:color w:val="auto"/>
                      <w:szCs w:val="21"/>
                    </w:rPr>
                  </w:pPr>
                </w:p>
              </w:tc>
              <w:tc>
                <w:tcPr>
                  <w:tcW w:w="765" w:type="dxa"/>
                  <w:shd w:val="clear" w:color="auto" w:fill="auto"/>
                  <w:noWrap w:val="0"/>
                  <w:vAlign w:val="center"/>
                </w:tcPr>
                <w:p w14:paraId="583E8907">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0.00</w:t>
                  </w:r>
                  <w:r>
                    <w:rPr>
                      <w:rFonts w:hint="eastAsia" w:cs="Times New Roman"/>
                      <w:color w:val="auto"/>
                      <w:szCs w:val="21"/>
                      <w:lang w:val="en-US" w:eastAsia="zh-CN"/>
                    </w:rPr>
                    <w:t>4</w:t>
                  </w:r>
                </w:p>
              </w:tc>
              <w:tc>
                <w:tcPr>
                  <w:tcW w:w="824" w:type="dxa"/>
                  <w:noWrap w:val="0"/>
                  <w:vAlign w:val="center"/>
                </w:tcPr>
                <w:p w14:paraId="0B1D92C8">
                  <w:pPr>
                    <w:adjustRightInd w:val="0"/>
                    <w:snapToGrid w:val="0"/>
                    <w:jc w:val="center"/>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785" w:type="dxa"/>
                  <w:shd w:val="clear" w:color="auto" w:fill="auto"/>
                  <w:noWrap w:val="0"/>
                  <w:vAlign w:val="center"/>
                </w:tcPr>
                <w:p w14:paraId="4CB351DB">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0.00</w:t>
                  </w:r>
                  <w:r>
                    <w:rPr>
                      <w:rFonts w:hint="eastAsia" w:cs="Times New Roman"/>
                      <w:color w:val="auto"/>
                      <w:szCs w:val="21"/>
                      <w:lang w:val="en-US" w:eastAsia="zh-CN"/>
                    </w:rPr>
                    <w:t>4</w:t>
                  </w:r>
                </w:p>
              </w:tc>
              <w:tc>
                <w:tcPr>
                  <w:tcW w:w="716" w:type="dxa"/>
                  <w:noWrap w:val="0"/>
                  <w:vAlign w:val="center"/>
                </w:tcPr>
                <w:p w14:paraId="6A4E5958">
                  <w:pPr>
                    <w:adjustRightInd w:val="0"/>
                    <w:snapToGrid w:val="0"/>
                    <w:jc w:val="center"/>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830" w:type="dxa"/>
                  <w:noWrap w:val="0"/>
                  <w:vAlign w:val="center"/>
                </w:tcPr>
                <w:p w14:paraId="011E9C93">
                  <w:pPr>
                    <w:adjustRightInd w:val="0"/>
                    <w:snapToGrid w:val="0"/>
                    <w:jc w:val="center"/>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861" w:type="dxa"/>
                  <w:vMerge w:val="continue"/>
                  <w:noWrap w:val="0"/>
                  <w:vAlign w:val="center"/>
                </w:tcPr>
                <w:p w14:paraId="0DE5EF0F">
                  <w:pPr>
                    <w:adjustRightInd w:val="0"/>
                    <w:snapToGrid w:val="0"/>
                    <w:jc w:val="center"/>
                    <w:rPr>
                      <w:rFonts w:hint="eastAsia" w:ascii="Times New Roman" w:hAnsi="Times New Roman" w:cs="Times New Roman"/>
                      <w:color w:val="auto"/>
                      <w:szCs w:val="21"/>
                      <w:lang w:val="en-US" w:eastAsia="zh-CN"/>
                    </w:rPr>
                  </w:pPr>
                </w:p>
              </w:tc>
              <w:tc>
                <w:tcPr>
                  <w:tcW w:w="861" w:type="dxa"/>
                  <w:noWrap w:val="0"/>
                  <w:vAlign w:val="center"/>
                </w:tcPr>
                <w:p w14:paraId="6602D8B6">
                  <w:pPr>
                    <w:adjustRightInd w:val="0"/>
                    <w:snapToGrid w:val="0"/>
                    <w:jc w:val="center"/>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0.3</w:t>
                  </w:r>
                </w:p>
              </w:tc>
              <w:tc>
                <w:tcPr>
                  <w:tcW w:w="800" w:type="dxa"/>
                  <w:noWrap w:val="0"/>
                  <w:vAlign w:val="center"/>
                </w:tcPr>
                <w:p w14:paraId="765F39DA">
                  <w:pPr>
                    <w:adjustRightInd w:val="0"/>
                    <w:snapToGrid w:val="0"/>
                    <w:jc w:val="center"/>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r>
            <w:tr w14:paraId="0572EA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69" w:type="dxa"/>
                  <w:vMerge w:val="continue"/>
                  <w:noWrap w:val="0"/>
                  <w:vAlign w:val="center"/>
                </w:tcPr>
                <w:p w14:paraId="6720D761">
                  <w:pPr>
                    <w:adjustRightInd w:val="0"/>
                    <w:snapToGrid w:val="0"/>
                    <w:jc w:val="center"/>
                    <w:rPr>
                      <w:rFonts w:ascii="Times New Roman" w:hAnsi="Times New Roman" w:cs="Times New Roman"/>
                      <w:color w:val="auto"/>
                      <w:szCs w:val="21"/>
                    </w:rPr>
                  </w:pPr>
                </w:p>
              </w:tc>
              <w:tc>
                <w:tcPr>
                  <w:tcW w:w="670" w:type="dxa"/>
                  <w:noWrap w:val="0"/>
                  <w:vAlign w:val="center"/>
                </w:tcPr>
                <w:p w14:paraId="154F9D31">
                  <w:pPr>
                    <w:adjustRightInd w:val="0"/>
                    <w:snapToGrid w:val="0"/>
                    <w:jc w:val="center"/>
                    <w:rPr>
                      <w:rFonts w:ascii="Times New Roman" w:hAnsi="Times New Roman" w:cs="Times New Roman"/>
                      <w:color w:val="auto"/>
                      <w:kern w:val="2"/>
                      <w:sz w:val="21"/>
                      <w:szCs w:val="21"/>
                      <w:lang w:val="en-US" w:eastAsia="zh-CN" w:bidi="ar-SA"/>
                    </w:rPr>
                  </w:pPr>
                  <w:r>
                    <w:rPr>
                      <w:rFonts w:ascii="Times New Roman" w:hAnsi="Times New Roman" w:cs="Times New Roman"/>
                      <w:color w:val="auto"/>
                      <w:szCs w:val="21"/>
                    </w:rPr>
                    <w:t>二甲苯</w:t>
                  </w:r>
                </w:p>
              </w:tc>
              <w:tc>
                <w:tcPr>
                  <w:tcW w:w="436" w:type="dxa"/>
                  <w:vMerge w:val="continue"/>
                  <w:noWrap w:val="0"/>
                  <w:vAlign w:val="center"/>
                </w:tcPr>
                <w:p w14:paraId="23BC8B65">
                  <w:pPr>
                    <w:adjustRightInd w:val="0"/>
                    <w:snapToGrid w:val="0"/>
                    <w:jc w:val="center"/>
                    <w:rPr>
                      <w:rFonts w:ascii="Times New Roman" w:hAnsi="Times New Roman" w:cs="Times New Roman"/>
                      <w:color w:val="auto"/>
                      <w:szCs w:val="21"/>
                    </w:rPr>
                  </w:pPr>
                </w:p>
              </w:tc>
              <w:tc>
                <w:tcPr>
                  <w:tcW w:w="765" w:type="dxa"/>
                  <w:shd w:val="clear" w:color="auto" w:fill="auto"/>
                  <w:noWrap w:val="0"/>
                  <w:vAlign w:val="center"/>
                </w:tcPr>
                <w:p w14:paraId="21A7F75A">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w:t>
                  </w:r>
                  <w:r>
                    <w:rPr>
                      <w:rFonts w:hint="eastAsia" w:cs="Times New Roman"/>
                      <w:color w:val="auto"/>
                      <w:szCs w:val="21"/>
                      <w:lang w:val="en-US" w:eastAsia="zh-CN"/>
                    </w:rPr>
                    <w:t>.002</w:t>
                  </w:r>
                </w:p>
              </w:tc>
              <w:tc>
                <w:tcPr>
                  <w:tcW w:w="824" w:type="dxa"/>
                  <w:noWrap w:val="0"/>
                  <w:vAlign w:val="center"/>
                </w:tcPr>
                <w:p w14:paraId="6FA89673">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785" w:type="dxa"/>
                  <w:shd w:val="clear" w:color="auto" w:fill="auto"/>
                  <w:noWrap w:val="0"/>
                  <w:vAlign w:val="center"/>
                </w:tcPr>
                <w:p w14:paraId="08D4EB60">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w:t>
                  </w:r>
                  <w:r>
                    <w:rPr>
                      <w:rFonts w:hint="eastAsia" w:cs="Times New Roman"/>
                      <w:color w:val="auto"/>
                      <w:szCs w:val="21"/>
                      <w:lang w:val="en-US" w:eastAsia="zh-CN"/>
                    </w:rPr>
                    <w:t>.002</w:t>
                  </w:r>
                </w:p>
              </w:tc>
              <w:tc>
                <w:tcPr>
                  <w:tcW w:w="716" w:type="dxa"/>
                  <w:noWrap w:val="0"/>
                  <w:vAlign w:val="center"/>
                </w:tcPr>
                <w:p w14:paraId="2868985C">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830" w:type="dxa"/>
                  <w:noWrap w:val="0"/>
                  <w:vAlign w:val="center"/>
                </w:tcPr>
                <w:p w14:paraId="48AE8B01">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c>
                <w:tcPr>
                  <w:tcW w:w="861" w:type="dxa"/>
                  <w:vMerge w:val="continue"/>
                  <w:noWrap w:val="0"/>
                  <w:vAlign w:val="center"/>
                </w:tcPr>
                <w:p w14:paraId="4BA7AE70">
                  <w:pPr>
                    <w:adjustRightInd w:val="0"/>
                    <w:snapToGrid w:val="0"/>
                    <w:jc w:val="center"/>
                    <w:rPr>
                      <w:rFonts w:hint="eastAsia" w:ascii="Times New Roman" w:hAnsi="Times New Roman" w:cs="Times New Roman"/>
                      <w:color w:val="auto"/>
                      <w:szCs w:val="21"/>
                      <w:lang w:val="en-US" w:eastAsia="zh-CN"/>
                    </w:rPr>
                  </w:pPr>
                </w:p>
              </w:tc>
              <w:tc>
                <w:tcPr>
                  <w:tcW w:w="861" w:type="dxa"/>
                  <w:noWrap w:val="0"/>
                  <w:vAlign w:val="center"/>
                </w:tcPr>
                <w:p w14:paraId="7210B2FF">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0.3</w:t>
                  </w:r>
                </w:p>
              </w:tc>
              <w:tc>
                <w:tcPr>
                  <w:tcW w:w="800" w:type="dxa"/>
                  <w:noWrap w:val="0"/>
                  <w:vAlign w:val="center"/>
                </w:tcPr>
                <w:p w14:paraId="22602DB9">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w:t>
                  </w:r>
                </w:p>
              </w:tc>
            </w:tr>
          </w:tbl>
          <w:p w14:paraId="002A3208">
            <w:pPr>
              <w:keepNext w:val="0"/>
              <w:keepLines w:val="0"/>
              <w:pageBreakBefore w:val="0"/>
              <w:widowControl w:val="0"/>
              <w:kinsoku/>
              <w:wordWrap/>
              <w:overflowPunct/>
              <w:topLinePunct w:val="0"/>
              <w:autoSpaceDE/>
              <w:autoSpaceDN/>
              <w:bidi w:val="0"/>
              <w:adjustRightInd w:val="0"/>
              <w:snapToGrid w:val="0"/>
              <w:spacing w:before="157" w:beforeLines="50" w:line="288" w:lineRule="auto"/>
              <w:ind w:firstLine="480" w:firstLineChars="200"/>
              <w:textAlignment w:val="auto"/>
              <w:rPr>
                <w:rFonts w:hint="eastAsia"/>
                <w:color w:val="auto"/>
                <w:sz w:val="24"/>
              </w:rPr>
            </w:pPr>
            <w:r>
              <w:rPr>
                <w:rFonts w:hint="eastAsia"/>
                <w:color w:val="auto"/>
                <w:sz w:val="24"/>
                <w:lang w:val="en-US" w:eastAsia="zh-CN"/>
              </w:rPr>
              <w:t>4）危废贮存库1#</w:t>
            </w:r>
            <w:r>
              <w:rPr>
                <w:rFonts w:hint="eastAsia"/>
                <w:color w:val="auto"/>
                <w:sz w:val="24"/>
              </w:rPr>
              <w:t>产生的有机废气</w:t>
            </w:r>
          </w:p>
          <w:p w14:paraId="218750B6">
            <w:pPr>
              <w:keepNext w:val="0"/>
              <w:keepLines/>
              <w:pageBreakBefore w:val="0"/>
              <w:widowControl w:val="0"/>
              <w:kinsoku/>
              <w:wordWrap/>
              <w:overflowPunct/>
              <w:topLinePunct w:val="0"/>
              <w:autoSpaceDE/>
              <w:autoSpaceDN/>
              <w:bidi w:val="0"/>
              <w:adjustRightInd/>
              <w:snapToGrid/>
              <w:spacing w:line="288" w:lineRule="auto"/>
              <w:ind w:firstLine="480" w:firstLineChars="200"/>
              <w:textAlignment w:val="auto"/>
              <w:rPr>
                <w:rFonts w:hint="default" w:ascii="Times New Roman" w:hAnsi="Times New Roman" w:cs="Times New Roman"/>
                <w:color w:val="auto"/>
                <w:sz w:val="24"/>
                <w:lang w:val="en-US" w:eastAsia="zh-CN"/>
              </w:rPr>
            </w:pPr>
            <w:r>
              <w:rPr>
                <w:rFonts w:hint="eastAsia" w:cs="Times New Roman"/>
                <w:color w:val="auto"/>
                <w:sz w:val="24"/>
                <w:lang w:val="en-US" w:eastAsia="zh-CN"/>
              </w:rPr>
              <w:t>危废贮存库1#为密闭贮存，年运行天数约365天（8760h），主要贮存油泥、废矿物油、废油桶、废防冻液会产生挥发性有机物（以非甲烷总烃计），均为密闭包装贮存，根据《环境影响评价实用技术指南》（李爱贞等，机械工业出版社）中建议无组织排放的比例为：按原料年用量或产品年产量的</w:t>
            </w:r>
            <w:r>
              <w:rPr>
                <w:rFonts w:hint="default" w:ascii="Times New Roman" w:hAnsi="Times New Roman" w:cs="Times New Roman"/>
                <w:color w:val="auto"/>
                <w:sz w:val="24"/>
                <w:lang w:val="en-US" w:eastAsia="zh-CN"/>
              </w:rPr>
              <w:t>0.1‰~0.4‰计算</w:t>
            </w:r>
            <w:r>
              <w:rPr>
                <w:rFonts w:hint="eastAsia" w:cs="Times New Roman"/>
                <w:color w:val="auto"/>
                <w:sz w:val="24"/>
                <w:lang w:val="en-US" w:eastAsia="zh-CN"/>
              </w:rPr>
              <w:t>，</w:t>
            </w:r>
            <w:r>
              <w:rPr>
                <w:rFonts w:hint="default" w:ascii="Times New Roman" w:hAnsi="Times New Roman" w:cs="Times New Roman"/>
                <w:color w:val="auto"/>
                <w:sz w:val="24"/>
                <w:lang w:val="en-US" w:eastAsia="zh-CN"/>
              </w:rPr>
              <w:t>本次按照最大挥发量0.4‰计算</w:t>
            </w:r>
            <w:r>
              <w:rPr>
                <w:rFonts w:hint="eastAsia" w:ascii="Times New Roman" w:hAnsi="Times New Roman" w:cs="Times New Roman"/>
                <w:color w:val="auto"/>
                <w:sz w:val="24"/>
                <w:lang w:val="en-US" w:eastAsia="zh-CN"/>
              </w:rPr>
              <w:t>。</w:t>
            </w:r>
            <w:r>
              <w:rPr>
                <w:rFonts w:hint="eastAsia" w:cs="Times New Roman"/>
                <w:color w:val="auto"/>
                <w:sz w:val="24"/>
                <w:lang w:val="en-US" w:eastAsia="zh-CN"/>
              </w:rPr>
              <w:t>油泥、废矿物油、废油桶、废防冻液年转运量约10.46t/a</w:t>
            </w:r>
            <w:r>
              <w:rPr>
                <w:rFonts w:hint="default" w:ascii="Times New Roman" w:hAnsi="Times New Roman" w:cs="Times New Roman"/>
                <w:color w:val="auto"/>
                <w:sz w:val="24"/>
                <w:lang w:val="en-US" w:eastAsia="zh-CN"/>
              </w:rPr>
              <w:t>，则有机废气产生量为0.00</w:t>
            </w:r>
            <w:r>
              <w:rPr>
                <w:rFonts w:hint="eastAsia" w:cs="Times New Roman"/>
                <w:color w:val="auto"/>
                <w:sz w:val="24"/>
                <w:lang w:val="en-US" w:eastAsia="zh-CN"/>
              </w:rPr>
              <w:t>4</w:t>
            </w:r>
            <w:r>
              <w:rPr>
                <w:rFonts w:hint="default" w:ascii="Times New Roman" w:hAnsi="Times New Roman" w:cs="Times New Roman"/>
                <w:color w:val="auto"/>
                <w:sz w:val="24"/>
                <w:lang w:val="en-US" w:eastAsia="zh-CN"/>
              </w:rPr>
              <w:t>t/a</w:t>
            </w:r>
            <w:r>
              <w:rPr>
                <w:rFonts w:hint="eastAsia" w:ascii="Times New Roman" w:hAnsi="Times New Roman" w:cs="Times New Roman"/>
                <w:color w:val="auto"/>
                <w:sz w:val="24"/>
                <w:lang w:val="en-US" w:eastAsia="zh-CN"/>
              </w:rPr>
              <w:t>。</w:t>
            </w:r>
          </w:p>
          <w:p w14:paraId="6181B16B">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textAlignment w:val="auto"/>
              <w:rPr>
                <w:rFonts w:hint="eastAsia"/>
                <w:color w:val="auto"/>
                <w:sz w:val="24"/>
              </w:rPr>
            </w:pPr>
            <w:r>
              <w:rPr>
                <w:rFonts w:hint="eastAsia" w:cs="Times New Roman"/>
                <w:color w:val="auto"/>
                <w:sz w:val="24"/>
                <w:lang w:val="en-US" w:eastAsia="zh-CN"/>
              </w:rPr>
              <w:t>由于危废贮存库1#距离喷烤漆废气处理设施较远，有机废气在排风口处安装活性炭（去除效率20%）处理设施处理后，在车间内无组织排放。</w:t>
            </w:r>
            <w:r>
              <w:rPr>
                <w:rFonts w:hint="eastAsia"/>
                <w:color w:val="auto"/>
                <w:sz w:val="24"/>
                <w:lang w:val="en-US" w:eastAsia="zh-CN"/>
              </w:rPr>
              <w:t>其中</w:t>
            </w:r>
            <w:r>
              <w:rPr>
                <w:rFonts w:hint="eastAsia"/>
                <w:color w:val="auto"/>
                <w:sz w:val="24"/>
              </w:rPr>
              <w:t>收集效率按照《陕西省排污许可制支撑空气质量持续改善实施方案》的通知（陕环发〔2023〕59号）中</w:t>
            </w:r>
            <w:r>
              <w:rPr>
                <w:rFonts w:hint="eastAsia"/>
                <w:color w:val="auto"/>
                <w:sz w:val="24"/>
                <w:lang w:eastAsia="zh-CN"/>
              </w:rPr>
              <w:t>“</w:t>
            </w:r>
            <w:r>
              <w:rPr>
                <w:rFonts w:hint="eastAsia"/>
                <w:color w:val="auto"/>
                <w:sz w:val="24"/>
                <w:lang w:val="en-US" w:eastAsia="zh-CN"/>
              </w:rPr>
              <w:t>全封闭空间—单层密闭正压</w:t>
            </w:r>
            <w:r>
              <w:rPr>
                <w:rFonts w:hint="eastAsia"/>
                <w:color w:val="auto"/>
                <w:sz w:val="24"/>
                <w:lang w:eastAsia="zh-CN"/>
              </w:rPr>
              <w:t>，</w:t>
            </w:r>
            <w:r>
              <w:rPr>
                <w:rFonts w:hint="eastAsia"/>
                <w:color w:val="auto"/>
                <w:sz w:val="24"/>
                <w:lang w:val="en-US" w:eastAsia="zh-CN"/>
              </w:rPr>
              <w:t>集气效率按85%</w:t>
            </w:r>
            <w:r>
              <w:rPr>
                <w:rFonts w:hint="eastAsia"/>
                <w:color w:val="auto"/>
                <w:sz w:val="24"/>
                <w:lang w:eastAsia="zh-CN"/>
              </w:rPr>
              <w:t>”</w:t>
            </w:r>
            <w:r>
              <w:rPr>
                <w:rFonts w:hint="eastAsia"/>
                <w:color w:val="auto"/>
                <w:sz w:val="24"/>
                <w:lang w:val="en-US" w:eastAsia="zh-CN"/>
              </w:rPr>
              <w:t>计。活性炭吸附效率参照</w:t>
            </w:r>
            <w:r>
              <w:rPr>
                <w:rFonts w:hint="eastAsia"/>
                <w:color w:val="auto"/>
                <w:sz w:val="24"/>
              </w:rPr>
              <w:t>《陕西省排污许可制支撑空气质量持续改善实施方案》</w:t>
            </w:r>
            <w:r>
              <w:rPr>
                <w:rFonts w:hint="eastAsia"/>
                <w:color w:val="auto"/>
                <w:sz w:val="24"/>
                <w:lang w:val="en-US" w:eastAsia="zh-CN"/>
              </w:rPr>
              <w:t>中单级活性炭吸附去除效率约20%，</w:t>
            </w:r>
            <w:r>
              <w:rPr>
                <w:rFonts w:hint="eastAsia" w:cs="Times New Roman"/>
                <w:color w:val="auto"/>
                <w:sz w:val="24"/>
                <w:lang w:val="en-US" w:eastAsia="zh-CN"/>
              </w:rPr>
              <w:t>危废贮存库1#有机废气无组织排放量为0.003t/a。</w:t>
            </w:r>
          </w:p>
          <w:p w14:paraId="5092A5E0">
            <w:pPr>
              <w:keepNext w:val="0"/>
              <w:keepLines w:val="0"/>
              <w:pageBreakBefore w:val="0"/>
              <w:widowControl w:val="0"/>
              <w:kinsoku/>
              <w:wordWrap/>
              <w:overflowPunct/>
              <w:topLinePunct w:val="0"/>
              <w:autoSpaceDE/>
              <w:autoSpaceDN/>
              <w:bidi w:val="0"/>
              <w:adjustRightInd w:val="0"/>
              <w:snapToGrid w:val="0"/>
              <w:spacing w:line="288" w:lineRule="auto"/>
              <w:ind w:firstLine="480" w:firstLineChars="200"/>
              <w:textAlignment w:val="auto"/>
              <w:rPr>
                <w:bCs/>
                <w:color w:val="auto"/>
                <w:sz w:val="24"/>
              </w:rPr>
            </w:pPr>
            <w:r>
              <w:rPr>
                <w:rFonts w:hint="eastAsia"/>
                <w:bCs/>
                <w:color w:val="auto"/>
                <w:sz w:val="24"/>
              </w:rPr>
              <w:t>（3）</w:t>
            </w:r>
            <w:r>
              <w:rPr>
                <w:bCs/>
                <w:color w:val="auto"/>
                <w:sz w:val="24"/>
              </w:rPr>
              <w:t>排放口基本情况</w:t>
            </w:r>
          </w:p>
          <w:p w14:paraId="7C29D9DD">
            <w:pPr>
              <w:keepNext w:val="0"/>
              <w:pageBreakBefore w:val="0"/>
              <w:widowControl w:val="0"/>
              <w:tabs>
                <w:tab w:val="left" w:pos="2539"/>
              </w:tabs>
              <w:kinsoku/>
              <w:wordWrap/>
              <w:overflowPunct/>
              <w:topLinePunct w:val="0"/>
              <w:autoSpaceDE/>
              <w:autoSpaceDN/>
              <w:bidi w:val="0"/>
              <w:adjustRightInd w:val="0"/>
              <w:snapToGrid w:val="0"/>
              <w:spacing w:line="288" w:lineRule="auto"/>
              <w:ind w:firstLine="480" w:firstLineChars="200"/>
              <w:textAlignment w:val="auto"/>
              <w:rPr>
                <w:bCs/>
                <w:color w:val="auto"/>
                <w:sz w:val="24"/>
              </w:rPr>
            </w:pPr>
            <w:r>
              <w:rPr>
                <w:bCs/>
                <w:color w:val="auto"/>
                <w:sz w:val="24"/>
              </w:rPr>
              <w:t>排放口基本情况见</w:t>
            </w:r>
            <w:r>
              <w:rPr>
                <w:rFonts w:hint="eastAsia"/>
                <w:bCs/>
                <w:color w:val="auto"/>
                <w:sz w:val="24"/>
              </w:rPr>
              <w:t>下表</w:t>
            </w:r>
            <w:r>
              <w:rPr>
                <w:bCs/>
                <w:color w:val="auto"/>
                <w:sz w:val="24"/>
              </w:rPr>
              <w:t>。</w:t>
            </w:r>
          </w:p>
          <w:p w14:paraId="5ACE90A1">
            <w:pPr>
              <w:tabs>
                <w:tab w:val="left" w:pos="2539"/>
              </w:tabs>
              <w:adjustRightInd w:val="0"/>
              <w:snapToGrid w:val="0"/>
              <w:jc w:val="center"/>
              <w:rPr>
                <w:b/>
                <w:color w:val="auto"/>
                <w:sz w:val="24"/>
              </w:rPr>
            </w:pPr>
            <w:r>
              <w:rPr>
                <w:b/>
                <w:color w:val="auto"/>
                <w:sz w:val="24"/>
              </w:rPr>
              <w:t>表4-</w:t>
            </w:r>
            <w:r>
              <w:rPr>
                <w:rFonts w:hint="eastAsia"/>
                <w:b/>
                <w:color w:val="auto"/>
                <w:sz w:val="24"/>
                <w:lang w:val="en-US" w:eastAsia="zh-CN"/>
              </w:rPr>
              <w:t>5</w:t>
            </w:r>
            <w:r>
              <w:rPr>
                <w:b/>
                <w:color w:val="auto"/>
                <w:sz w:val="24"/>
              </w:rPr>
              <w:t xml:space="preserve">  排放口基本情况表</w:t>
            </w:r>
          </w:p>
          <w:tbl>
            <w:tblPr>
              <w:tblStyle w:val="25"/>
              <w:tblW w:w="505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52"/>
              <w:gridCol w:w="1230"/>
              <w:gridCol w:w="1662"/>
              <w:gridCol w:w="848"/>
              <w:gridCol w:w="994"/>
              <w:gridCol w:w="1022"/>
              <w:gridCol w:w="1217"/>
            </w:tblGrid>
            <w:tr w14:paraId="7D3E83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655" w:type="pct"/>
                  <w:noWrap w:val="0"/>
                  <w:vAlign w:val="center"/>
                </w:tcPr>
                <w:p w14:paraId="06BC2806">
                  <w:pPr>
                    <w:pStyle w:val="6"/>
                    <w:ind w:left="-105" w:leftChars="-50" w:right="-105" w:rightChars="-50" w:firstLine="0"/>
                    <w:jc w:val="center"/>
                    <w:rPr>
                      <w:b/>
                      <w:color w:val="auto"/>
                      <w:sz w:val="21"/>
                      <w:szCs w:val="21"/>
                    </w:rPr>
                  </w:pPr>
                  <w:r>
                    <w:rPr>
                      <w:rFonts w:hint="eastAsia"/>
                      <w:b/>
                      <w:color w:val="auto"/>
                      <w:sz w:val="21"/>
                      <w:szCs w:val="21"/>
                    </w:rPr>
                    <w:t>排气筒名称</w:t>
                  </w:r>
                </w:p>
              </w:tc>
              <w:tc>
                <w:tcPr>
                  <w:tcW w:w="766" w:type="pct"/>
                  <w:noWrap w:val="0"/>
                  <w:vAlign w:val="center"/>
                </w:tcPr>
                <w:p w14:paraId="7F9A4E63">
                  <w:pPr>
                    <w:pStyle w:val="6"/>
                    <w:ind w:left="-105" w:leftChars="-50" w:right="-105" w:rightChars="-50" w:firstLine="0"/>
                    <w:jc w:val="center"/>
                    <w:rPr>
                      <w:b/>
                      <w:color w:val="auto"/>
                      <w:sz w:val="21"/>
                      <w:szCs w:val="21"/>
                    </w:rPr>
                  </w:pPr>
                  <w:r>
                    <w:rPr>
                      <w:rFonts w:hint="eastAsia"/>
                      <w:b/>
                      <w:color w:val="auto"/>
                      <w:sz w:val="21"/>
                      <w:szCs w:val="21"/>
                    </w:rPr>
                    <w:t>污染物</w:t>
                  </w:r>
                </w:p>
              </w:tc>
              <w:tc>
                <w:tcPr>
                  <w:tcW w:w="1035" w:type="pct"/>
                  <w:noWrap w:val="0"/>
                  <w:vAlign w:val="center"/>
                </w:tcPr>
                <w:p w14:paraId="00A58EFF">
                  <w:pPr>
                    <w:pStyle w:val="6"/>
                    <w:ind w:left="-105" w:leftChars="-50" w:right="-105" w:rightChars="-50" w:firstLine="0"/>
                    <w:jc w:val="center"/>
                    <w:rPr>
                      <w:b/>
                      <w:color w:val="auto"/>
                      <w:sz w:val="21"/>
                      <w:szCs w:val="21"/>
                    </w:rPr>
                  </w:pPr>
                  <w:r>
                    <w:rPr>
                      <w:rFonts w:hint="eastAsia"/>
                      <w:b/>
                      <w:color w:val="auto"/>
                      <w:sz w:val="21"/>
                      <w:szCs w:val="21"/>
                    </w:rPr>
                    <w:t>排气筒底部中心坐标/°</w:t>
                  </w:r>
                </w:p>
              </w:tc>
              <w:tc>
                <w:tcPr>
                  <w:tcW w:w="528" w:type="pct"/>
                  <w:noWrap w:val="0"/>
                  <w:vAlign w:val="center"/>
                </w:tcPr>
                <w:p w14:paraId="20388AFE">
                  <w:pPr>
                    <w:pStyle w:val="6"/>
                    <w:ind w:left="-105" w:leftChars="-50" w:right="-105" w:rightChars="-50" w:firstLine="0"/>
                    <w:jc w:val="center"/>
                    <w:rPr>
                      <w:b/>
                      <w:color w:val="auto"/>
                      <w:sz w:val="21"/>
                      <w:szCs w:val="21"/>
                    </w:rPr>
                  </w:pPr>
                  <w:r>
                    <w:rPr>
                      <w:b/>
                      <w:color w:val="auto"/>
                      <w:sz w:val="21"/>
                      <w:szCs w:val="21"/>
                    </w:rPr>
                    <w:t>排气筒高度/m</w:t>
                  </w:r>
                </w:p>
              </w:tc>
              <w:tc>
                <w:tcPr>
                  <w:tcW w:w="619" w:type="pct"/>
                  <w:noWrap w:val="0"/>
                  <w:vAlign w:val="center"/>
                </w:tcPr>
                <w:p w14:paraId="1FB998E7">
                  <w:pPr>
                    <w:pStyle w:val="6"/>
                    <w:ind w:left="-105" w:leftChars="-50" w:right="-105" w:rightChars="-50" w:firstLine="0"/>
                    <w:jc w:val="center"/>
                    <w:rPr>
                      <w:b/>
                      <w:color w:val="auto"/>
                      <w:sz w:val="21"/>
                      <w:szCs w:val="21"/>
                    </w:rPr>
                  </w:pPr>
                  <w:r>
                    <w:rPr>
                      <w:b/>
                      <w:color w:val="auto"/>
                      <w:sz w:val="21"/>
                      <w:szCs w:val="21"/>
                    </w:rPr>
                    <w:t>排气筒出口内径/m</w:t>
                  </w:r>
                </w:p>
              </w:tc>
              <w:tc>
                <w:tcPr>
                  <w:tcW w:w="636" w:type="pct"/>
                  <w:noWrap w:val="0"/>
                  <w:vAlign w:val="center"/>
                </w:tcPr>
                <w:p w14:paraId="08385ACE">
                  <w:pPr>
                    <w:pStyle w:val="6"/>
                    <w:ind w:left="-105" w:leftChars="-50" w:right="-105" w:rightChars="-50" w:firstLine="0"/>
                    <w:jc w:val="center"/>
                    <w:rPr>
                      <w:b/>
                      <w:color w:val="auto"/>
                      <w:sz w:val="21"/>
                      <w:szCs w:val="21"/>
                    </w:rPr>
                  </w:pPr>
                  <w:r>
                    <w:rPr>
                      <w:b/>
                      <w:color w:val="auto"/>
                      <w:sz w:val="21"/>
                      <w:szCs w:val="21"/>
                    </w:rPr>
                    <w:t>烟气温度/℃</w:t>
                  </w:r>
                </w:p>
              </w:tc>
              <w:tc>
                <w:tcPr>
                  <w:tcW w:w="757" w:type="pct"/>
                  <w:noWrap w:val="0"/>
                  <w:vAlign w:val="center"/>
                </w:tcPr>
                <w:p w14:paraId="049323B7">
                  <w:pPr>
                    <w:pStyle w:val="6"/>
                    <w:ind w:left="-105" w:leftChars="-50" w:right="-105" w:rightChars="-50" w:firstLine="0"/>
                    <w:jc w:val="center"/>
                    <w:rPr>
                      <w:b/>
                      <w:color w:val="auto"/>
                      <w:sz w:val="21"/>
                      <w:szCs w:val="21"/>
                    </w:rPr>
                  </w:pPr>
                  <w:r>
                    <w:rPr>
                      <w:b/>
                      <w:color w:val="auto"/>
                      <w:sz w:val="21"/>
                      <w:szCs w:val="21"/>
                    </w:rPr>
                    <w:t>排放口类型</w:t>
                  </w:r>
                </w:p>
              </w:tc>
            </w:tr>
            <w:tr w14:paraId="6577E7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5" w:type="pct"/>
                  <w:noWrap w:val="0"/>
                  <w:vAlign w:val="center"/>
                </w:tcPr>
                <w:p w14:paraId="359ECC7E">
                  <w:pPr>
                    <w:pStyle w:val="6"/>
                    <w:ind w:left="-105" w:leftChars="-50" w:right="-105" w:rightChars="-50" w:firstLine="0"/>
                    <w:jc w:val="center"/>
                    <w:rPr>
                      <w:rFonts w:hint="eastAsia"/>
                      <w:color w:val="auto"/>
                      <w:sz w:val="21"/>
                      <w:szCs w:val="21"/>
                    </w:rPr>
                  </w:pPr>
                  <w:r>
                    <w:rPr>
                      <w:rFonts w:hint="eastAsia"/>
                      <w:color w:val="auto"/>
                      <w:sz w:val="21"/>
                      <w:szCs w:val="21"/>
                    </w:rPr>
                    <w:t>排气筒DA001</w:t>
                  </w:r>
                </w:p>
              </w:tc>
              <w:tc>
                <w:tcPr>
                  <w:tcW w:w="766" w:type="pct"/>
                  <w:vMerge w:val="restart"/>
                  <w:noWrap w:val="0"/>
                  <w:vAlign w:val="center"/>
                </w:tcPr>
                <w:p w14:paraId="45B7076D">
                  <w:pPr>
                    <w:pStyle w:val="6"/>
                    <w:ind w:firstLine="0"/>
                    <w:jc w:val="center"/>
                    <w:rPr>
                      <w:rFonts w:hint="default" w:eastAsia="宋体"/>
                      <w:color w:val="auto"/>
                      <w:sz w:val="21"/>
                      <w:szCs w:val="21"/>
                      <w:lang w:val="en-US" w:eastAsia="zh-CN"/>
                    </w:rPr>
                  </w:pPr>
                  <w:r>
                    <w:rPr>
                      <w:rFonts w:hint="eastAsia"/>
                      <w:color w:val="auto"/>
                      <w:sz w:val="21"/>
                      <w:szCs w:val="21"/>
                      <w:lang w:val="en-US" w:eastAsia="zh-CN"/>
                    </w:rPr>
                    <w:t>颗粒物、甲苯、二甲苯、非甲烷总烃</w:t>
                  </w:r>
                </w:p>
              </w:tc>
              <w:tc>
                <w:tcPr>
                  <w:tcW w:w="1035" w:type="pct"/>
                  <w:noWrap w:val="0"/>
                  <w:vAlign w:val="center"/>
                </w:tcPr>
                <w:p w14:paraId="7E503FBD">
                  <w:pPr>
                    <w:pStyle w:val="6"/>
                    <w:ind w:firstLine="0"/>
                    <w:jc w:val="center"/>
                    <w:rPr>
                      <w:rFonts w:hint="eastAsia"/>
                      <w:color w:val="auto"/>
                      <w:sz w:val="21"/>
                      <w:szCs w:val="21"/>
                    </w:rPr>
                  </w:pPr>
                  <w:r>
                    <w:rPr>
                      <w:rFonts w:hint="eastAsia"/>
                      <w:color w:val="auto"/>
                      <w:sz w:val="21"/>
                      <w:szCs w:val="21"/>
                    </w:rPr>
                    <w:t>108.81960019</w:t>
                  </w:r>
                </w:p>
                <w:p w14:paraId="2A4792DF">
                  <w:pPr>
                    <w:pStyle w:val="6"/>
                    <w:ind w:firstLine="0"/>
                    <w:jc w:val="center"/>
                    <w:rPr>
                      <w:color w:val="auto"/>
                      <w:sz w:val="21"/>
                      <w:szCs w:val="21"/>
                    </w:rPr>
                  </w:pPr>
                  <w:r>
                    <w:rPr>
                      <w:rFonts w:hint="eastAsia"/>
                      <w:color w:val="auto"/>
                      <w:sz w:val="21"/>
                      <w:szCs w:val="21"/>
                    </w:rPr>
                    <w:t>34.32738295</w:t>
                  </w:r>
                </w:p>
              </w:tc>
              <w:tc>
                <w:tcPr>
                  <w:tcW w:w="528" w:type="pct"/>
                  <w:noWrap w:val="0"/>
                  <w:vAlign w:val="center"/>
                </w:tcPr>
                <w:p w14:paraId="2F55FF0C">
                  <w:pPr>
                    <w:pStyle w:val="6"/>
                    <w:ind w:firstLine="0"/>
                    <w:jc w:val="center"/>
                    <w:rPr>
                      <w:rFonts w:hint="default" w:eastAsia="宋体"/>
                      <w:color w:val="auto"/>
                      <w:sz w:val="21"/>
                      <w:szCs w:val="21"/>
                      <w:lang w:val="en-US" w:eastAsia="zh-CN"/>
                    </w:rPr>
                  </w:pPr>
                  <w:r>
                    <w:rPr>
                      <w:rFonts w:hint="eastAsia"/>
                      <w:color w:val="auto"/>
                      <w:sz w:val="21"/>
                      <w:szCs w:val="21"/>
                      <w:lang w:val="en-US" w:eastAsia="zh-CN"/>
                    </w:rPr>
                    <w:t>16</w:t>
                  </w:r>
                </w:p>
              </w:tc>
              <w:tc>
                <w:tcPr>
                  <w:tcW w:w="619" w:type="pct"/>
                  <w:noWrap w:val="0"/>
                  <w:vAlign w:val="center"/>
                </w:tcPr>
                <w:p w14:paraId="7664DFA5">
                  <w:pPr>
                    <w:pStyle w:val="6"/>
                    <w:ind w:firstLine="0"/>
                    <w:jc w:val="center"/>
                    <w:rPr>
                      <w:rFonts w:hint="default" w:eastAsia="宋体"/>
                      <w:color w:val="auto"/>
                      <w:sz w:val="21"/>
                      <w:szCs w:val="21"/>
                      <w:lang w:val="en-US" w:eastAsia="zh-CN"/>
                    </w:rPr>
                  </w:pPr>
                  <w:r>
                    <w:rPr>
                      <w:rFonts w:hint="eastAsia" w:eastAsia="宋体"/>
                      <w:color w:val="auto"/>
                      <w:sz w:val="21"/>
                      <w:szCs w:val="21"/>
                      <w:lang w:val="en-US" w:eastAsia="zh-CN"/>
                    </w:rPr>
                    <w:t>0.8</w:t>
                  </w:r>
                </w:p>
              </w:tc>
              <w:tc>
                <w:tcPr>
                  <w:tcW w:w="636" w:type="pct"/>
                  <w:noWrap w:val="0"/>
                  <w:vAlign w:val="center"/>
                </w:tcPr>
                <w:p w14:paraId="5755816D">
                  <w:pPr>
                    <w:pStyle w:val="6"/>
                    <w:ind w:firstLine="0"/>
                    <w:jc w:val="center"/>
                    <w:rPr>
                      <w:rFonts w:hint="default" w:eastAsia="宋体"/>
                      <w:color w:val="auto"/>
                      <w:sz w:val="21"/>
                      <w:szCs w:val="21"/>
                      <w:lang w:val="en-US" w:eastAsia="zh-CN"/>
                    </w:rPr>
                  </w:pPr>
                  <w:r>
                    <w:rPr>
                      <w:rFonts w:hint="eastAsia"/>
                      <w:color w:val="auto"/>
                      <w:sz w:val="21"/>
                      <w:szCs w:val="21"/>
                      <w:lang w:val="en-US" w:eastAsia="zh-CN"/>
                    </w:rPr>
                    <w:t>30</w:t>
                  </w:r>
                </w:p>
              </w:tc>
              <w:tc>
                <w:tcPr>
                  <w:tcW w:w="757" w:type="pct"/>
                  <w:noWrap w:val="0"/>
                  <w:vAlign w:val="center"/>
                </w:tcPr>
                <w:p w14:paraId="08F78657">
                  <w:pPr>
                    <w:pStyle w:val="6"/>
                    <w:ind w:firstLine="0"/>
                    <w:jc w:val="center"/>
                    <w:rPr>
                      <w:color w:val="auto"/>
                      <w:sz w:val="21"/>
                      <w:szCs w:val="21"/>
                    </w:rPr>
                  </w:pPr>
                  <w:r>
                    <w:rPr>
                      <w:color w:val="auto"/>
                      <w:sz w:val="21"/>
                      <w:szCs w:val="21"/>
                    </w:rPr>
                    <w:t>一般排放口</w:t>
                  </w:r>
                </w:p>
              </w:tc>
            </w:tr>
            <w:tr w14:paraId="6E3F44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5" w:type="pct"/>
                  <w:noWrap w:val="0"/>
                  <w:vAlign w:val="center"/>
                </w:tcPr>
                <w:p w14:paraId="1264EB14">
                  <w:pPr>
                    <w:pStyle w:val="6"/>
                    <w:ind w:left="-105" w:leftChars="-50" w:right="-105" w:rightChars="-50" w:firstLine="0"/>
                    <w:jc w:val="center"/>
                    <w:rPr>
                      <w:rFonts w:hint="eastAsia" w:eastAsia="宋体"/>
                      <w:color w:val="auto"/>
                      <w:sz w:val="21"/>
                      <w:szCs w:val="21"/>
                      <w:lang w:eastAsia="zh-CN"/>
                    </w:rPr>
                  </w:pPr>
                  <w:r>
                    <w:rPr>
                      <w:rFonts w:hint="eastAsia"/>
                      <w:color w:val="auto"/>
                      <w:sz w:val="21"/>
                      <w:szCs w:val="21"/>
                    </w:rPr>
                    <w:t>排气筒DA00</w:t>
                  </w:r>
                  <w:r>
                    <w:rPr>
                      <w:rFonts w:hint="eastAsia"/>
                      <w:color w:val="auto"/>
                      <w:sz w:val="21"/>
                      <w:szCs w:val="21"/>
                      <w:lang w:val="en-US" w:eastAsia="zh-CN"/>
                    </w:rPr>
                    <w:t>2</w:t>
                  </w:r>
                </w:p>
              </w:tc>
              <w:tc>
                <w:tcPr>
                  <w:tcW w:w="766" w:type="pct"/>
                  <w:vMerge w:val="continue"/>
                  <w:noWrap w:val="0"/>
                  <w:vAlign w:val="center"/>
                </w:tcPr>
                <w:p w14:paraId="4BACB9FC">
                  <w:pPr>
                    <w:pStyle w:val="6"/>
                    <w:ind w:firstLine="0"/>
                    <w:jc w:val="center"/>
                    <w:rPr>
                      <w:rFonts w:hint="eastAsia"/>
                      <w:color w:val="auto"/>
                      <w:sz w:val="21"/>
                      <w:szCs w:val="21"/>
                    </w:rPr>
                  </w:pPr>
                </w:p>
              </w:tc>
              <w:tc>
                <w:tcPr>
                  <w:tcW w:w="1035" w:type="pct"/>
                  <w:noWrap w:val="0"/>
                  <w:vAlign w:val="center"/>
                </w:tcPr>
                <w:p w14:paraId="3A89594B">
                  <w:pPr>
                    <w:pStyle w:val="6"/>
                    <w:ind w:firstLine="0"/>
                    <w:jc w:val="center"/>
                    <w:rPr>
                      <w:rFonts w:hint="eastAsia"/>
                      <w:color w:val="auto"/>
                      <w:sz w:val="21"/>
                      <w:szCs w:val="21"/>
                    </w:rPr>
                  </w:pPr>
                  <w:r>
                    <w:rPr>
                      <w:rFonts w:hint="eastAsia"/>
                      <w:color w:val="auto"/>
                      <w:sz w:val="21"/>
                      <w:szCs w:val="21"/>
                    </w:rPr>
                    <w:t>108.81959885</w:t>
                  </w:r>
                </w:p>
                <w:p w14:paraId="376BB61F">
                  <w:pPr>
                    <w:pStyle w:val="6"/>
                    <w:ind w:firstLine="0"/>
                    <w:jc w:val="center"/>
                    <w:rPr>
                      <w:rFonts w:hint="eastAsia"/>
                      <w:color w:val="auto"/>
                      <w:sz w:val="21"/>
                      <w:szCs w:val="21"/>
                    </w:rPr>
                  </w:pPr>
                  <w:r>
                    <w:rPr>
                      <w:rFonts w:hint="eastAsia"/>
                      <w:color w:val="auto"/>
                      <w:sz w:val="21"/>
                      <w:szCs w:val="21"/>
                    </w:rPr>
                    <w:t>34.32739735</w:t>
                  </w:r>
                </w:p>
              </w:tc>
              <w:tc>
                <w:tcPr>
                  <w:tcW w:w="528" w:type="pct"/>
                  <w:noWrap w:val="0"/>
                  <w:vAlign w:val="center"/>
                </w:tcPr>
                <w:p w14:paraId="09348EAF">
                  <w:pPr>
                    <w:pStyle w:val="6"/>
                    <w:ind w:firstLine="0"/>
                    <w:jc w:val="center"/>
                    <w:rPr>
                      <w:rFonts w:hint="default" w:eastAsia="宋体"/>
                      <w:color w:val="auto"/>
                      <w:sz w:val="21"/>
                      <w:szCs w:val="21"/>
                      <w:lang w:val="en-US" w:eastAsia="zh-CN"/>
                    </w:rPr>
                  </w:pPr>
                  <w:r>
                    <w:rPr>
                      <w:rFonts w:hint="eastAsia"/>
                      <w:color w:val="auto"/>
                      <w:sz w:val="21"/>
                      <w:szCs w:val="21"/>
                      <w:lang w:val="en-US" w:eastAsia="zh-CN"/>
                    </w:rPr>
                    <w:t>16</w:t>
                  </w:r>
                </w:p>
              </w:tc>
              <w:tc>
                <w:tcPr>
                  <w:tcW w:w="619" w:type="pct"/>
                  <w:noWrap w:val="0"/>
                  <w:vAlign w:val="center"/>
                </w:tcPr>
                <w:p w14:paraId="1995EC39">
                  <w:pPr>
                    <w:pStyle w:val="6"/>
                    <w:ind w:firstLine="0"/>
                    <w:jc w:val="center"/>
                    <w:rPr>
                      <w:rFonts w:hint="default" w:eastAsia="宋体"/>
                      <w:color w:val="auto"/>
                      <w:sz w:val="21"/>
                      <w:szCs w:val="21"/>
                      <w:lang w:val="en-US" w:eastAsia="zh-CN"/>
                    </w:rPr>
                  </w:pPr>
                  <w:r>
                    <w:rPr>
                      <w:rFonts w:hint="eastAsia" w:eastAsia="宋体"/>
                      <w:color w:val="auto"/>
                      <w:sz w:val="21"/>
                      <w:szCs w:val="21"/>
                      <w:lang w:val="en-US" w:eastAsia="zh-CN"/>
                    </w:rPr>
                    <w:t>0.8</w:t>
                  </w:r>
                </w:p>
              </w:tc>
              <w:tc>
                <w:tcPr>
                  <w:tcW w:w="636" w:type="pct"/>
                  <w:noWrap w:val="0"/>
                  <w:vAlign w:val="center"/>
                </w:tcPr>
                <w:p w14:paraId="7E8CA10E">
                  <w:pPr>
                    <w:pStyle w:val="6"/>
                    <w:ind w:firstLine="0"/>
                    <w:jc w:val="center"/>
                    <w:rPr>
                      <w:rFonts w:hint="default" w:eastAsia="宋体"/>
                      <w:color w:val="auto"/>
                      <w:sz w:val="21"/>
                      <w:szCs w:val="21"/>
                      <w:lang w:val="en-US" w:eastAsia="zh-CN"/>
                    </w:rPr>
                  </w:pPr>
                  <w:r>
                    <w:rPr>
                      <w:rFonts w:hint="eastAsia"/>
                      <w:color w:val="auto"/>
                      <w:sz w:val="21"/>
                      <w:szCs w:val="21"/>
                      <w:lang w:val="en-US" w:eastAsia="zh-CN"/>
                    </w:rPr>
                    <w:t>30</w:t>
                  </w:r>
                </w:p>
              </w:tc>
              <w:tc>
                <w:tcPr>
                  <w:tcW w:w="757" w:type="pct"/>
                  <w:noWrap w:val="0"/>
                  <w:vAlign w:val="center"/>
                </w:tcPr>
                <w:p w14:paraId="2A94B93F">
                  <w:pPr>
                    <w:pStyle w:val="6"/>
                    <w:ind w:firstLine="0"/>
                    <w:jc w:val="center"/>
                    <w:rPr>
                      <w:color w:val="auto"/>
                      <w:sz w:val="21"/>
                      <w:szCs w:val="21"/>
                    </w:rPr>
                  </w:pPr>
                  <w:r>
                    <w:rPr>
                      <w:color w:val="auto"/>
                      <w:sz w:val="21"/>
                      <w:szCs w:val="21"/>
                    </w:rPr>
                    <w:t>一般排放口</w:t>
                  </w:r>
                </w:p>
              </w:tc>
            </w:tr>
            <w:tr w14:paraId="4D4BB4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5" w:type="pct"/>
                  <w:noWrap w:val="0"/>
                  <w:vAlign w:val="center"/>
                </w:tcPr>
                <w:p w14:paraId="096825C3">
                  <w:pPr>
                    <w:pStyle w:val="6"/>
                    <w:ind w:left="-105" w:leftChars="-50" w:right="-105" w:rightChars="-50" w:firstLine="0"/>
                    <w:jc w:val="center"/>
                    <w:rPr>
                      <w:rFonts w:hint="eastAsia" w:eastAsia="宋体"/>
                      <w:color w:val="auto"/>
                      <w:sz w:val="21"/>
                      <w:szCs w:val="21"/>
                      <w:lang w:val="en-US" w:eastAsia="zh-CN"/>
                    </w:rPr>
                  </w:pPr>
                  <w:r>
                    <w:rPr>
                      <w:rFonts w:hint="eastAsia"/>
                      <w:color w:val="auto"/>
                      <w:sz w:val="21"/>
                      <w:szCs w:val="21"/>
                    </w:rPr>
                    <w:t>排气筒DA00</w:t>
                  </w:r>
                  <w:r>
                    <w:rPr>
                      <w:rFonts w:hint="eastAsia"/>
                      <w:color w:val="auto"/>
                      <w:sz w:val="21"/>
                      <w:szCs w:val="21"/>
                      <w:lang w:val="en-US" w:eastAsia="zh-CN"/>
                    </w:rPr>
                    <w:t>3</w:t>
                  </w:r>
                </w:p>
              </w:tc>
              <w:tc>
                <w:tcPr>
                  <w:tcW w:w="766" w:type="pct"/>
                  <w:vMerge w:val="continue"/>
                  <w:noWrap w:val="0"/>
                  <w:vAlign w:val="center"/>
                </w:tcPr>
                <w:p w14:paraId="306FF361">
                  <w:pPr>
                    <w:pStyle w:val="6"/>
                    <w:ind w:firstLine="0" w:firstLineChars="0"/>
                    <w:jc w:val="center"/>
                    <w:rPr>
                      <w:rFonts w:hint="eastAsia" w:eastAsia="宋体"/>
                      <w:color w:val="auto"/>
                      <w:kern w:val="2"/>
                      <w:sz w:val="21"/>
                      <w:szCs w:val="21"/>
                      <w:lang w:val="en-US" w:eastAsia="zh-CN" w:bidi="ar-SA"/>
                    </w:rPr>
                  </w:pPr>
                </w:p>
              </w:tc>
              <w:tc>
                <w:tcPr>
                  <w:tcW w:w="1035" w:type="pct"/>
                  <w:noWrap w:val="0"/>
                  <w:vAlign w:val="center"/>
                </w:tcPr>
                <w:p w14:paraId="698ED692">
                  <w:pPr>
                    <w:pStyle w:val="6"/>
                    <w:ind w:firstLine="0"/>
                    <w:jc w:val="center"/>
                    <w:rPr>
                      <w:rFonts w:hint="eastAsia"/>
                      <w:color w:val="auto"/>
                      <w:sz w:val="21"/>
                      <w:szCs w:val="21"/>
                    </w:rPr>
                  </w:pPr>
                  <w:r>
                    <w:rPr>
                      <w:rFonts w:hint="eastAsia"/>
                      <w:color w:val="auto"/>
                      <w:sz w:val="21"/>
                      <w:szCs w:val="21"/>
                    </w:rPr>
                    <w:t>108.81960019</w:t>
                  </w:r>
                </w:p>
                <w:p w14:paraId="36F2B6C6">
                  <w:pPr>
                    <w:pStyle w:val="6"/>
                    <w:ind w:firstLine="0"/>
                    <w:jc w:val="center"/>
                    <w:rPr>
                      <w:rFonts w:hint="eastAsia"/>
                      <w:color w:val="auto"/>
                      <w:sz w:val="21"/>
                      <w:szCs w:val="21"/>
                    </w:rPr>
                  </w:pPr>
                  <w:r>
                    <w:rPr>
                      <w:rFonts w:hint="eastAsia"/>
                      <w:color w:val="auto"/>
                      <w:sz w:val="21"/>
                      <w:szCs w:val="21"/>
                    </w:rPr>
                    <w:t>34.32740732</w:t>
                  </w:r>
                </w:p>
              </w:tc>
              <w:tc>
                <w:tcPr>
                  <w:tcW w:w="528" w:type="pct"/>
                  <w:noWrap w:val="0"/>
                  <w:vAlign w:val="center"/>
                </w:tcPr>
                <w:p w14:paraId="2EDFB528">
                  <w:pPr>
                    <w:pStyle w:val="6"/>
                    <w:ind w:firstLine="0"/>
                    <w:jc w:val="center"/>
                    <w:rPr>
                      <w:rFonts w:hint="default" w:eastAsia="宋体"/>
                      <w:color w:val="auto"/>
                      <w:sz w:val="21"/>
                      <w:szCs w:val="21"/>
                      <w:lang w:val="en-US" w:eastAsia="zh-CN"/>
                    </w:rPr>
                  </w:pPr>
                  <w:r>
                    <w:rPr>
                      <w:rFonts w:hint="eastAsia"/>
                      <w:color w:val="auto"/>
                      <w:sz w:val="21"/>
                      <w:szCs w:val="21"/>
                      <w:lang w:val="en-US" w:eastAsia="zh-CN"/>
                    </w:rPr>
                    <w:t>16</w:t>
                  </w:r>
                </w:p>
              </w:tc>
              <w:tc>
                <w:tcPr>
                  <w:tcW w:w="619" w:type="pct"/>
                  <w:noWrap w:val="0"/>
                  <w:vAlign w:val="center"/>
                </w:tcPr>
                <w:p w14:paraId="5CD60989">
                  <w:pPr>
                    <w:pStyle w:val="6"/>
                    <w:ind w:firstLine="0"/>
                    <w:jc w:val="center"/>
                    <w:rPr>
                      <w:rFonts w:hint="default" w:eastAsia="宋体"/>
                      <w:color w:val="auto"/>
                      <w:sz w:val="21"/>
                      <w:szCs w:val="21"/>
                      <w:lang w:val="en-US" w:eastAsia="zh-CN"/>
                    </w:rPr>
                  </w:pPr>
                  <w:r>
                    <w:rPr>
                      <w:rFonts w:hint="eastAsia" w:eastAsia="宋体"/>
                      <w:color w:val="auto"/>
                      <w:sz w:val="21"/>
                      <w:szCs w:val="21"/>
                      <w:lang w:val="en-US" w:eastAsia="zh-CN"/>
                    </w:rPr>
                    <w:t>0.8</w:t>
                  </w:r>
                </w:p>
              </w:tc>
              <w:tc>
                <w:tcPr>
                  <w:tcW w:w="636" w:type="pct"/>
                  <w:noWrap w:val="0"/>
                  <w:vAlign w:val="center"/>
                </w:tcPr>
                <w:p w14:paraId="0591A635">
                  <w:pPr>
                    <w:pStyle w:val="6"/>
                    <w:ind w:firstLine="0"/>
                    <w:jc w:val="center"/>
                    <w:rPr>
                      <w:rFonts w:hint="default" w:eastAsia="宋体"/>
                      <w:color w:val="auto"/>
                      <w:sz w:val="21"/>
                      <w:szCs w:val="21"/>
                      <w:lang w:val="en-US" w:eastAsia="zh-CN"/>
                    </w:rPr>
                  </w:pPr>
                  <w:r>
                    <w:rPr>
                      <w:rFonts w:hint="eastAsia"/>
                      <w:color w:val="auto"/>
                      <w:sz w:val="21"/>
                      <w:szCs w:val="21"/>
                      <w:lang w:val="en-US" w:eastAsia="zh-CN"/>
                    </w:rPr>
                    <w:t>30</w:t>
                  </w:r>
                </w:p>
              </w:tc>
              <w:tc>
                <w:tcPr>
                  <w:tcW w:w="757" w:type="pct"/>
                  <w:noWrap w:val="0"/>
                  <w:vAlign w:val="center"/>
                </w:tcPr>
                <w:p w14:paraId="334C0CDE">
                  <w:pPr>
                    <w:pStyle w:val="6"/>
                    <w:ind w:firstLine="0"/>
                    <w:jc w:val="center"/>
                    <w:rPr>
                      <w:color w:val="auto"/>
                      <w:sz w:val="21"/>
                      <w:szCs w:val="21"/>
                    </w:rPr>
                  </w:pPr>
                  <w:r>
                    <w:rPr>
                      <w:color w:val="auto"/>
                      <w:sz w:val="21"/>
                      <w:szCs w:val="21"/>
                    </w:rPr>
                    <w:t>一般排放口</w:t>
                  </w:r>
                </w:p>
              </w:tc>
            </w:tr>
            <w:tr w14:paraId="409936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5" w:type="pct"/>
                  <w:noWrap w:val="0"/>
                  <w:vAlign w:val="center"/>
                </w:tcPr>
                <w:p w14:paraId="0C79BF0F">
                  <w:pPr>
                    <w:pStyle w:val="6"/>
                    <w:ind w:left="-105" w:leftChars="-50" w:right="-105" w:rightChars="-50" w:firstLine="0"/>
                    <w:jc w:val="center"/>
                    <w:rPr>
                      <w:rFonts w:hint="eastAsia" w:eastAsia="宋体"/>
                      <w:color w:val="auto"/>
                      <w:sz w:val="21"/>
                      <w:szCs w:val="21"/>
                      <w:lang w:val="en-US" w:eastAsia="zh-CN"/>
                    </w:rPr>
                  </w:pPr>
                  <w:r>
                    <w:rPr>
                      <w:rFonts w:hint="eastAsia"/>
                      <w:color w:val="auto"/>
                      <w:sz w:val="21"/>
                      <w:szCs w:val="21"/>
                    </w:rPr>
                    <w:t>排气筒DA00</w:t>
                  </w:r>
                  <w:r>
                    <w:rPr>
                      <w:rFonts w:hint="eastAsia"/>
                      <w:color w:val="auto"/>
                      <w:sz w:val="21"/>
                      <w:szCs w:val="21"/>
                      <w:lang w:val="en-US" w:eastAsia="zh-CN"/>
                    </w:rPr>
                    <w:t>4</w:t>
                  </w:r>
                </w:p>
              </w:tc>
              <w:tc>
                <w:tcPr>
                  <w:tcW w:w="766" w:type="pct"/>
                  <w:vMerge w:val="restart"/>
                  <w:noWrap w:val="0"/>
                  <w:vAlign w:val="center"/>
                </w:tcPr>
                <w:p w14:paraId="1695AF26">
                  <w:pPr>
                    <w:pStyle w:val="6"/>
                    <w:ind w:firstLine="0"/>
                    <w:jc w:val="center"/>
                    <w:rPr>
                      <w:rFonts w:hint="eastAsia"/>
                      <w:color w:val="auto"/>
                      <w:sz w:val="21"/>
                      <w:szCs w:val="21"/>
                    </w:rPr>
                  </w:pPr>
                  <w:r>
                    <w:rPr>
                      <w:rFonts w:hint="eastAsia"/>
                      <w:color w:val="auto"/>
                      <w:sz w:val="21"/>
                      <w:szCs w:val="21"/>
                    </w:rPr>
                    <w:t>颗粒物</w:t>
                  </w:r>
                  <w:r>
                    <w:rPr>
                      <w:rFonts w:hint="eastAsia"/>
                      <w:color w:val="auto"/>
                      <w:sz w:val="21"/>
                      <w:szCs w:val="21"/>
                      <w:lang w:eastAsia="zh-CN"/>
                    </w:rPr>
                    <w:t>、</w:t>
                  </w:r>
                  <w:r>
                    <w:rPr>
                      <w:rFonts w:hint="eastAsia"/>
                      <w:color w:val="auto"/>
                      <w:sz w:val="21"/>
                      <w:szCs w:val="21"/>
                      <w:lang w:val="en-US" w:eastAsia="zh-CN"/>
                    </w:rPr>
                    <w:t>非甲烷总烃</w:t>
                  </w:r>
                </w:p>
              </w:tc>
              <w:tc>
                <w:tcPr>
                  <w:tcW w:w="1035" w:type="pct"/>
                  <w:noWrap w:val="0"/>
                  <w:vAlign w:val="center"/>
                </w:tcPr>
                <w:p w14:paraId="0600ACDE">
                  <w:pPr>
                    <w:pStyle w:val="6"/>
                    <w:ind w:firstLine="0"/>
                    <w:jc w:val="center"/>
                    <w:rPr>
                      <w:rFonts w:hint="eastAsia"/>
                      <w:color w:val="auto"/>
                      <w:sz w:val="21"/>
                      <w:szCs w:val="21"/>
                    </w:rPr>
                  </w:pPr>
                  <w:r>
                    <w:rPr>
                      <w:rFonts w:hint="eastAsia"/>
                      <w:color w:val="auto"/>
                      <w:sz w:val="21"/>
                      <w:szCs w:val="21"/>
                    </w:rPr>
                    <w:t>108.81959751</w:t>
                  </w:r>
                </w:p>
                <w:p w14:paraId="60BBE4E6">
                  <w:pPr>
                    <w:pStyle w:val="6"/>
                    <w:ind w:firstLine="0"/>
                    <w:jc w:val="center"/>
                    <w:rPr>
                      <w:rFonts w:hint="eastAsia"/>
                      <w:color w:val="auto"/>
                      <w:sz w:val="21"/>
                      <w:szCs w:val="21"/>
                    </w:rPr>
                  </w:pPr>
                  <w:r>
                    <w:rPr>
                      <w:rFonts w:hint="eastAsia"/>
                      <w:color w:val="auto"/>
                      <w:sz w:val="21"/>
                      <w:szCs w:val="21"/>
                    </w:rPr>
                    <w:t>34.32755462</w:t>
                  </w:r>
                </w:p>
              </w:tc>
              <w:tc>
                <w:tcPr>
                  <w:tcW w:w="528" w:type="pct"/>
                  <w:noWrap w:val="0"/>
                  <w:vAlign w:val="center"/>
                </w:tcPr>
                <w:p w14:paraId="734145FB">
                  <w:pPr>
                    <w:pStyle w:val="6"/>
                    <w:ind w:firstLine="0"/>
                    <w:jc w:val="center"/>
                    <w:rPr>
                      <w:rFonts w:hint="default" w:eastAsia="宋体"/>
                      <w:color w:val="auto"/>
                      <w:sz w:val="21"/>
                      <w:szCs w:val="21"/>
                      <w:lang w:val="en-US" w:eastAsia="zh-CN"/>
                    </w:rPr>
                  </w:pPr>
                  <w:r>
                    <w:rPr>
                      <w:rFonts w:hint="eastAsia"/>
                      <w:color w:val="auto"/>
                      <w:sz w:val="21"/>
                      <w:szCs w:val="21"/>
                      <w:lang w:val="en-US" w:eastAsia="zh-CN"/>
                    </w:rPr>
                    <w:t>16</w:t>
                  </w:r>
                </w:p>
              </w:tc>
              <w:tc>
                <w:tcPr>
                  <w:tcW w:w="619" w:type="pct"/>
                  <w:noWrap w:val="0"/>
                  <w:vAlign w:val="center"/>
                </w:tcPr>
                <w:p w14:paraId="61750F88">
                  <w:pPr>
                    <w:pStyle w:val="6"/>
                    <w:ind w:firstLine="0"/>
                    <w:jc w:val="center"/>
                    <w:rPr>
                      <w:rFonts w:hint="default" w:eastAsia="宋体"/>
                      <w:color w:val="auto"/>
                      <w:sz w:val="21"/>
                      <w:szCs w:val="21"/>
                      <w:lang w:val="en-US" w:eastAsia="zh-CN"/>
                    </w:rPr>
                  </w:pPr>
                  <w:r>
                    <w:rPr>
                      <w:rFonts w:hint="eastAsia"/>
                      <w:color w:val="auto"/>
                      <w:sz w:val="21"/>
                      <w:szCs w:val="21"/>
                      <w:lang w:val="en-US" w:eastAsia="zh-CN"/>
                    </w:rPr>
                    <w:t>0.9</w:t>
                  </w:r>
                </w:p>
              </w:tc>
              <w:tc>
                <w:tcPr>
                  <w:tcW w:w="636" w:type="pct"/>
                  <w:noWrap w:val="0"/>
                  <w:vAlign w:val="center"/>
                </w:tcPr>
                <w:p w14:paraId="53D5182C">
                  <w:pPr>
                    <w:pStyle w:val="6"/>
                    <w:ind w:firstLine="0"/>
                    <w:jc w:val="center"/>
                    <w:rPr>
                      <w:rFonts w:hint="default" w:eastAsia="宋体"/>
                      <w:color w:val="auto"/>
                      <w:sz w:val="21"/>
                      <w:szCs w:val="21"/>
                      <w:lang w:val="en-US" w:eastAsia="zh-CN"/>
                    </w:rPr>
                  </w:pPr>
                  <w:r>
                    <w:rPr>
                      <w:rFonts w:hint="eastAsia"/>
                      <w:color w:val="auto"/>
                      <w:sz w:val="21"/>
                      <w:szCs w:val="21"/>
                      <w:lang w:val="en-US" w:eastAsia="zh-CN"/>
                    </w:rPr>
                    <w:t>25</w:t>
                  </w:r>
                </w:p>
              </w:tc>
              <w:tc>
                <w:tcPr>
                  <w:tcW w:w="757" w:type="pct"/>
                  <w:noWrap w:val="0"/>
                  <w:vAlign w:val="center"/>
                </w:tcPr>
                <w:p w14:paraId="2680784F">
                  <w:pPr>
                    <w:pStyle w:val="6"/>
                    <w:ind w:firstLine="0"/>
                    <w:jc w:val="center"/>
                    <w:rPr>
                      <w:color w:val="auto"/>
                      <w:sz w:val="21"/>
                      <w:szCs w:val="21"/>
                    </w:rPr>
                  </w:pPr>
                  <w:r>
                    <w:rPr>
                      <w:color w:val="auto"/>
                      <w:sz w:val="21"/>
                      <w:szCs w:val="21"/>
                    </w:rPr>
                    <w:t>一般排放口</w:t>
                  </w:r>
                </w:p>
              </w:tc>
            </w:tr>
            <w:tr w14:paraId="47DC2E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55" w:type="pct"/>
                  <w:noWrap w:val="0"/>
                  <w:vAlign w:val="center"/>
                </w:tcPr>
                <w:p w14:paraId="1BA02D19">
                  <w:pPr>
                    <w:pStyle w:val="6"/>
                    <w:ind w:left="-105" w:leftChars="-50" w:right="-105" w:rightChars="-50" w:firstLine="0"/>
                    <w:jc w:val="center"/>
                    <w:rPr>
                      <w:rFonts w:hint="eastAsia" w:eastAsia="宋体"/>
                      <w:color w:val="auto"/>
                      <w:sz w:val="21"/>
                      <w:szCs w:val="21"/>
                      <w:lang w:val="en-US" w:eastAsia="zh-CN"/>
                    </w:rPr>
                  </w:pPr>
                  <w:r>
                    <w:rPr>
                      <w:rFonts w:hint="eastAsia"/>
                      <w:color w:val="auto"/>
                      <w:sz w:val="21"/>
                      <w:szCs w:val="21"/>
                    </w:rPr>
                    <w:t>排气筒DA00</w:t>
                  </w:r>
                  <w:r>
                    <w:rPr>
                      <w:rFonts w:hint="eastAsia"/>
                      <w:color w:val="auto"/>
                      <w:sz w:val="21"/>
                      <w:szCs w:val="21"/>
                      <w:lang w:val="en-US" w:eastAsia="zh-CN"/>
                    </w:rPr>
                    <w:t>5</w:t>
                  </w:r>
                </w:p>
              </w:tc>
              <w:tc>
                <w:tcPr>
                  <w:tcW w:w="766" w:type="pct"/>
                  <w:vMerge w:val="continue"/>
                  <w:noWrap w:val="0"/>
                  <w:vAlign w:val="center"/>
                </w:tcPr>
                <w:p w14:paraId="22953A2A">
                  <w:pPr>
                    <w:pStyle w:val="6"/>
                    <w:ind w:firstLine="0"/>
                    <w:jc w:val="center"/>
                    <w:rPr>
                      <w:rFonts w:hint="eastAsia"/>
                      <w:color w:val="auto"/>
                      <w:sz w:val="21"/>
                      <w:szCs w:val="21"/>
                    </w:rPr>
                  </w:pPr>
                </w:p>
              </w:tc>
              <w:tc>
                <w:tcPr>
                  <w:tcW w:w="1035" w:type="pct"/>
                  <w:noWrap w:val="0"/>
                  <w:vAlign w:val="center"/>
                </w:tcPr>
                <w:p w14:paraId="7EB4EF67">
                  <w:pPr>
                    <w:pStyle w:val="6"/>
                    <w:ind w:firstLine="0"/>
                    <w:jc w:val="center"/>
                    <w:rPr>
                      <w:rFonts w:hint="eastAsia"/>
                      <w:color w:val="auto"/>
                      <w:sz w:val="21"/>
                      <w:szCs w:val="21"/>
                    </w:rPr>
                  </w:pPr>
                  <w:r>
                    <w:rPr>
                      <w:rFonts w:hint="eastAsia"/>
                      <w:color w:val="auto"/>
                      <w:sz w:val="21"/>
                      <w:szCs w:val="21"/>
                    </w:rPr>
                    <w:t>108.81959751</w:t>
                  </w:r>
                </w:p>
                <w:p w14:paraId="14AF75F3">
                  <w:pPr>
                    <w:pStyle w:val="6"/>
                    <w:ind w:firstLine="0"/>
                    <w:jc w:val="center"/>
                    <w:rPr>
                      <w:rFonts w:hint="eastAsia"/>
                      <w:color w:val="auto"/>
                      <w:sz w:val="21"/>
                      <w:szCs w:val="21"/>
                    </w:rPr>
                  </w:pPr>
                  <w:r>
                    <w:rPr>
                      <w:rFonts w:hint="eastAsia"/>
                      <w:color w:val="auto"/>
                      <w:sz w:val="21"/>
                      <w:szCs w:val="21"/>
                    </w:rPr>
                    <w:t>34.32757234</w:t>
                  </w:r>
                </w:p>
              </w:tc>
              <w:tc>
                <w:tcPr>
                  <w:tcW w:w="528" w:type="pct"/>
                  <w:noWrap w:val="0"/>
                  <w:vAlign w:val="center"/>
                </w:tcPr>
                <w:p w14:paraId="54FBE8A9">
                  <w:pPr>
                    <w:pStyle w:val="6"/>
                    <w:ind w:firstLine="0"/>
                    <w:jc w:val="center"/>
                    <w:rPr>
                      <w:rFonts w:hint="default" w:eastAsia="宋体"/>
                      <w:color w:val="auto"/>
                      <w:sz w:val="21"/>
                      <w:szCs w:val="21"/>
                      <w:lang w:val="en-US" w:eastAsia="zh-CN"/>
                    </w:rPr>
                  </w:pPr>
                  <w:r>
                    <w:rPr>
                      <w:rFonts w:hint="eastAsia"/>
                      <w:color w:val="auto"/>
                      <w:sz w:val="21"/>
                      <w:szCs w:val="21"/>
                      <w:lang w:val="en-US" w:eastAsia="zh-CN"/>
                    </w:rPr>
                    <w:t>16</w:t>
                  </w:r>
                </w:p>
              </w:tc>
              <w:tc>
                <w:tcPr>
                  <w:tcW w:w="619" w:type="pct"/>
                  <w:noWrap w:val="0"/>
                  <w:vAlign w:val="center"/>
                </w:tcPr>
                <w:p w14:paraId="136A75FD">
                  <w:pPr>
                    <w:pStyle w:val="6"/>
                    <w:ind w:firstLine="0"/>
                    <w:jc w:val="center"/>
                    <w:rPr>
                      <w:rFonts w:hint="default" w:eastAsia="宋体"/>
                      <w:color w:val="auto"/>
                      <w:sz w:val="21"/>
                      <w:szCs w:val="21"/>
                      <w:lang w:val="en-US" w:eastAsia="zh-CN"/>
                    </w:rPr>
                  </w:pPr>
                  <w:r>
                    <w:rPr>
                      <w:rFonts w:hint="eastAsia"/>
                      <w:color w:val="auto"/>
                      <w:sz w:val="21"/>
                      <w:szCs w:val="21"/>
                      <w:lang w:val="en-US" w:eastAsia="zh-CN"/>
                    </w:rPr>
                    <w:t>0.9</w:t>
                  </w:r>
                </w:p>
              </w:tc>
              <w:tc>
                <w:tcPr>
                  <w:tcW w:w="636" w:type="pct"/>
                  <w:noWrap w:val="0"/>
                  <w:vAlign w:val="center"/>
                </w:tcPr>
                <w:p w14:paraId="5E37A471">
                  <w:pPr>
                    <w:pStyle w:val="6"/>
                    <w:ind w:firstLine="0"/>
                    <w:jc w:val="center"/>
                    <w:rPr>
                      <w:rFonts w:hint="default" w:eastAsia="宋体"/>
                      <w:color w:val="auto"/>
                      <w:sz w:val="21"/>
                      <w:szCs w:val="21"/>
                      <w:lang w:val="en-US" w:eastAsia="zh-CN"/>
                    </w:rPr>
                  </w:pPr>
                  <w:r>
                    <w:rPr>
                      <w:rFonts w:hint="eastAsia"/>
                      <w:color w:val="auto"/>
                      <w:sz w:val="21"/>
                      <w:szCs w:val="21"/>
                      <w:lang w:val="en-US" w:eastAsia="zh-CN"/>
                    </w:rPr>
                    <w:t>25</w:t>
                  </w:r>
                </w:p>
              </w:tc>
              <w:tc>
                <w:tcPr>
                  <w:tcW w:w="757" w:type="pct"/>
                  <w:noWrap w:val="0"/>
                  <w:vAlign w:val="center"/>
                </w:tcPr>
                <w:p w14:paraId="0CEECCF7">
                  <w:pPr>
                    <w:pStyle w:val="6"/>
                    <w:ind w:firstLine="0"/>
                    <w:jc w:val="center"/>
                    <w:rPr>
                      <w:color w:val="auto"/>
                      <w:sz w:val="21"/>
                      <w:szCs w:val="21"/>
                    </w:rPr>
                  </w:pPr>
                  <w:r>
                    <w:rPr>
                      <w:color w:val="auto"/>
                      <w:sz w:val="21"/>
                      <w:szCs w:val="21"/>
                    </w:rPr>
                    <w:t>一般排放口</w:t>
                  </w:r>
                </w:p>
              </w:tc>
            </w:tr>
          </w:tbl>
          <w:p w14:paraId="46366633">
            <w:pPr>
              <w:keepNext w:val="0"/>
              <w:keepLines w:val="0"/>
              <w:pageBreakBefore w:val="0"/>
              <w:widowControl w:val="0"/>
              <w:kinsoku/>
              <w:wordWrap/>
              <w:overflowPunct/>
              <w:topLinePunct w:val="0"/>
              <w:autoSpaceDE/>
              <w:autoSpaceDN/>
              <w:bidi w:val="0"/>
              <w:spacing w:before="120" w:beforeLines="50" w:line="312" w:lineRule="auto"/>
              <w:ind w:firstLine="480" w:firstLineChars="200"/>
              <w:textAlignment w:val="auto"/>
              <w:rPr>
                <w:color w:val="auto"/>
                <w:sz w:val="24"/>
              </w:rPr>
            </w:pPr>
            <w:r>
              <w:rPr>
                <w:rFonts w:hint="eastAsia"/>
                <w:color w:val="auto"/>
                <w:sz w:val="24"/>
              </w:rPr>
              <w:t>排气筒高度符合性分析：</w:t>
            </w:r>
          </w:p>
          <w:p w14:paraId="648D2F80">
            <w:pPr>
              <w:keepNext w:val="0"/>
              <w:keepLines w:val="0"/>
              <w:pageBreakBefore w:val="0"/>
              <w:widowControl w:val="0"/>
              <w:kinsoku/>
              <w:wordWrap/>
              <w:overflowPunct/>
              <w:topLinePunct w:val="0"/>
              <w:autoSpaceDE/>
              <w:autoSpaceDN/>
              <w:bidi w:val="0"/>
              <w:adjustRightInd/>
              <w:snapToGrid/>
              <w:spacing w:line="312" w:lineRule="auto"/>
              <w:ind w:left="0" w:leftChars="0" w:firstLine="480" w:firstLineChars="200"/>
              <w:textAlignment w:val="auto"/>
              <w:rPr>
                <w:rFonts w:hint="eastAsia"/>
                <w:color w:val="auto"/>
                <w:sz w:val="24"/>
                <w:highlight w:val="none"/>
              </w:rPr>
            </w:pPr>
            <w:r>
              <w:rPr>
                <w:rFonts w:hint="eastAsia"/>
                <w:color w:val="auto"/>
                <w:sz w:val="24"/>
                <w:highlight w:val="none"/>
              </w:rPr>
              <w:t>根据《大气污染物综合排放标准》（GB16297-1996）中排气筒高度要求：</w:t>
            </w:r>
            <w:r>
              <w:rPr>
                <w:rFonts w:hint="eastAsia"/>
                <w:color w:val="auto"/>
                <w:sz w:val="24"/>
                <w:highlight w:val="none"/>
                <w:lang w:eastAsia="zh-CN"/>
              </w:rPr>
              <w:t>“</w:t>
            </w:r>
            <w:r>
              <w:rPr>
                <w:rFonts w:hint="eastAsia"/>
                <w:color w:val="auto"/>
                <w:sz w:val="24"/>
                <w:highlight w:val="none"/>
              </w:rPr>
              <w:t>新建污染源排气筒高度一般不应低于15m，还应高出周围200m半径范围内的建筑5m以上</w:t>
            </w:r>
            <w:r>
              <w:rPr>
                <w:rFonts w:hint="eastAsia"/>
                <w:color w:val="auto"/>
                <w:sz w:val="24"/>
                <w:highlight w:val="none"/>
                <w:lang w:eastAsia="zh-CN"/>
              </w:rPr>
              <w:t>，不能达到该要求的排气筒，应按其高度对应的表列排放速率标准值严格50%执行”的要求</w:t>
            </w:r>
            <w:r>
              <w:rPr>
                <w:rFonts w:hint="eastAsia"/>
                <w:color w:val="auto"/>
                <w:sz w:val="24"/>
                <w:highlight w:val="none"/>
              </w:rPr>
              <w:t>。</w:t>
            </w:r>
          </w:p>
          <w:p w14:paraId="238BF4E0">
            <w:pPr>
              <w:keepNext w:val="0"/>
              <w:keepLines w:val="0"/>
              <w:pageBreakBefore w:val="0"/>
              <w:widowControl w:val="0"/>
              <w:kinsoku/>
              <w:wordWrap/>
              <w:overflowPunct/>
              <w:topLinePunct w:val="0"/>
              <w:autoSpaceDE/>
              <w:autoSpaceDN/>
              <w:bidi w:val="0"/>
              <w:spacing w:line="312" w:lineRule="auto"/>
              <w:ind w:firstLine="480" w:firstLineChars="200"/>
              <w:textAlignment w:val="auto"/>
              <w:rPr>
                <w:rFonts w:hint="eastAsia"/>
                <w:color w:val="auto"/>
                <w:sz w:val="24"/>
              </w:rPr>
            </w:pPr>
            <w:r>
              <w:rPr>
                <w:rFonts w:hint="eastAsia"/>
                <w:color w:val="auto"/>
                <w:sz w:val="24"/>
                <w:highlight w:val="none"/>
              </w:rPr>
              <w:t>本项目</w:t>
            </w:r>
            <w:r>
              <w:rPr>
                <w:rFonts w:hint="eastAsia"/>
                <w:color w:val="auto"/>
                <w:sz w:val="24"/>
                <w:highlight w:val="none"/>
                <w:lang w:val="en-US" w:eastAsia="zh-CN"/>
              </w:rPr>
              <w:t>周围200m范围内</w:t>
            </w:r>
            <w:r>
              <w:rPr>
                <w:rFonts w:hint="eastAsia"/>
                <w:color w:val="auto"/>
                <w:sz w:val="24"/>
                <w:highlight w:val="none"/>
              </w:rPr>
              <w:t>最高建筑为本项目</w:t>
            </w:r>
            <w:r>
              <w:rPr>
                <w:rFonts w:hint="eastAsia"/>
                <w:color w:val="auto"/>
                <w:sz w:val="24"/>
                <w:highlight w:val="none"/>
                <w:lang w:val="en-US" w:eastAsia="zh-CN"/>
              </w:rPr>
              <w:t>厂区的</w:t>
            </w:r>
            <w:r>
              <w:rPr>
                <w:rFonts w:hint="eastAsia"/>
                <w:color w:val="auto"/>
                <w:sz w:val="24"/>
                <w:highlight w:val="none"/>
              </w:rPr>
              <w:t>高度为</w:t>
            </w:r>
            <w:r>
              <w:rPr>
                <w:rFonts w:hint="eastAsia"/>
                <w:color w:val="auto"/>
                <w:sz w:val="24"/>
                <w:highlight w:val="none"/>
                <w:lang w:val="en-US" w:eastAsia="zh-CN"/>
              </w:rPr>
              <w:t>11</w:t>
            </w:r>
            <w:r>
              <w:rPr>
                <w:rFonts w:hint="eastAsia"/>
                <w:color w:val="auto"/>
                <w:sz w:val="24"/>
                <w:highlight w:val="none"/>
              </w:rPr>
              <w:t>m，因此需设置</w:t>
            </w:r>
            <w:r>
              <w:rPr>
                <w:rFonts w:hint="eastAsia"/>
                <w:color w:val="auto"/>
                <w:sz w:val="24"/>
                <w:highlight w:val="none"/>
                <w:lang w:val="en-US" w:eastAsia="zh-CN"/>
              </w:rPr>
              <w:t>16m</w:t>
            </w:r>
            <w:r>
              <w:rPr>
                <w:rFonts w:hint="eastAsia"/>
                <w:color w:val="auto"/>
                <w:sz w:val="24"/>
                <w:highlight w:val="none"/>
              </w:rPr>
              <w:t>排气筒排放，本项目</w:t>
            </w:r>
            <w:r>
              <w:rPr>
                <w:rFonts w:hint="eastAsia"/>
                <w:color w:val="auto"/>
                <w:sz w:val="24"/>
                <w:highlight w:val="none"/>
                <w:lang w:val="en-US" w:eastAsia="zh-CN"/>
              </w:rPr>
              <w:t>设置</w:t>
            </w:r>
            <w:r>
              <w:rPr>
                <w:rFonts w:hint="eastAsia"/>
                <w:color w:val="auto"/>
                <w:sz w:val="24"/>
                <w:highlight w:val="none"/>
              </w:rPr>
              <w:t>排气筒高度</w:t>
            </w:r>
            <w:r>
              <w:rPr>
                <w:rFonts w:hint="eastAsia"/>
                <w:color w:val="auto"/>
                <w:sz w:val="24"/>
                <w:highlight w:val="none"/>
                <w:lang w:val="en-US" w:eastAsia="zh-CN"/>
              </w:rPr>
              <w:t>为</w:t>
            </w:r>
            <w:r>
              <w:rPr>
                <w:rFonts w:hint="eastAsia"/>
                <w:color w:val="auto"/>
                <w:sz w:val="24"/>
                <w:highlight w:val="none"/>
                <w:lang w:eastAsia="zh-CN"/>
              </w:rPr>
              <w:t>1</w:t>
            </w:r>
            <w:r>
              <w:rPr>
                <w:rFonts w:hint="eastAsia"/>
                <w:color w:val="auto"/>
                <w:sz w:val="24"/>
                <w:highlight w:val="none"/>
                <w:lang w:val="en-US" w:eastAsia="zh-CN"/>
              </w:rPr>
              <w:t>6</w:t>
            </w:r>
            <w:r>
              <w:rPr>
                <w:rFonts w:hint="eastAsia"/>
                <w:color w:val="auto"/>
                <w:sz w:val="24"/>
                <w:highlight w:val="none"/>
                <w:lang w:eastAsia="zh-CN"/>
              </w:rPr>
              <w:t>m，</w:t>
            </w:r>
            <w:r>
              <w:rPr>
                <w:rFonts w:hint="eastAsia"/>
                <w:color w:val="auto"/>
                <w:sz w:val="24"/>
                <w:highlight w:val="none"/>
                <w:lang w:val="en-US" w:eastAsia="zh-CN"/>
              </w:rPr>
              <w:t>满足要求</w:t>
            </w:r>
            <w:r>
              <w:rPr>
                <w:rFonts w:hint="eastAsia"/>
                <w:color w:val="auto"/>
                <w:sz w:val="24"/>
                <w:highlight w:val="none"/>
              </w:rPr>
              <w:t>。</w:t>
            </w:r>
          </w:p>
          <w:p w14:paraId="7855C4AC">
            <w:pPr>
              <w:keepNext w:val="0"/>
              <w:keepLines w:val="0"/>
              <w:pageBreakBefore w:val="0"/>
              <w:widowControl w:val="0"/>
              <w:kinsoku/>
              <w:wordWrap/>
              <w:overflowPunct/>
              <w:topLinePunct w:val="0"/>
              <w:autoSpaceDE/>
              <w:autoSpaceDN/>
              <w:bidi w:val="0"/>
              <w:spacing w:line="312" w:lineRule="auto"/>
              <w:ind w:firstLine="480" w:firstLineChars="200"/>
              <w:textAlignment w:val="auto"/>
              <w:rPr>
                <w:rFonts w:hint="eastAsia"/>
                <w:color w:val="auto"/>
                <w:sz w:val="24"/>
              </w:rPr>
            </w:pPr>
            <w:r>
              <w:rPr>
                <w:rFonts w:hint="eastAsia"/>
                <w:color w:val="auto"/>
                <w:sz w:val="24"/>
              </w:rPr>
              <w:t>（</w:t>
            </w:r>
            <w:r>
              <w:rPr>
                <w:rFonts w:hint="eastAsia"/>
                <w:color w:val="auto"/>
                <w:sz w:val="24"/>
                <w:lang w:val="en-US" w:eastAsia="zh-CN"/>
              </w:rPr>
              <w:t>4</w:t>
            </w:r>
            <w:r>
              <w:rPr>
                <w:rFonts w:hint="eastAsia"/>
                <w:color w:val="auto"/>
                <w:sz w:val="24"/>
              </w:rPr>
              <w:t>）污染防治措施可行性分析</w:t>
            </w:r>
          </w:p>
          <w:p w14:paraId="5D97227B">
            <w:pPr>
              <w:pStyle w:val="76"/>
              <w:keepNext w:val="0"/>
              <w:keepLines w:val="0"/>
              <w:pageBreakBefore w:val="0"/>
              <w:widowControl w:val="0"/>
              <w:kinsoku/>
              <w:wordWrap/>
              <w:overflowPunct/>
              <w:topLinePunct w:val="0"/>
              <w:autoSpaceDE/>
              <w:autoSpaceDN/>
              <w:bidi w:val="0"/>
              <w:adjustRightInd/>
              <w:snapToGrid/>
              <w:spacing w:line="312" w:lineRule="auto"/>
              <w:ind w:firstLine="480"/>
              <w:textAlignment w:val="auto"/>
              <w:rPr>
                <w:rFonts w:hint="eastAsia" w:ascii="Times New Roman" w:hAnsi="Times New Roman" w:cs="Times New Roman"/>
                <w:color w:val="auto"/>
                <w:highlight w:val="none"/>
              </w:rPr>
            </w:pPr>
            <w:r>
              <w:rPr>
                <w:rFonts w:hint="eastAsia" w:ascii="Times New Roman" w:hAnsi="Times New Roman" w:cs="Times New Roman"/>
                <w:color w:val="auto"/>
                <w:highlight w:val="none"/>
                <w:lang w:val="en-US" w:eastAsia="zh-CN"/>
              </w:rPr>
              <w:t>参照</w:t>
            </w:r>
            <w:r>
              <w:rPr>
                <w:rFonts w:hint="eastAsia" w:ascii="Times New Roman" w:hAnsi="Times New Roman" w:cs="Times New Roman"/>
                <w:color w:val="auto"/>
                <w:highlight w:val="none"/>
              </w:rPr>
              <w:t xml:space="preserve">《排污许可证申请与核发技术规范 </w:t>
            </w:r>
            <w:r>
              <w:rPr>
                <w:rFonts w:hint="eastAsia" w:ascii="Times New Roman" w:hAnsi="Times New Roman" w:cs="Times New Roman"/>
                <w:color w:val="auto"/>
                <w:highlight w:val="none"/>
                <w:lang w:val="en-US" w:eastAsia="zh-CN"/>
              </w:rPr>
              <w:t>铁路、船舶、航空航天和其他运输设备制造业</w:t>
            </w:r>
            <w:r>
              <w:rPr>
                <w:rFonts w:hint="eastAsia" w:ascii="Times New Roman" w:hAnsi="Times New Roman" w:cs="Times New Roman"/>
                <w:color w:val="auto"/>
                <w:highlight w:val="none"/>
              </w:rPr>
              <w:t>》（HJ</w:t>
            </w:r>
            <w:r>
              <w:rPr>
                <w:rFonts w:hint="eastAsia" w:ascii="Times New Roman" w:hAnsi="Times New Roman" w:cs="Times New Roman"/>
                <w:color w:val="auto"/>
                <w:highlight w:val="none"/>
                <w:lang w:val="en-US" w:eastAsia="zh-CN"/>
              </w:rPr>
              <w:t>1124</w:t>
            </w:r>
            <w:r>
              <w:rPr>
                <w:rFonts w:hint="eastAsia" w:ascii="Times New Roman" w:hAnsi="Times New Roman" w:cs="Times New Roman"/>
                <w:color w:val="auto"/>
                <w:highlight w:val="none"/>
              </w:rPr>
              <w:t>-20</w:t>
            </w:r>
            <w:r>
              <w:rPr>
                <w:rFonts w:hint="eastAsia" w:ascii="Times New Roman" w:hAnsi="Times New Roman" w:cs="Times New Roman"/>
                <w:color w:val="auto"/>
                <w:highlight w:val="none"/>
                <w:lang w:val="en-US" w:eastAsia="zh-CN"/>
              </w:rPr>
              <w:t>20</w:t>
            </w:r>
            <w:r>
              <w:rPr>
                <w:rFonts w:hint="eastAsia" w:ascii="Times New Roman" w:hAnsi="Times New Roman" w:cs="Times New Roman"/>
                <w:color w:val="auto"/>
                <w:highlight w:val="none"/>
              </w:rPr>
              <w:t>）：表A.4</w:t>
            </w:r>
            <w:r>
              <w:rPr>
                <w:rFonts w:hint="eastAsia" w:ascii="Times New Roman" w:hAnsi="Times New Roman" w:cs="Times New Roman"/>
                <w:color w:val="auto"/>
                <w:highlight w:val="none"/>
                <w:lang w:val="en-US" w:eastAsia="zh-CN"/>
              </w:rPr>
              <w:t>喷漆环节产生的挥发性有机物、苯、甲苯、二甲苯、特征污染物有组织污染防治可行技术</w:t>
            </w:r>
            <w:r>
              <w:rPr>
                <w:rFonts w:hint="eastAsia" w:ascii="Times New Roman" w:hAnsi="Times New Roman" w:cs="Times New Roman"/>
                <w:color w:val="auto"/>
                <w:highlight w:val="none"/>
              </w:rPr>
              <w:t>有机废气治理设施</w:t>
            </w:r>
            <w:r>
              <w:rPr>
                <w:rFonts w:hint="eastAsia" w:ascii="Times New Roman" w:hAnsi="Times New Roman" w:cs="Times New Roman"/>
                <w:color w:val="auto"/>
                <w:highlight w:val="none"/>
                <w:lang w:val="en-US" w:eastAsia="zh-CN"/>
              </w:rPr>
              <w:t>有</w:t>
            </w:r>
            <w:r>
              <w:rPr>
                <w:rFonts w:hint="eastAsia" w:ascii="Times New Roman" w:hAnsi="Times New Roman" w:cs="Times New Roman"/>
                <w:color w:val="auto"/>
                <w:highlight w:val="none"/>
              </w:rPr>
              <w:t>“活性炭吸附、吸附/浓缩+热力燃烧/催化氧化、吸附+冷凝回收”</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对照</w:t>
            </w:r>
            <w:r>
              <w:rPr>
                <w:rFonts w:hint="eastAsia" w:ascii="Times New Roman" w:hAnsi="Times New Roman" w:cs="Times New Roman"/>
                <w:color w:val="auto"/>
                <w:highlight w:val="none"/>
                <w:lang w:eastAsia="zh-CN"/>
              </w:rPr>
              <w:t>2025年《国家污染防治技术指导目录》；</w:t>
            </w:r>
            <w:r>
              <w:rPr>
                <w:rFonts w:hint="eastAsia" w:ascii="Times New Roman" w:hAnsi="Times New Roman" w:cs="Times New Roman"/>
                <w:color w:val="auto"/>
                <w:highlight w:val="none"/>
              </w:rPr>
              <w:t>本项目</w:t>
            </w:r>
            <w:r>
              <w:rPr>
                <w:rFonts w:hint="eastAsia" w:ascii="Times New Roman" w:hAnsi="Times New Roman" w:cs="Times New Roman"/>
                <w:color w:val="auto"/>
                <w:highlight w:val="none"/>
                <w:lang w:val="en-US" w:eastAsia="zh-CN"/>
              </w:rPr>
              <w:t>喷烤漆产生的有机废气采用</w:t>
            </w:r>
            <w:r>
              <w:rPr>
                <w:rFonts w:hint="eastAsia" w:ascii="Times New Roman"/>
                <w:color w:val="auto"/>
                <w:szCs w:val="21"/>
                <w:highlight w:val="none"/>
                <w:lang w:val="en-US" w:eastAsia="zh-CN"/>
              </w:rPr>
              <w:t>过滤棉</w:t>
            </w:r>
            <w:r>
              <w:rPr>
                <w:rFonts w:hint="eastAsia" w:ascii="Times New Roman"/>
                <w:color w:val="auto"/>
                <w:szCs w:val="21"/>
                <w:highlight w:val="none"/>
              </w:rPr>
              <w:t>+二级活性炭吸附</w:t>
            </w:r>
            <w:r>
              <w:rPr>
                <w:rFonts w:hint="eastAsia" w:ascii="Times New Roman" w:hAnsi="Times New Roman" w:cs="Times New Roman"/>
                <w:color w:val="auto"/>
                <w:highlight w:val="none"/>
              </w:rPr>
              <w:t>属于可行技术。</w:t>
            </w:r>
          </w:p>
          <w:p w14:paraId="1A625EC4">
            <w:pPr>
              <w:pStyle w:val="76"/>
              <w:keepNext w:val="0"/>
              <w:keepLines w:val="0"/>
              <w:pageBreakBefore w:val="0"/>
              <w:widowControl w:val="0"/>
              <w:kinsoku/>
              <w:wordWrap/>
              <w:overflowPunct/>
              <w:topLinePunct w:val="0"/>
              <w:autoSpaceDE/>
              <w:autoSpaceDN/>
              <w:bidi w:val="0"/>
              <w:adjustRightInd/>
              <w:snapToGrid/>
              <w:spacing w:line="312" w:lineRule="auto"/>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cs="Times New Roman"/>
                <w:color w:val="auto"/>
                <w:highlight w:val="none"/>
                <w:lang w:val="en-US" w:eastAsia="zh-CN"/>
              </w:rPr>
              <w:t>打磨、焊接、抛光、涂原子灰废气产生的废气处置措施可行性分析：根据企业《理想汽车西咸服务中心项目委托监测报告》，采用过滤棉+活性炭设施处置后，废气可达标排放，项目采用措施可行。</w:t>
            </w:r>
          </w:p>
          <w:p w14:paraId="40CE0010">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color w:val="auto"/>
                <w:sz w:val="24"/>
              </w:rPr>
            </w:pPr>
            <w:r>
              <w:rPr>
                <w:rFonts w:hint="eastAsia"/>
                <w:color w:val="auto"/>
                <w:sz w:val="24"/>
              </w:rPr>
              <w:t>（</w:t>
            </w:r>
            <w:r>
              <w:rPr>
                <w:rFonts w:hint="eastAsia"/>
                <w:color w:val="auto"/>
                <w:sz w:val="24"/>
                <w:lang w:val="en-US" w:eastAsia="zh-CN"/>
              </w:rPr>
              <w:t>5</w:t>
            </w:r>
            <w:r>
              <w:rPr>
                <w:rFonts w:hint="eastAsia"/>
                <w:color w:val="auto"/>
                <w:sz w:val="24"/>
              </w:rPr>
              <w:t>）废气达标排放分析</w:t>
            </w:r>
          </w:p>
          <w:p w14:paraId="7E2AF772">
            <w:pPr>
              <w:keepNext w:val="0"/>
              <w:keepLines w:val="0"/>
              <w:pageBreakBefore w:val="0"/>
              <w:widowControl w:val="0"/>
              <w:kinsoku/>
              <w:wordWrap/>
              <w:overflowPunct/>
              <w:topLinePunct w:val="0"/>
              <w:autoSpaceDE/>
              <w:autoSpaceDN/>
              <w:bidi w:val="0"/>
              <w:spacing w:line="312" w:lineRule="auto"/>
              <w:ind w:firstLine="480" w:firstLineChars="200"/>
              <w:textAlignment w:val="auto"/>
              <w:rPr>
                <w:color w:val="auto"/>
                <w:sz w:val="24"/>
              </w:rPr>
            </w:pPr>
            <w:r>
              <w:rPr>
                <w:rFonts w:hint="eastAsia"/>
                <w:color w:val="auto"/>
                <w:sz w:val="24"/>
                <w:lang w:val="en-US" w:eastAsia="zh-CN"/>
              </w:rPr>
              <w:t>根据前文计算，项目有组织非甲烷总烃、甲苯、二甲苯排放满足《挥发性有机物排放控制标准》（DB 61/T 1061-2017）表1中表面涂装限值要求；有组织颗粒物排放满足《大气污染物综合排放标准》（GB16297-1996）表2最高允许排放浓度和最高允许排放速率要求</w:t>
            </w:r>
            <w:r>
              <w:rPr>
                <w:color w:val="auto"/>
                <w:sz w:val="24"/>
              </w:rPr>
              <w:t>。</w:t>
            </w:r>
          </w:p>
          <w:p w14:paraId="413DF068">
            <w:pPr>
              <w:keepNext w:val="0"/>
              <w:keepLines w:val="0"/>
              <w:pageBreakBefore w:val="0"/>
              <w:widowControl w:val="0"/>
              <w:kinsoku/>
              <w:wordWrap/>
              <w:overflowPunct/>
              <w:topLinePunct w:val="0"/>
              <w:autoSpaceDE/>
              <w:autoSpaceDN/>
              <w:bidi w:val="0"/>
              <w:spacing w:line="312" w:lineRule="auto"/>
              <w:ind w:firstLine="480" w:firstLineChars="200"/>
              <w:textAlignment w:val="auto"/>
              <w:rPr>
                <w:rFonts w:hint="eastAsia"/>
                <w:color w:val="auto"/>
                <w:sz w:val="24"/>
              </w:rPr>
            </w:pPr>
            <w:r>
              <w:rPr>
                <w:rFonts w:hint="eastAsia"/>
                <w:color w:val="auto"/>
                <w:sz w:val="24"/>
              </w:rPr>
              <w:t>项目采取上述措施后，各项废气污染物能够达标排放，对环境有一定影响，但是在环境可接受范围内。</w:t>
            </w:r>
          </w:p>
          <w:p w14:paraId="3689D934">
            <w:pPr>
              <w:keepNext w:val="0"/>
              <w:keepLines w:val="0"/>
              <w:pageBreakBefore w:val="0"/>
              <w:widowControl w:val="0"/>
              <w:kinsoku/>
              <w:wordWrap/>
              <w:overflowPunct/>
              <w:topLinePunct w:val="0"/>
              <w:autoSpaceDE/>
              <w:autoSpaceDN/>
              <w:bidi w:val="0"/>
              <w:spacing w:line="312" w:lineRule="auto"/>
              <w:ind w:firstLine="480" w:firstLineChars="200"/>
              <w:textAlignment w:val="auto"/>
              <w:rPr>
                <w:rFonts w:hint="eastAsia"/>
                <w:color w:val="auto"/>
                <w:sz w:val="24"/>
              </w:rPr>
            </w:pPr>
            <w:r>
              <w:rPr>
                <w:rFonts w:hint="eastAsia"/>
                <w:color w:val="auto"/>
                <w:sz w:val="24"/>
              </w:rPr>
              <w:t>（</w:t>
            </w:r>
            <w:r>
              <w:rPr>
                <w:rFonts w:hint="eastAsia"/>
                <w:color w:val="auto"/>
                <w:sz w:val="24"/>
                <w:lang w:val="en-US" w:eastAsia="zh-CN"/>
              </w:rPr>
              <w:t>6</w:t>
            </w:r>
            <w:r>
              <w:rPr>
                <w:rFonts w:hint="eastAsia"/>
                <w:color w:val="auto"/>
                <w:sz w:val="24"/>
              </w:rPr>
              <w:t>）监测要求</w:t>
            </w:r>
          </w:p>
          <w:p w14:paraId="0E87E426">
            <w:pPr>
              <w:keepNext w:val="0"/>
              <w:keepLines w:val="0"/>
              <w:pageBreakBefore w:val="0"/>
              <w:widowControl w:val="0"/>
              <w:kinsoku/>
              <w:wordWrap/>
              <w:overflowPunct/>
              <w:topLinePunct w:val="0"/>
              <w:autoSpaceDE/>
              <w:autoSpaceDN/>
              <w:bidi w:val="0"/>
              <w:adjustRightInd w:val="0"/>
              <w:snapToGrid w:val="0"/>
              <w:spacing w:line="312" w:lineRule="auto"/>
              <w:ind w:firstLine="480" w:firstLineChars="200"/>
              <w:textAlignment w:val="auto"/>
              <w:rPr>
                <w:rFonts w:hint="eastAsia"/>
                <w:b/>
                <w:color w:val="auto"/>
                <w:sz w:val="24"/>
              </w:rPr>
            </w:pPr>
            <w:r>
              <w:rPr>
                <w:rFonts w:hint="eastAsia"/>
                <w:color w:val="auto"/>
                <w:sz w:val="24"/>
              </w:rPr>
              <w:t>根据《排污单位自行监测技术指南 总则》（HJ819-2017）、《排污单位自行监测技术指南 涂装》（HJ1086-2020），本项目废气自行监测要求见下表：</w:t>
            </w:r>
          </w:p>
          <w:p w14:paraId="1566431C">
            <w:pPr>
              <w:keepNext/>
              <w:keepLines w:val="0"/>
              <w:pageBreakBefore w:val="0"/>
              <w:widowControl w:val="0"/>
              <w:kinsoku/>
              <w:wordWrap/>
              <w:overflowPunct/>
              <w:topLinePunct w:val="0"/>
              <w:autoSpaceDE/>
              <w:autoSpaceDN/>
              <w:bidi w:val="0"/>
              <w:adjustRightInd w:val="0"/>
              <w:snapToGrid w:val="0"/>
              <w:jc w:val="center"/>
              <w:textAlignment w:val="auto"/>
              <w:rPr>
                <w:rFonts w:eastAsia="黑体"/>
                <w:color w:val="auto"/>
                <w:sz w:val="24"/>
                <w:szCs w:val="20"/>
              </w:rPr>
            </w:pPr>
            <w:r>
              <w:rPr>
                <w:rFonts w:hint="eastAsia"/>
                <w:b/>
                <w:color w:val="auto"/>
                <w:sz w:val="24"/>
              </w:rPr>
              <w:t>表4</w:t>
            </w:r>
            <w:r>
              <w:rPr>
                <w:rFonts w:hint="eastAsia"/>
                <w:b/>
                <w:color w:val="auto"/>
                <w:sz w:val="24"/>
                <w:lang w:val="en-US" w:eastAsia="zh-CN"/>
              </w:rPr>
              <w:t>-6</w:t>
            </w:r>
            <w:r>
              <w:rPr>
                <w:rFonts w:hint="eastAsia"/>
                <w:b/>
                <w:color w:val="auto"/>
                <w:sz w:val="24"/>
              </w:rPr>
              <w:t xml:space="preserve">  废气自行监测要求</w:t>
            </w:r>
          </w:p>
          <w:tbl>
            <w:tblPr>
              <w:tblStyle w:val="25"/>
              <w:tblW w:w="802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3"/>
              <w:gridCol w:w="1747"/>
              <w:gridCol w:w="1930"/>
              <w:gridCol w:w="1274"/>
              <w:gridCol w:w="2371"/>
            </w:tblGrid>
            <w:tr w14:paraId="0C9718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26" w:type="pct"/>
                  <w:gridSpan w:val="2"/>
                  <w:noWrap w:val="0"/>
                  <w:vAlign w:val="center"/>
                </w:tcPr>
                <w:p w14:paraId="0D5B2837">
                  <w:pPr>
                    <w:adjustRightInd w:val="0"/>
                    <w:snapToGrid w:val="0"/>
                    <w:jc w:val="center"/>
                    <w:rPr>
                      <w:rFonts w:hint="eastAsia" w:ascii="宋体" w:hAnsi="宋体" w:cs="宋体"/>
                      <w:b/>
                      <w:bCs/>
                      <w:color w:val="auto"/>
                      <w:kern w:val="21"/>
                      <w:szCs w:val="21"/>
                    </w:rPr>
                  </w:pPr>
                  <w:r>
                    <w:rPr>
                      <w:rFonts w:hint="eastAsia"/>
                      <w:b/>
                      <w:bCs/>
                      <w:color w:val="auto"/>
                      <w:szCs w:val="21"/>
                      <w:lang w:val="en-US" w:eastAsia="zh-CN"/>
                    </w:rPr>
                    <w:t>监测点位</w:t>
                  </w:r>
                </w:p>
              </w:tc>
              <w:tc>
                <w:tcPr>
                  <w:tcW w:w="1202" w:type="pct"/>
                  <w:noWrap w:val="0"/>
                  <w:vAlign w:val="center"/>
                </w:tcPr>
                <w:p w14:paraId="530AE8DE">
                  <w:pPr>
                    <w:adjustRightInd w:val="0"/>
                    <w:snapToGrid w:val="0"/>
                    <w:jc w:val="center"/>
                    <w:rPr>
                      <w:rFonts w:ascii="宋体" w:hAnsi="宋体" w:cs="宋体"/>
                      <w:b/>
                      <w:bCs/>
                      <w:color w:val="auto"/>
                      <w:kern w:val="21"/>
                      <w:szCs w:val="21"/>
                    </w:rPr>
                  </w:pPr>
                  <w:r>
                    <w:rPr>
                      <w:rFonts w:hint="eastAsia" w:ascii="宋体" w:hAnsi="宋体" w:cs="宋体"/>
                      <w:b/>
                      <w:bCs/>
                      <w:color w:val="auto"/>
                      <w:kern w:val="21"/>
                      <w:szCs w:val="21"/>
                    </w:rPr>
                    <w:t>监测因子</w:t>
                  </w:r>
                </w:p>
              </w:tc>
              <w:tc>
                <w:tcPr>
                  <w:tcW w:w="793" w:type="pct"/>
                  <w:noWrap w:val="0"/>
                  <w:vAlign w:val="center"/>
                </w:tcPr>
                <w:p w14:paraId="765F7029">
                  <w:pPr>
                    <w:adjustRightInd w:val="0"/>
                    <w:snapToGrid w:val="0"/>
                    <w:jc w:val="center"/>
                    <w:rPr>
                      <w:b/>
                      <w:bCs/>
                      <w:color w:val="auto"/>
                      <w:szCs w:val="21"/>
                    </w:rPr>
                  </w:pPr>
                  <w:r>
                    <w:rPr>
                      <w:rFonts w:hint="eastAsia" w:ascii="宋体" w:hAnsi="宋体" w:cs="宋体"/>
                      <w:b/>
                      <w:bCs/>
                      <w:color w:val="auto"/>
                      <w:kern w:val="21"/>
                      <w:szCs w:val="21"/>
                    </w:rPr>
                    <w:t>监测频次</w:t>
                  </w:r>
                </w:p>
              </w:tc>
              <w:tc>
                <w:tcPr>
                  <w:tcW w:w="1477" w:type="pct"/>
                  <w:noWrap w:val="0"/>
                  <w:vAlign w:val="center"/>
                </w:tcPr>
                <w:p w14:paraId="29249A8B">
                  <w:pPr>
                    <w:adjustRightInd w:val="0"/>
                    <w:snapToGrid w:val="0"/>
                    <w:jc w:val="center"/>
                    <w:rPr>
                      <w:rFonts w:hint="eastAsia" w:ascii="宋体" w:hAnsi="宋体" w:eastAsia="宋体" w:cs="宋体"/>
                      <w:b/>
                      <w:bCs/>
                      <w:color w:val="auto"/>
                      <w:kern w:val="21"/>
                      <w:szCs w:val="21"/>
                      <w:lang w:val="en-US" w:eastAsia="zh-CN"/>
                    </w:rPr>
                  </w:pPr>
                  <w:r>
                    <w:rPr>
                      <w:rFonts w:hint="eastAsia" w:ascii="宋体" w:hAnsi="宋体" w:cs="宋体"/>
                      <w:b/>
                      <w:bCs/>
                      <w:color w:val="auto"/>
                      <w:kern w:val="21"/>
                      <w:szCs w:val="21"/>
                      <w:lang w:val="en-US" w:eastAsia="zh-CN"/>
                    </w:rPr>
                    <w:t>标准</w:t>
                  </w:r>
                </w:p>
              </w:tc>
            </w:tr>
            <w:tr w14:paraId="6CBFC0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438" w:type="pct"/>
                  <w:vMerge w:val="restart"/>
                  <w:noWrap w:val="0"/>
                  <w:vAlign w:val="center"/>
                </w:tcPr>
                <w:p w14:paraId="2EDA9DC1">
                  <w:pPr>
                    <w:adjustRightInd w:val="0"/>
                    <w:snapToGrid w:val="0"/>
                    <w:jc w:val="center"/>
                    <w:rPr>
                      <w:color w:val="auto"/>
                      <w:szCs w:val="21"/>
                    </w:rPr>
                  </w:pPr>
                  <w:r>
                    <w:rPr>
                      <w:rFonts w:hint="eastAsia"/>
                      <w:color w:val="auto"/>
                      <w:szCs w:val="21"/>
                    </w:rPr>
                    <w:t>有组织</w:t>
                  </w:r>
                </w:p>
              </w:tc>
              <w:tc>
                <w:tcPr>
                  <w:tcW w:w="1088" w:type="pct"/>
                  <w:vMerge w:val="restart"/>
                  <w:noWrap w:val="0"/>
                  <w:vAlign w:val="center"/>
                </w:tcPr>
                <w:p w14:paraId="25DBE7C2">
                  <w:pPr>
                    <w:adjustRightInd w:val="0"/>
                    <w:snapToGrid w:val="0"/>
                    <w:jc w:val="center"/>
                    <w:rPr>
                      <w:rFonts w:hint="default" w:eastAsia="宋体"/>
                      <w:color w:val="auto"/>
                      <w:szCs w:val="21"/>
                      <w:lang w:val="en-US" w:eastAsia="zh-CN"/>
                    </w:rPr>
                  </w:pPr>
                  <w:r>
                    <w:rPr>
                      <w:rFonts w:hint="eastAsia"/>
                      <w:color w:val="auto"/>
                      <w:szCs w:val="21"/>
                      <w:lang w:val="en-US" w:eastAsia="zh-CN"/>
                    </w:rPr>
                    <w:t>排气筒DA001、DA002、DA003</w:t>
                  </w:r>
                </w:p>
              </w:tc>
              <w:tc>
                <w:tcPr>
                  <w:tcW w:w="1202" w:type="pct"/>
                  <w:noWrap w:val="0"/>
                  <w:vAlign w:val="center"/>
                </w:tcPr>
                <w:p w14:paraId="480CD6B1">
                  <w:pPr>
                    <w:adjustRightInd w:val="0"/>
                    <w:snapToGrid w:val="0"/>
                    <w:jc w:val="center"/>
                    <w:rPr>
                      <w:rFonts w:hint="default"/>
                      <w:color w:val="auto"/>
                      <w:kern w:val="2"/>
                      <w:sz w:val="21"/>
                      <w:szCs w:val="21"/>
                      <w:lang w:val="en-US" w:eastAsia="zh-CN" w:bidi="ar-SA"/>
                    </w:rPr>
                  </w:pPr>
                  <w:r>
                    <w:rPr>
                      <w:rFonts w:hint="eastAsia"/>
                      <w:color w:val="auto"/>
                      <w:szCs w:val="21"/>
                    </w:rPr>
                    <w:t>颗粒物</w:t>
                  </w:r>
                </w:p>
              </w:tc>
              <w:tc>
                <w:tcPr>
                  <w:tcW w:w="793" w:type="pct"/>
                  <w:noWrap w:val="0"/>
                  <w:vAlign w:val="center"/>
                </w:tcPr>
                <w:p w14:paraId="34CFA3AA">
                  <w:pPr>
                    <w:adjustRightInd w:val="0"/>
                    <w:snapToGrid w:val="0"/>
                    <w:jc w:val="center"/>
                    <w:rPr>
                      <w:rFonts w:hint="eastAsia"/>
                      <w:color w:val="auto"/>
                      <w:kern w:val="2"/>
                      <w:sz w:val="21"/>
                      <w:szCs w:val="21"/>
                      <w:lang w:val="en-US" w:eastAsia="zh-CN" w:bidi="ar-SA"/>
                    </w:rPr>
                  </w:pPr>
                  <w:r>
                    <w:rPr>
                      <w:color w:val="auto"/>
                      <w:szCs w:val="21"/>
                    </w:rPr>
                    <w:t>1次/</w:t>
                  </w:r>
                  <w:r>
                    <w:rPr>
                      <w:rFonts w:hint="eastAsia"/>
                      <w:color w:val="auto"/>
                      <w:szCs w:val="21"/>
                      <w:lang w:val="en-US" w:eastAsia="zh-CN"/>
                    </w:rPr>
                    <w:t>年</w:t>
                  </w:r>
                </w:p>
              </w:tc>
              <w:tc>
                <w:tcPr>
                  <w:tcW w:w="1477" w:type="pct"/>
                  <w:noWrap w:val="0"/>
                  <w:vAlign w:val="center"/>
                </w:tcPr>
                <w:p w14:paraId="7103CF69">
                  <w:pPr>
                    <w:adjustRightInd w:val="0"/>
                    <w:snapToGrid w:val="0"/>
                    <w:jc w:val="center"/>
                    <w:rPr>
                      <w:color w:val="auto"/>
                      <w:kern w:val="2"/>
                      <w:sz w:val="21"/>
                      <w:szCs w:val="21"/>
                      <w:lang w:val="en-US" w:eastAsia="zh-CN" w:bidi="ar-SA"/>
                    </w:rPr>
                  </w:pPr>
                  <w:r>
                    <w:rPr>
                      <w:rFonts w:hint="eastAsia"/>
                      <w:color w:val="auto"/>
                      <w:szCs w:val="21"/>
                    </w:rPr>
                    <w:t>《大气污染物综合排放标准》（GB16297-1996）二级标准</w:t>
                  </w:r>
                </w:p>
              </w:tc>
            </w:tr>
            <w:tr w14:paraId="00D3CB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8" w:type="pct"/>
                  <w:vMerge w:val="continue"/>
                  <w:noWrap w:val="0"/>
                  <w:vAlign w:val="center"/>
                </w:tcPr>
                <w:p w14:paraId="6A30774C">
                  <w:pPr>
                    <w:adjustRightInd w:val="0"/>
                    <w:snapToGrid w:val="0"/>
                    <w:jc w:val="center"/>
                    <w:rPr>
                      <w:color w:val="auto"/>
                    </w:rPr>
                  </w:pPr>
                </w:p>
              </w:tc>
              <w:tc>
                <w:tcPr>
                  <w:tcW w:w="1088" w:type="pct"/>
                  <w:vMerge w:val="continue"/>
                  <w:noWrap w:val="0"/>
                  <w:vAlign w:val="center"/>
                </w:tcPr>
                <w:p w14:paraId="5F157625">
                  <w:pPr>
                    <w:adjustRightInd w:val="0"/>
                    <w:snapToGrid w:val="0"/>
                    <w:jc w:val="center"/>
                    <w:rPr>
                      <w:color w:val="auto"/>
                    </w:rPr>
                  </w:pPr>
                </w:p>
              </w:tc>
              <w:tc>
                <w:tcPr>
                  <w:tcW w:w="1202" w:type="pct"/>
                  <w:noWrap w:val="0"/>
                  <w:vAlign w:val="center"/>
                </w:tcPr>
                <w:p w14:paraId="70297F04">
                  <w:pPr>
                    <w:adjustRightInd w:val="0"/>
                    <w:snapToGrid w:val="0"/>
                    <w:jc w:val="center"/>
                    <w:rPr>
                      <w:rFonts w:hint="eastAsia"/>
                      <w:color w:val="auto"/>
                      <w:szCs w:val="21"/>
                      <w:lang w:val="en-US" w:eastAsia="zh-CN"/>
                    </w:rPr>
                  </w:pPr>
                  <w:r>
                    <w:rPr>
                      <w:rFonts w:hint="eastAsia"/>
                      <w:color w:val="auto"/>
                      <w:szCs w:val="21"/>
                      <w:lang w:val="en-US" w:eastAsia="zh-CN"/>
                    </w:rPr>
                    <w:t>非甲烷总烃、甲苯、二甲苯</w:t>
                  </w:r>
                </w:p>
              </w:tc>
              <w:tc>
                <w:tcPr>
                  <w:tcW w:w="793" w:type="pct"/>
                  <w:noWrap w:val="0"/>
                  <w:vAlign w:val="center"/>
                </w:tcPr>
                <w:p w14:paraId="13702693">
                  <w:pPr>
                    <w:adjustRightInd w:val="0"/>
                    <w:snapToGrid w:val="0"/>
                    <w:jc w:val="center"/>
                    <w:rPr>
                      <w:rFonts w:hint="eastAsia"/>
                      <w:color w:val="auto"/>
                      <w:szCs w:val="21"/>
                      <w:lang w:val="en-US" w:eastAsia="zh-CN"/>
                    </w:rPr>
                  </w:pPr>
                  <w:r>
                    <w:rPr>
                      <w:color w:val="auto"/>
                      <w:szCs w:val="21"/>
                    </w:rPr>
                    <w:t>1次/</w:t>
                  </w:r>
                  <w:r>
                    <w:rPr>
                      <w:rFonts w:hint="eastAsia"/>
                      <w:color w:val="auto"/>
                      <w:szCs w:val="21"/>
                      <w:lang w:val="en-US" w:eastAsia="zh-CN"/>
                    </w:rPr>
                    <w:t>年</w:t>
                  </w:r>
                </w:p>
              </w:tc>
              <w:tc>
                <w:tcPr>
                  <w:tcW w:w="1477" w:type="pct"/>
                  <w:vMerge w:val="restart"/>
                  <w:noWrap w:val="0"/>
                  <w:vAlign w:val="center"/>
                </w:tcPr>
                <w:p w14:paraId="1933D00A">
                  <w:pPr>
                    <w:adjustRightInd w:val="0"/>
                    <w:snapToGrid w:val="0"/>
                    <w:jc w:val="center"/>
                    <w:rPr>
                      <w:color w:val="auto"/>
                      <w:szCs w:val="21"/>
                      <w:highlight w:val="none"/>
                    </w:rPr>
                  </w:pPr>
                  <w:r>
                    <w:rPr>
                      <w:color w:val="auto"/>
                      <w:szCs w:val="21"/>
                      <w:highlight w:val="none"/>
                    </w:rPr>
                    <w:t>《挥发性有机物排放控制标准》</w:t>
                  </w:r>
                </w:p>
                <w:p w14:paraId="3F155133">
                  <w:pPr>
                    <w:adjustRightInd w:val="0"/>
                    <w:snapToGrid w:val="0"/>
                    <w:jc w:val="center"/>
                    <w:rPr>
                      <w:color w:val="auto"/>
                      <w:kern w:val="2"/>
                      <w:sz w:val="21"/>
                      <w:szCs w:val="21"/>
                      <w:lang w:val="en-US" w:eastAsia="zh-CN" w:bidi="ar-SA"/>
                    </w:rPr>
                  </w:pPr>
                  <w:r>
                    <w:rPr>
                      <w:rFonts w:hint="eastAsia"/>
                      <w:color w:val="auto"/>
                      <w:szCs w:val="21"/>
                      <w:highlight w:val="none"/>
                      <w:lang w:eastAsia="zh-CN"/>
                    </w:rPr>
                    <w:t>（</w:t>
                  </w:r>
                  <w:r>
                    <w:rPr>
                      <w:color w:val="auto"/>
                      <w:szCs w:val="21"/>
                      <w:highlight w:val="none"/>
                    </w:rPr>
                    <w:t>DB 61/T 1061-2017</w:t>
                  </w:r>
                  <w:r>
                    <w:rPr>
                      <w:rFonts w:hint="eastAsia"/>
                      <w:color w:val="auto"/>
                      <w:szCs w:val="21"/>
                      <w:highlight w:val="none"/>
                      <w:lang w:eastAsia="zh-CN"/>
                    </w:rPr>
                    <w:t>）</w:t>
                  </w:r>
                </w:p>
              </w:tc>
            </w:tr>
            <w:tr w14:paraId="18D015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8" w:type="pct"/>
                  <w:vMerge w:val="continue"/>
                  <w:noWrap w:val="0"/>
                  <w:vAlign w:val="center"/>
                </w:tcPr>
                <w:p w14:paraId="2264E434">
                  <w:pPr>
                    <w:adjustRightInd w:val="0"/>
                    <w:snapToGrid w:val="0"/>
                    <w:jc w:val="center"/>
                    <w:rPr>
                      <w:rFonts w:hint="eastAsia"/>
                      <w:color w:val="auto"/>
                      <w:szCs w:val="21"/>
                    </w:rPr>
                  </w:pPr>
                </w:p>
              </w:tc>
              <w:tc>
                <w:tcPr>
                  <w:tcW w:w="1088" w:type="pct"/>
                  <w:vMerge w:val="restart"/>
                  <w:noWrap w:val="0"/>
                  <w:vAlign w:val="center"/>
                </w:tcPr>
                <w:p w14:paraId="0CF84AD8">
                  <w:pPr>
                    <w:adjustRightInd w:val="0"/>
                    <w:snapToGrid w:val="0"/>
                    <w:jc w:val="center"/>
                    <w:rPr>
                      <w:rFonts w:hint="default"/>
                      <w:color w:val="auto"/>
                      <w:szCs w:val="21"/>
                      <w:lang w:val="en-US" w:eastAsia="zh-CN"/>
                    </w:rPr>
                  </w:pPr>
                  <w:r>
                    <w:rPr>
                      <w:rFonts w:hint="eastAsia"/>
                      <w:color w:val="auto"/>
                      <w:szCs w:val="21"/>
                      <w:lang w:val="en-US" w:eastAsia="zh-CN"/>
                    </w:rPr>
                    <w:t>排气筒DA004、DA005</w:t>
                  </w:r>
                </w:p>
              </w:tc>
              <w:tc>
                <w:tcPr>
                  <w:tcW w:w="1202" w:type="pct"/>
                  <w:noWrap w:val="0"/>
                  <w:vAlign w:val="center"/>
                </w:tcPr>
                <w:p w14:paraId="02173EE9">
                  <w:pPr>
                    <w:adjustRightInd w:val="0"/>
                    <w:snapToGrid w:val="0"/>
                    <w:jc w:val="center"/>
                    <w:rPr>
                      <w:rFonts w:hint="default" w:eastAsia="宋体"/>
                      <w:color w:val="auto"/>
                      <w:szCs w:val="21"/>
                      <w:lang w:val="en-US" w:eastAsia="zh-CN"/>
                    </w:rPr>
                  </w:pPr>
                  <w:r>
                    <w:rPr>
                      <w:rFonts w:hint="eastAsia"/>
                      <w:color w:val="auto"/>
                      <w:szCs w:val="21"/>
                      <w:lang w:val="en-US" w:eastAsia="zh-CN"/>
                    </w:rPr>
                    <w:t>非甲烷总烃</w:t>
                  </w:r>
                </w:p>
              </w:tc>
              <w:tc>
                <w:tcPr>
                  <w:tcW w:w="793" w:type="pct"/>
                  <w:noWrap w:val="0"/>
                  <w:vAlign w:val="center"/>
                </w:tcPr>
                <w:p w14:paraId="42580990">
                  <w:pPr>
                    <w:adjustRightInd w:val="0"/>
                    <w:snapToGrid w:val="0"/>
                    <w:jc w:val="center"/>
                    <w:rPr>
                      <w:color w:val="auto"/>
                      <w:szCs w:val="21"/>
                    </w:rPr>
                  </w:pPr>
                  <w:r>
                    <w:rPr>
                      <w:color w:val="auto"/>
                      <w:szCs w:val="21"/>
                    </w:rPr>
                    <w:t>1次/</w:t>
                  </w:r>
                  <w:r>
                    <w:rPr>
                      <w:rFonts w:hint="eastAsia"/>
                      <w:color w:val="auto"/>
                      <w:szCs w:val="21"/>
                      <w:lang w:val="en-US" w:eastAsia="zh-CN"/>
                    </w:rPr>
                    <w:t>年</w:t>
                  </w:r>
                </w:p>
              </w:tc>
              <w:tc>
                <w:tcPr>
                  <w:tcW w:w="1477" w:type="pct"/>
                  <w:vMerge w:val="continue"/>
                  <w:noWrap w:val="0"/>
                  <w:vAlign w:val="center"/>
                </w:tcPr>
                <w:p w14:paraId="0127AC99">
                  <w:pPr>
                    <w:adjustRightInd w:val="0"/>
                    <w:snapToGrid w:val="0"/>
                    <w:jc w:val="center"/>
                    <w:rPr>
                      <w:color w:val="auto"/>
                      <w:szCs w:val="21"/>
                    </w:rPr>
                  </w:pPr>
                </w:p>
              </w:tc>
            </w:tr>
            <w:tr w14:paraId="2AC71D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8" w:type="pct"/>
                  <w:vMerge w:val="continue"/>
                  <w:noWrap w:val="0"/>
                  <w:vAlign w:val="center"/>
                </w:tcPr>
                <w:p w14:paraId="3561A652">
                  <w:pPr>
                    <w:adjustRightInd w:val="0"/>
                    <w:snapToGrid w:val="0"/>
                    <w:jc w:val="center"/>
                    <w:rPr>
                      <w:rFonts w:hint="eastAsia"/>
                      <w:color w:val="auto"/>
                      <w:szCs w:val="21"/>
                    </w:rPr>
                  </w:pPr>
                </w:p>
              </w:tc>
              <w:tc>
                <w:tcPr>
                  <w:tcW w:w="1088" w:type="pct"/>
                  <w:vMerge w:val="continue"/>
                  <w:noWrap w:val="0"/>
                  <w:vAlign w:val="center"/>
                </w:tcPr>
                <w:p w14:paraId="42064913">
                  <w:pPr>
                    <w:adjustRightInd w:val="0"/>
                    <w:snapToGrid w:val="0"/>
                    <w:jc w:val="center"/>
                    <w:rPr>
                      <w:rFonts w:hint="eastAsia"/>
                      <w:color w:val="auto"/>
                      <w:szCs w:val="21"/>
                      <w:lang w:val="en-US" w:eastAsia="zh-CN"/>
                    </w:rPr>
                  </w:pPr>
                </w:p>
              </w:tc>
              <w:tc>
                <w:tcPr>
                  <w:tcW w:w="1202" w:type="pct"/>
                  <w:noWrap w:val="0"/>
                  <w:vAlign w:val="center"/>
                </w:tcPr>
                <w:p w14:paraId="6D5409F9">
                  <w:pPr>
                    <w:adjustRightInd w:val="0"/>
                    <w:snapToGrid w:val="0"/>
                    <w:jc w:val="center"/>
                    <w:rPr>
                      <w:rFonts w:hint="eastAsia"/>
                      <w:color w:val="auto"/>
                      <w:szCs w:val="21"/>
                    </w:rPr>
                  </w:pPr>
                  <w:r>
                    <w:rPr>
                      <w:rFonts w:hint="eastAsia"/>
                      <w:color w:val="auto"/>
                      <w:szCs w:val="21"/>
                    </w:rPr>
                    <w:t>颗粒物</w:t>
                  </w:r>
                </w:p>
              </w:tc>
              <w:tc>
                <w:tcPr>
                  <w:tcW w:w="793" w:type="pct"/>
                  <w:noWrap w:val="0"/>
                  <w:vAlign w:val="center"/>
                </w:tcPr>
                <w:p w14:paraId="545ECD38">
                  <w:pPr>
                    <w:adjustRightInd w:val="0"/>
                    <w:snapToGrid w:val="0"/>
                    <w:jc w:val="center"/>
                    <w:rPr>
                      <w:color w:val="auto"/>
                      <w:szCs w:val="21"/>
                    </w:rPr>
                  </w:pPr>
                  <w:r>
                    <w:rPr>
                      <w:color w:val="auto"/>
                      <w:szCs w:val="21"/>
                    </w:rPr>
                    <w:t>1次/</w:t>
                  </w:r>
                  <w:r>
                    <w:rPr>
                      <w:rFonts w:hint="eastAsia"/>
                      <w:color w:val="auto"/>
                      <w:szCs w:val="21"/>
                      <w:lang w:val="en-US" w:eastAsia="zh-CN"/>
                    </w:rPr>
                    <w:t>年</w:t>
                  </w:r>
                </w:p>
              </w:tc>
              <w:tc>
                <w:tcPr>
                  <w:tcW w:w="1477" w:type="pct"/>
                  <w:vMerge w:val="restart"/>
                  <w:noWrap w:val="0"/>
                  <w:vAlign w:val="center"/>
                </w:tcPr>
                <w:p w14:paraId="1A627FCA">
                  <w:pPr>
                    <w:adjustRightInd w:val="0"/>
                    <w:snapToGrid w:val="0"/>
                    <w:jc w:val="center"/>
                    <w:rPr>
                      <w:color w:val="auto"/>
                      <w:szCs w:val="21"/>
                    </w:rPr>
                  </w:pPr>
                  <w:r>
                    <w:rPr>
                      <w:rFonts w:hint="eastAsia"/>
                      <w:color w:val="auto"/>
                      <w:szCs w:val="21"/>
                    </w:rPr>
                    <w:t>《大气污染物综合排放标准》（GB16297-1996）</w:t>
                  </w:r>
                </w:p>
              </w:tc>
            </w:tr>
            <w:tr w14:paraId="5B4F0C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8" w:type="pct"/>
                  <w:vMerge w:val="restart"/>
                  <w:noWrap w:val="0"/>
                  <w:vAlign w:val="center"/>
                </w:tcPr>
                <w:p w14:paraId="6422001B">
                  <w:pPr>
                    <w:adjustRightInd w:val="0"/>
                    <w:snapToGrid w:val="0"/>
                    <w:jc w:val="center"/>
                    <w:rPr>
                      <w:rFonts w:hint="eastAsia" w:eastAsia="宋体"/>
                      <w:color w:val="auto"/>
                      <w:szCs w:val="21"/>
                      <w:lang w:val="en-US" w:eastAsia="zh-CN"/>
                    </w:rPr>
                  </w:pPr>
                  <w:r>
                    <w:rPr>
                      <w:rFonts w:hint="eastAsia"/>
                      <w:color w:val="auto"/>
                      <w:szCs w:val="21"/>
                      <w:lang w:val="en-US" w:eastAsia="zh-CN"/>
                    </w:rPr>
                    <w:t>无组织</w:t>
                  </w:r>
                </w:p>
              </w:tc>
              <w:tc>
                <w:tcPr>
                  <w:tcW w:w="1088" w:type="pct"/>
                  <w:vMerge w:val="restart"/>
                  <w:noWrap w:val="0"/>
                  <w:vAlign w:val="center"/>
                </w:tcPr>
                <w:p w14:paraId="5039FFC8">
                  <w:pPr>
                    <w:adjustRightInd w:val="0"/>
                    <w:snapToGrid w:val="0"/>
                    <w:jc w:val="center"/>
                    <w:rPr>
                      <w:rFonts w:hint="default"/>
                      <w:color w:val="auto"/>
                      <w:szCs w:val="21"/>
                      <w:lang w:val="en-US" w:eastAsia="zh-CN"/>
                    </w:rPr>
                  </w:pPr>
                  <w:r>
                    <w:rPr>
                      <w:rFonts w:hint="eastAsia"/>
                      <w:color w:val="auto"/>
                      <w:szCs w:val="21"/>
                      <w:lang w:val="en-US" w:eastAsia="zh-CN"/>
                    </w:rPr>
                    <w:t>厂界</w:t>
                  </w:r>
                </w:p>
              </w:tc>
              <w:tc>
                <w:tcPr>
                  <w:tcW w:w="1202" w:type="pct"/>
                  <w:noWrap w:val="0"/>
                  <w:vAlign w:val="center"/>
                </w:tcPr>
                <w:p w14:paraId="254FB8F5">
                  <w:pPr>
                    <w:adjustRightInd w:val="0"/>
                    <w:snapToGrid w:val="0"/>
                    <w:jc w:val="center"/>
                    <w:rPr>
                      <w:rFonts w:hint="eastAsia" w:eastAsia="宋体"/>
                      <w:color w:val="auto"/>
                      <w:szCs w:val="21"/>
                      <w:lang w:val="en-US" w:eastAsia="zh-CN"/>
                    </w:rPr>
                  </w:pPr>
                  <w:r>
                    <w:rPr>
                      <w:rFonts w:hint="eastAsia"/>
                      <w:color w:val="auto"/>
                      <w:szCs w:val="21"/>
                      <w:lang w:val="en-US" w:eastAsia="zh-CN"/>
                    </w:rPr>
                    <w:t>颗粒物</w:t>
                  </w:r>
                </w:p>
              </w:tc>
              <w:tc>
                <w:tcPr>
                  <w:tcW w:w="793" w:type="pct"/>
                  <w:noWrap w:val="0"/>
                  <w:vAlign w:val="center"/>
                </w:tcPr>
                <w:p w14:paraId="3D9BA797">
                  <w:pPr>
                    <w:adjustRightInd w:val="0"/>
                    <w:snapToGrid w:val="0"/>
                    <w:jc w:val="center"/>
                    <w:rPr>
                      <w:color w:val="auto"/>
                      <w:szCs w:val="21"/>
                    </w:rPr>
                  </w:pPr>
                  <w:r>
                    <w:rPr>
                      <w:color w:val="auto"/>
                      <w:szCs w:val="21"/>
                    </w:rPr>
                    <w:t>1次/年</w:t>
                  </w:r>
                </w:p>
              </w:tc>
              <w:tc>
                <w:tcPr>
                  <w:tcW w:w="1477" w:type="pct"/>
                  <w:vMerge w:val="continue"/>
                  <w:noWrap w:val="0"/>
                  <w:vAlign w:val="center"/>
                </w:tcPr>
                <w:p w14:paraId="40F5235E">
                  <w:pPr>
                    <w:adjustRightInd w:val="0"/>
                    <w:snapToGrid w:val="0"/>
                    <w:jc w:val="center"/>
                    <w:rPr>
                      <w:color w:val="auto"/>
                      <w:szCs w:val="21"/>
                    </w:rPr>
                  </w:pPr>
                </w:p>
              </w:tc>
            </w:tr>
            <w:tr w14:paraId="17E7C5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8" w:type="pct"/>
                  <w:vMerge w:val="continue"/>
                  <w:noWrap w:val="0"/>
                  <w:vAlign w:val="center"/>
                </w:tcPr>
                <w:p w14:paraId="6059D4A0">
                  <w:pPr>
                    <w:adjustRightInd w:val="0"/>
                    <w:snapToGrid w:val="0"/>
                    <w:jc w:val="center"/>
                    <w:rPr>
                      <w:rFonts w:hint="eastAsia"/>
                      <w:color w:val="auto"/>
                      <w:szCs w:val="21"/>
                      <w:lang w:val="en-US" w:eastAsia="zh-CN"/>
                    </w:rPr>
                  </w:pPr>
                </w:p>
              </w:tc>
              <w:tc>
                <w:tcPr>
                  <w:tcW w:w="1088" w:type="pct"/>
                  <w:vMerge w:val="continue"/>
                  <w:noWrap w:val="0"/>
                  <w:vAlign w:val="center"/>
                </w:tcPr>
                <w:p w14:paraId="7116A3A1">
                  <w:pPr>
                    <w:adjustRightInd w:val="0"/>
                    <w:snapToGrid w:val="0"/>
                    <w:jc w:val="center"/>
                    <w:rPr>
                      <w:rFonts w:hint="eastAsia"/>
                      <w:color w:val="auto"/>
                      <w:szCs w:val="21"/>
                      <w:lang w:val="en-US" w:eastAsia="zh-CN"/>
                    </w:rPr>
                  </w:pPr>
                </w:p>
              </w:tc>
              <w:tc>
                <w:tcPr>
                  <w:tcW w:w="1202" w:type="pct"/>
                  <w:noWrap w:val="0"/>
                  <w:vAlign w:val="center"/>
                </w:tcPr>
                <w:p w14:paraId="067E43E1">
                  <w:pPr>
                    <w:adjustRightInd w:val="0"/>
                    <w:snapToGrid w:val="0"/>
                    <w:jc w:val="center"/>
                    <w:rPr>
                      <w:rFonts w:hint="eastAsia" w:eastAsia="宋体"/>
                      <w:color w:val="auto"/>
                      <w:szCs w:val="21"/>
                      <w:lang w:val="en-US" w:eastAsia="zh-CN"/>
                    </w:rPr>
                  </w:pPr>
                  <w:r>
                    <w:rPr>
                      <w:rFonts w:hint="eastAsia"/>
                      <w:color w:val="auto"/>
                      <w:szCs w:val="21"/>
                      <w:lang w:val="en-US" w:eastAsia="zh-CN"/>
                    </w:rPr>
                    <w:t>非甲烷总烃、甲苯、二甲苯</w:t>
                  </w:r>
                </w:p>
              </w:tc>
              <w:tc>
                <w:tcPr>
                  <w:tcW w:w="793" w:type="pct"/>
                  <w:noWrap w:val="0"/>
                  <w:vAlign w:val="center"/>
                </w:tcPr>
                <w:p w14:paraId="7B040144">
                  <w:pPr>
                    <w:adjustRightInd w:val="0"/>
                    <w:snapToGrid w:val="0"/>
                    <w:jc w:val="center"/>
                    <w:rPr>
                      <w:color w:val="auto"/>
                      <w:szCs w:val="21"/>
                    </w:rPr>
                  </w:pPr>
                  <w:r>
                    <w:rPr>
                      <w:color w:val="auto"/>
                      <w:szCs w:val="21"/>
                    </w:rPr>
                    <w:t>1次/年</w:t>
                  </w:r>
                </w:p>
              </w:tc>
              <w:tc>
                <w:tcPr>
                  <w:tcW w:w="1477" w:type="pct"/>
                  <w:noWrap w:val="0"/>
                  <w:vAlign w:val="center"/>
                </w:tcPr>
                <w:p w14:paraId="7ACE93A2">
                  <w:pPr>
                    <w:adjustRightInd w:val="0"/>
                    <w:snapToGrid w:val="0"/>
                    <w:jc w:val="center"/>
                    <w:rPr>
                      <w:color w:val="auto"/>
                      <w:szCs w:val="21"/>
                      <w:highlight w:val="none"/>
                    </w:rPr>
                  </w:pPr>
                  <w:r>
                    <w:rPr>
                      <w:color w:val="auto"/>
                      <w:szCs w:val="21"/>
                      <w:highlight w:val="none"/>
                    </w:rPr>
                    <w:t>《挥发性有机物排放控制标准》</w:t>
                  </w:r>
                </w:p>
                <w:p w14:paraId="349603B6">
                  <w:pPr>
                    <w:adjustRightInd w:val="0"/>
                    <w:snapToGrid w:val="0"/>
                    <w:jc w:val="center"/>
                    <w:rPr>
                      <w:color w:val="auto"/>
                      <w:szCs w:val="21"/>
                    </w:rPr>
                  </w:pPr>
                  <w:r>
                    <w:rPr>
                      <w:rFonts w:hint="eastAsia"/>
                      <w:color w:val="auto"/>
                      <w:szCs w:val="21"/>
                      <w:highlight w:val="none"/>
                      <w:lang w:eastAsia="zh-CN"/>
                    </w:rPr>
                    <w:t>（</w:t>
                  </w:r>
                  <w:r>
                    <w:rPr>
                      <w:color w:val="auto"/>
                      <w:szCs w:val="21"/>
                      <w:highlight w:val="none"/>
                    </w:rPr>
                    <w:t>DB 61/T 1061-2017</w:t>
                  </w:r>
                  <w:r>
                    <w:rPr>
                      <w:rFonts w:hint="eastAsia"/>
                      <w:color w:val="auto"/>
                      <w:szCs w:val="21"/>
                      <w:highlight w:val="none"/>
                      <w:lang w:eastAsia="zh-CN"/>
                    </w:rPr>
                    <w:t>）</w:t>
                  </w:r>
                </w:p>
              </w:tc>
            </w:tr>
            <w:tr w14:paraId="42AB44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8" w:type="pct"/>
                  <w:vMerge w:val="continue"/>
                  <w:noWrap w:val="0"/>
                  <w:vAlign w:val="center"/>
                </w:tcPr>
                <w:p w14:paraId="46353BEC">
                  <w:pPr>
                    <w:adjustRightInd w:val="0"/>
                    <w:snapToGrid w:val="0"/>
                    <w:jc w:val="center"/>
                    <w:rPr>
                      <w:rFonts w:hint="eastAsia"/>
                      <w:color w:val="auto"/>
                      <w:szCs w:val="21"/>
                      <w:lang w:val="en-US" w:eastAsia="zh-CN"/>
                    </w:rPr>
                  </w:pPr>
                </w:p>
              </w:tc>
              <w:tc>
                <w:tcPr>
                  <w:tcW w:w="1088" w:type="pct"/>
                  <w:noWrap w:val="0"/>
                  <w:vAlign w:val="center"/>
                </w:tcPr>
                <w:p w14:paraId="48DC9760">
                  <w:pPr>
                    <w:adjustRightInd w:val="0"/>
                    <w:snapToGrid w:val="0"/>
                    <w:jc w:val="center"/>
                    <w:rPr>
                      <w:rFonts w:hint="default"/>
                      <w:color w:val="auto"/>
                      <w:szCs w:val="21"/>
                      <w:lang w:val="en-US" w:eastAsia="zh-CN"/>
                    </w:rPr>
                  </w:pPr>
                  <w:r>
                    <w:rPr>
                      <w:rFonts w:hint="eastAsia"/>
                      <w:color w:val="auto"/>
                      <w:szCs w:val="21"/>
                      <w:lang w:val="en-US" w:eastAsia="zh-CN"/>
                    </w:rPr>
                    <w:t>厂区内</w:t>
                  </w:r>
                </w:p>
              </w:tc>
              <w:tc>
                <w:tcPr>
                  <w:tcW w:w="1202" w:type="pct"/>
                  <w:noWrap w:val="0"/>
                  <w:vAlign w:val="center"/>
                </w:tcPr>
                <w:p w14:paraId="142D3019">
                  <w:pPr>
                    <w:adjustRightInd w:val="0"/>
                    <w:snapToGrid w:val="0"/>
                    <w:jc w:val="center"/>
                    <w:rPr>
                      <w:rFonts w:hint="eastAsia"/>
                      <w:color w:val="auto"/>
                      <w:szCs w:val="21"/>
                    </w:rPr>
                  </w:pPr>
                  <w:r>
                    <w:rPr>
                      <w:rFonts w:hint="eastAsia"/>
                      <w:color w:val="auto"/>
                      <w:szCs w:val="21"/>
                      <w:lang w:val="en-US" w:eastAsia="zh-CN"/>
                    </w:rPr>
                    <w:t>非甲烷总烃</w:t>
                  </w:r>
                </w:p>
              </w:tc>
              <w:tc>
                <w:tcPr>
                  <w:tcW w:w="793" w:type="pct"/>
                  <w:noWrap w:val="0"/>
                  <w:vAlign w:val="center"/>
                </w:tcPr>
                <w:p w14:paraId="0C7AE757">
                  <w:pPr>
                    <w:adjustRightInd w:val="0"/>
                    <w:snapToGrid w:val="0"/>
                    <w:jc w:val="center"/>
                    <w:rPr>
                      <w:color w:val="auto"/>
                      <w:szCs w:val="21"/>
                    </w:rPr>
                  </w:pPr>
                  <w:r>
                    <w:rPr>
                      <w:color w:val="auto"/>
                      <w:szCs w:val="21"/>
                    </w:rPr>
                    <w:t>1次/年</w:t>
                  </w:r>
                </w:p>
              </w:tc>
              <w:tc>
                <w:tcPr>
                  <w:tcW w:w="1477" w:type="pct"/>
                  <w:noWrap w:val="0"/>
                  <w:vAlign w:val="center"/>
                </w:tcPr>
                <w:p w14:paraId="586D8123">
                  <w:pPr>
                    <w:adjustRightInd w:val="0"/>
                    <w:snapToGrid w:val="0"/>
                    <w:jc w:val="center"/>
                    <w:rPr>
                      <w:color w:val="auto"/>
                      <w:szCs w:val="21"/>
                    </w:rPr>
                  </w:pPr>
                  <w:r>
                    <w:rPr>
                      <w:color w:val="auto"/>
                      <w:szCs w:val="21"/>
                      <w:highlight w:val="none"/>
                    </w:rPr>
                    <w:t>《挥发性有机物无组织排放控制标准》（GB37822-2019）</w:t>
                  </w:r>
                </w:p>
              </w:tc>
            </w:tr>
          </w:tbl>
          <w:p w14:paraId="0C0D6692">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0" w:firstLineChars="200"/>
              <w:textAlignment w:val="auto"/>
              <w:rPr>
                <w:color w:val="auto"/>
                <w:sz w:val="24"/>
              </w:rPr>
            </w:pPr>
            <w:r>
              <w:rPr>
                <w:rFonts w:hint="eastAsia"/>
                <w:color w:val="auto"/>
                <w:sz w:val="24"/>
              </w:rPr>
              <w:t>（</w:t>
            </w:r>
            <w:r>
              <w:rPr>
                <w:rFonts w:hint="eastAsia"/>
                <w:color w:val="auto"/>
                <w:sz w:val="24"/>
                <w:lang w:val="en-US" w:eastAsia="zh-CN"/>
              </w:rPr>
              <w:t>7</w:t>
            </w:r>
            <w:r>
              <w:rPr>
                <w:rFonts w:hint="eastAsia"/>
                <w:color w:val="auto"/>
                <w:sz w:val="24"/>
              </w:rPr>
              <w:t>）非正常排放</w:t>
            </w:r>
            <w:r>
              <w:rPr>
                <w:color w:val="auto"/>
                <w:sz w:val="24"/>
              </w:rPr>
              <w:t>情况</w:t>
            </w:r>
          </w:p>
          <w:p w14:paraId="6B009CF3">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Times New Roman" w:hAnsi="Times New Roman" w:cs="Times New Roman"/>
                <w:color w:val="auto"/>
                <w:sz w:val="24"/>
              </w:rPr>
            </w:pPr>
            <w:r>
              <w:rPr>
                <w:rFonts w:ascii="Times New Roman" w:hAnsi="Times New Roman" w:cs="Times New Roman"/>
                <w:color w:val="auto"/>
                <w:sz w:val="24"/>
              </w:rPr>
              <w:t>非正常排放是指生产过程中设备检修、工艺设备运转异常等非正常工况下的污染物排放，以及污染物排放控制措施达不到应有效率等情况下的排放。</w:t>
            </w:r>
          </w:p>
          <w:p w14:paraId="2EF5E0E1">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Times New Roman" w:hAnsi="Times New Roman" w:cs="Times New Roman"/>
                <w:color w:val="auto"/>
                <w:sz w:val="24"/>
              </w:rPr>
            </w:pPr>
            <w:r>
              <w:rPr>
                <w:rFonts w:ascii="Times New Roman" w:hAnsi="Times New Roman" w:cs="Times New Roman"/>
                <w:color w:val="auto"/>
                <w:sz w:val="24"/>
              </w:rPr>
              <w:t>项目废气非正常工况情况主要为：</w:t>
            </w:r>
            <w:r>
              <w:rPr>
                <w:rFonts w:hint="eastAsia" w:ascii="Times New Roman" w:hAnsi="Times New Roman" w:cs="Times New Roman"/>
                <w:color w:val="auto"/>
                <w:sz w:val="24"/>
              </w:rPr>
              <w:t>“活性炭吸附”吸附接近饱和时，按照处理效率为0的状态估算废气通过排气筒排放等情况</w:t>
            </w:r>
            <w:r>
              <w:rPr>
                <w:rFonts w:hint="eastAsia" w:ascii="Times New Roman" w:hAnsi="Times New Roman" w:cs="Times New Roman"/>
                <w:color w:val="auto"/>
                <w:sz w:val="24"/>
                <w:lang w:eastAsia="zh-CN"/>
              </w:rPr>
              <w:t>；过滤棉处理效率</w:t>
            </w:r>
            <w:r>
              <w:rPr>
                <w:rFonts w:hint="eastAsia" w:cs="Times New Roman"/>
                <w:color w:val="auto"/>
                <w:sz w:val="24"/>
                <w:lang w:val="en-US" w:eastAsia="zh-CN"/>
              </w:rPr>
              <w:t>降低</w:t>
            </w:r>
            <w:r>
              <w:rPr>
                <w:rFonts w:hint="eastAsia" w:ascii="Times New Roman" w:hAnsi="Times New Roman" w:cs="Times New Roman"/>
                <w:color w:val="auto"/>
                <w:sz w:val="24"/>
                <w:lang w:eastAsia="zh-CN"/>
              </w:rPr>
              <w:t>为10</w:t>
            </w:r>
            <w:r>
              <w:rPr>
                <w:rFonts w:hint="eastAsia" w:cs="Times New Roman"/>
                <w:color w:val="auto"/>
                <w:sz w:val="24"/>
                <w:lang w:val="en-US" w:eastAsia="zh-CN"/>
              </w:rPr>
              <w:t>%左右等情况</w:t>
            </w:r>
            <w:r>
              <w:rPr>
                <w:rFonts w:hint="eastAsia" w:cs="Times New Roman"/>
                <w:color w:val="auto"/>
                <w:sz w:val="24"/>
                <w:lang w:eastAsia="zh-CN"/>
              </w:rPr>
              <w:t>；</w:t>
            </w:r>
            <w:r>
              <w:rPr>
                <w:rFonts w:ascii="Times New Roman" w:hAnsi="Times New Roman" w:cs="Times New Roman"/>
                <w:color w:val="auto"/>
                <w:sz w:val="24"/>
              </w:rPr>
              <w:t>废气非正常工况源强情况见下表。</w:t>
            </w:r>
          </w:p>
          <w:p w14:paraId="6BB5A6EB">
            <w:pPr>
              <w:pStyle w:val="63"/>
              <w:spacing w:line="240" w:lineRule="auto"/>
              <w:ind w:firstLine="0" w:firstLineChars="0"/>
              <w:jc w:val="center"/>
              <w:rPr>
                <w:rFonts w:ascii="Times New Roman" w:hAnsi="Times New Roman" w:cs="Times New Roman"/>
                <w:b/>
                <w:bCs/>
                <w:color w:val="auto"/>
                <w:kern w:val="21"/>
                <w:szCs w:val="24"/>
              </w:rPr>
            </w:pPr>
            <w:r>
              <w:rPr>
                <w:rFonts w:ascii="Times New Roman" w:hAnsi="Times New Roman" w:cs="Times New Roman"/>
                <w:b/>
                <w:bCs/>
                <w:color w:val="auto"/>
                <w:kern w:val="21"/>
                <w:szCs w:val="24"/>
              </w:rPr>
              <w:t>表</w:t>
            </w:r>
            <w:r>
              <w:rPr>
                <w:rFonts w:hint="eastAsia" w:ascii="Times New Roman" w:hAnsi="Times New Roman" w:cs="Times New Roman"/>
                <w:b/>
                <w:bCs/>
                <w:color w:val="auto"/>
                <w:kern w:val="21"/>
                <w:szCs w:val="24"/>
                <w:lang w:val="en-US" w:eastAsia="zh-CN"/>
              </w:rPr>
              <w:t>4-</w:t>
            </w:r>
            <w:r>
              <w:rPr>
                <w:rFonts w:hint="eastAsia" w:hAnsi="Times New Roman" w:cs="Times New Roman"/>
                <w:b/>
                <w:bCs/>
                <w:color w:val="auto"/>
                <w:kern w:val="21"/>
                <w:szCs w:val="24"/>
                <w:lang w:val="en-US" w:eastAsia="zh-CN"/>
              </w:rPr>
              <w:t>7</w:t>
            </w:r>
            <w:r>
              <w:rPr>
                <w:rFonts w:ascii="Times New Roman" w:hAnsi="Times New Roman" w:cs="Times New Roman"/>
                <w:b/>
                <w:bCs/>
                <w:color w:val="auto"/>
                <w:kern w:val="21"/>
                <w:szCs w:val="24"/>
              </w:rPr>
              <w:t xml:space="preserve">  污染源非正常排放量核算表</w:t>
            </w:r>
          </w:p>
          <w:tbl>
            <w:tblPr>
              <w:tblStyle w:val="25"/>
              <w:tblW w:w="504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28"/>
              <w:gridCol w:w="1080"/>
              <w:gridCol w:w="704"/>
              <w:gridCol w:w="753"/>
              <w:gridCol w:w="1006"/>
              <w:gridCol w:w="773"/>
              <w:gridCol w:w="699"/>
              <w:gridCol w:w="908"/>
              <w:gridCol w:w="1374"/>
            </w:tblGrid>
            <w:tr w14:paraId="770353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7" w:hRule="atLeast"/>
                <w:jc w:val="center"/>
              </w:trPr>
              <w:tc>
                <w:tcPr>
                  <w:tcW w:w="453" w:type="pct"/>
                  <w:noWrap w:val="0"/>
                  <w:vAlign w:val="center"/>
                </w:tcPr>
                <w:p w14:paraId="1943EAFF">
                  <w:pPr>
                    <w:jc w:val="center"/>
                    <w:rPr>
                      <w:rFonts w:ascii="Times New Roman" w:hAnsi="Times New Roman" w:cs="Times New Roman"/>
                      <w:b/>
                      <w:bCs/>
                      <w:color w:val="auto"/>
                      <w:szCs w:val="21"/>
                    </w:rPr>
                  </w:pPr>
                  <w:r>
                    <w:rPr>
                      <w:rFonts w:ascii="Times New Roman" w:hAnsi="Times New Roman" w:cs="Times New Roman"/>
                      <w:b/>
                      <w:bCs/>
                      <w:color w:val="auto"/>
                      <w:szCs w:val="21"/>
                    </w:rPr>
                    <w:t>污染源</w:t>
                  </w:r>
                </w:p>
              </w:tc>
              <w:tc>
                <w:tcPr>
                  <w:tcW w:w="672" w:type="pct"/>
                  <w:noWrap w:val="0"/>
                  <w:vAlign w:val="center"/>
                </w:tcPr>
                <w:p w14:paraId="1F4EB6C3">
                  <w:pPr>
                    <w:jc w:val="center"/>
                    <w:rPr>
                      <w:rFonts w:ascii="Times New Roman" w:hAnsi="Times New Roman" w:cs="Times New Roman"/>
                      <w:b/>
                      <w:bCs/>
                      <w:color w:val="auto"/>
                      <w:szCs w:val="21"/>
                    </w:rPr>
                  </w:pPr>
                  <w:r>
                    <w:rPr>
                      <w:rFonts w:ascii="Times New Roman" w:hAnsi="Times New Roman" w:cs="Times New Roman"/>
                      <w:b/>
                      <w:bCs/>
                      <w:color w:val="auto"/>
                      <w:szCs w:val="21"/>
                    </w:rPr>
                    <w:t>非正常</w:t>
                  </w:r>
                </w:p>
                <w:p w14:paraId="05498DB2">
                  <w:pPr>
                    <w:jc w:val="center"/>
                    <w:rPr>
                      <w:rFonts w:ascii="Times New Roman" w:hAnsi="Times New Roman" w:cs="Times New Roman"/>
                      <w:b/>
                      <w:bCs/>
                      <w:color w:val="auto"/>
                      <w:szCs w:val="21"/>
                    </w:rPr>
                  </w:pPr>
                  <w:r>
                    <w:rPr>
                      <w:rFonts w:ascii="Times New Roman" w:hAnsi="Times New Roman" w:cs="Times New Roman"/>
                      <w:b/>
                      <w:bCs/>
                      <w:color w:val="auto"/>
                      <w:szCs w:val="21"/>
                    </w:rPr>
                    <w:t>排放原因</w:t>
                  </w:r>
                </w:p>
              </w:tc>
              <w:tc>
                <w:tcPr>
                  <w:tcW w:w="438" w:type="pct"/>
                  <w:noWrap w:val="0"/>
                  <w:vAlign w:val="center"/>
                </w:tcPr>
                <w:p w14:paraId="11F8918B">
                  <w:pPr>
                    <w:jc w:val="center"/>
                    <w:rPr>
                      <w:rFonts w:ascii="Times New Roman" w:hAnsi="Times New Roman" w:cs="Times New Roman"/>
                      <w:b/>
                      <w:bCs/>
                      <w:color w:val="auto"/>
                      <w:szCs w:val="21"/>
                    </w:rPr>
                  </w:pPr>
                  <w:r>
                    <w:rPr>
                      <w:rFonts w:ascii="Times New Roman" w:hAnsi="Times New Roman" w:cs="Times New Roman"/>
                      <w:b/>
                      <w:bCs/>
                      <w:color w:val="auto"/>
                      <w:szCs w:val="21"/>
                    </w:rPr>
                    <w:t>对应车间</w:t>
                  </w:r>
                </w:p>
              </w:tc>
              <w:tc>
                <w:tcPr>
                  <w:tcW w:w="469" w:type="pct"/>
                  <w:noWrap w:val="0"/>
                  <w:vAlign w:val="center"/>
                </w:tcPr>
                <w:p w14:paraId="71074E46">
                  <w:pPr>
                    <w:jc w:val="center"/>
                    <w:rPr>
                      <w:rFonts w:ascii="Times New Roman" w:hAnsi="Times New Roman" w:cs="Times New Roman"/>
                      <w:b/>
                      <w:bCs/>
                      <w:color w:val="auto"/>
                      <w:szCs w:val="21"/>
                    </w:rPr>
                  </w:pPr>
                  <w:r>
                    <w:rPr>
                      <w:rFonts w:ascii="Times New Roman" w:hAnsi="Times New Roman" w:cs="Times New Roman"/>
                      <w:b/>
                      <w:bCs/>
                      <w:color w:val="auto"/>
                      <w:szCs w:val="21"/>
                    </w:rPr>
                    <w:t>污染物</w:t>
                  </w:r>
                </w:p>
              </w:tc>
              <w:tc>
                <w:tcPr>
                  <w:tcW w:w="626" w:type="pct"/>
                  <w:noWrap w:val="0"/>
                  <w:vAlign w:val="center"/>
                </w:tcPr>
                <w:p w14:paraId="3D6A3E9F">
                  <w:pPr>
                    <w:jc w:val="center"/>
                    <w:rPr>
                      <w:rFonts w:ascii="Times New Roman" w:hAnsi="Times New Roman" w:cs="Times New Roman"/>
                      <w:b/>
                      <w:bCs/>
                      <w:color w:val="auto"/>
                      <w:szCs w:val="21"/>
                    </w:rPr>
                  </w:pPr>
                  <w:r>
                    <w:rPr>
                      <w:rFonts w:ascii="Times New Roman" w:hAnsi="Times New Roman" w:cs="Times New Roman"/>
                      <w:b/>
                      <w:bCs/>
                      <w:color w:val="auto"/>
                      <w:szCs w:val="21"/>
                    </w:rPr>
                    <w:t>非正常排放速率/（kg/h）</w:t>
                  </w:r>
                </w:p>
              </w:tc>
              <w:tc>
                <w:tcPr>
                  <w:tcW w:w="481" w:type="pct"/>
                  <w:noWrap w:val="0"/>
                  <w:vAlign w:val="center"/>
                </w:tcPr>
                <w:p w14:paraId="1A292F6A">
                  <w:pPr>
                    <w:jc w:val="center"/>
                    <w:rPr>
                      <w:rFonts w:ascii="Times New Roman" w:hAnsi="Times New Roman" w:cs="Times New Roman"/>
                      <w:b/>
                      <w:bCs/>
                      <w:color w:val="auto"/>
                      <w:szCs w:val="21"/>
                    </w:rPr>
                  </w:pPr>
                  <w:r>
                    <w:rPr>
                      <w:rFonts w:ascii="Times New Roman" w:hAnsi="Times New Roman" w:cs="Times New Roman"/>
                      <w:b/>
                      <w:bCs/>
                      <w:color w:val="auto"/>
                      <w:szCs w:val="21"/>
                    </w:rPr>
                    <w:t>单次持续时间/h</w:t>
                  </w:r>
                </w:p>
              </w:tc>
              <w:tc>
                <w:tcPr>
                  <w:tcW w:w="435" w:type="pct"/>
                  <w:noWrap w:val="0"/>
                  <w:vAlign w:val="center"/>
                </w:tcPr>
                <w:p w14:paraId="01D7E7FE">
                  <w:pPr>
                    <w:jc w:val="center"/>
                    <w:rPr>
                      <w:rFonts w:ascii="Times New Roman" w:hAnsi="Times New Roman" w:cs="Times New Roman"/>
                      <w:b/>
                      <w:bCs/>
                      <w:color w:val="auto"/>
                      <w:szCs w:val="21"/>
                    </w:rPr>
                  </w:pPr>
                  <w:r>
                    <w:rPr>
                      <w:rFonts w:ascii="Times New Roman" w:hAnsi="Times New Roman" w:cs="Times New Roman"/>
                      <w:b/>
                      <w:bCs/>
                      <w:color w:val="auto"/>
                      <w:szCs w:val="21"/>
                    </w:rPr>
                    <w:t>年发生频次/次</w:t>
                  </w:r>
                </w:p>
              </w:tc>
              <w:tc>
                <w:tcPr>
                  <w:tcW w:w="565" w:type="pct"/>
                  <w:noWrap w:val="0"/>
                  <w:vAlign w:val="center"/>
                </w:tcPr>
                <w:p w14:paraId="3F133E3E">
                  <w:pPr>
                    <w:jc w:val="center"/>
                    <w:rPr>
                      <w:rFonts w:ascii="Times New Roman" w:hAnsi="Times New Roman" w:cs="Times New Roman"/>
                      <w:b/>
                      <w:bCs/>
                      <w:color w:val="auto"/>
                      <w:szCs w:val="21"/>
                    </w:rPr>
                  </w:pPr>
                  <w:r>
                    <w:rPr>
                      <w:rFonts w:ascii="Times New Roman" w:hAnsi="Times New Roman" w:cs="Times New Roman"/>
                      <w:b/>
                      <w:bCs/>
                      <w:color w:val="auto"/>
                      <w:szCs w:val="21"/>
                    </w:rPr>
                    <w:t>排放量/（kg/a）</w:t>
                  </w:r>
                </w:p>
              </w:tc>
              <w:tc>
                <w:tcPr>
                  <w:tcW w:w="856" w:type="pct"/>
                  <w:noWrap w:val="0"/>
                  <w:vAlign w:val="center"/>
                </w:tcPr>
                <w:p w14:paraId="33772E38">
                  <w:pPr>
                    <w:jc w:val="center"/>
                    <w:rPr>
                      <w:rFonts w:ascii="Times New Roman" w:hAnsi="Times New Roman" w:cs="Times New Roman"/>
                      <w:b/>
                      <w:bCs/>
                      <w:color w:val="auto"/>
                      <w:szCs w:val="21"/>
                    </w:rPr>
                  </w:pPr>
                  <w:r>
                    <w:rPr>
                      <w:rFonts w:ascii="Times New Roman" w:hAnsi="Times New Roman" w:cs="Times New Roman"/>
                      <w:b/>
                      <w:bCs/>
                      <w:color w:val="auto"/>
                      <w:szCs w:val="21"/>
                    </w:rPr>
                    <w:t>应对措施</w:t>
                  </w:r>
                </w:p>
              </w:tc>
            </w:tr>
            <w:tr w14:paraId="5D092B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3" w:type="pct"/>
                  <w:vMerge w:val="restart"/>
                  <w:noWrap w:val="0"/>
                  <w:vAlign w:val="center"/>
                </w:tcPr>
                <w:p w14:paraId="2605A36F">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DA001、DA002</w:t>
                  </w:r>
                </w:p>
              </w:tc>
              <w:tc>
                <w:tcPr>
                  <w:tcW w:w="672" w:type="pct"/>
                  <w:noWrap w:val="0"/>
                  <w:vAlign w:val="center"/>
                </w:tcPr>
                <w:p w14:paraId="1436B466">
                  <w:pPr>
                    <w:jc w:val="center"/>
                    <w:rPr>
                      <w:rFonts w:hint="default" w:ascii="Times New Roman" w:hAnsi="Times New Roman" w:cs="Times New Roman"/>
                      <w:color w:val="auto"/>
                      <w:szCs w:val="21"/>
                      <w:lang w:val="en-US"/>
                    </w:rPr>
                  </w:pPr>
                  <w:r>
                    <w:rPr>
                      <w:rFonts w:hint="eastAsia" w:cs="Times New Roman"/>
                      <w:color w:val="auto"/>
                      <w:kern w:val="2"/>
                      <w:sz w:val="21"/>
                      <w:szCs w:val="21"/>
                      <w:lang w:val="en-US" w:eastAsia="zh-CN" w:bidi="ar-SA"/>
                    </w:rPr>
                    <w:t>过滤棉处理效率为10%</w:t>
                  </w:r>
                </w:p>
              </w:tc>
              <w:tc>
                <w:tcPr>
                  <w:tcW w:w="438" w:type="pct"/>
                  <w:vMerge w:val="restart"/>
                  <w:noWrap w:val="0"/>
                  <w:vAlign w:val="center"/>
                </w:tcPr>
                <w:p w14:paraId="781B4EFE">
                  <w:pPr>
                    <w:pStyle w:val="10"/>
                    <w:adjustRightInd w:val="0"/>
                    <w:snapToGrid w:val="0"/>
                    <w:spacing w:after="0"/>
                    <w:ind w:left="0" w:leftChars="0"/>
                    <w:jc w:val="center"/>
                    <w:rPr>
                      <w:rFonts w:hint="default" w:ascii="Times New Roman" w:hAnsi="Times New Roman" w:cs="Times New Roman"/>
                      <w:color w:val="auto"/>
                      <w:sz w:val="21"/>
                      <w:szCs w:val="21"/>
                      <w:lang w:val="en-US"/>
                    </w:rPr>
                  </w:pPr>
                  <w:r>
                    <w:rPr>
                      <w:rFonts w:hint="eastAsia" w:ascii="Times New Roman" w:hAnsi="Times New Roman" w:cs="Times New Roman"/>
                      <w:color w:val="auto"/>
                      <w:sz w:val="21"/>
                      <w:szCs w:val="21"/>
                      <w:lang w:eastAsia="zh-CN"/>
                    </w:rPr>
                    <w:t>喷烤漆房</w:t>
                  </w:r>
                  <w:r>
                    <w:rPr>
                      <w:rFonts w:hint="eastAsia" w:cs="Times New Roman"/>
                      <w:color w:val="auto"/>
                      <w:sz w:val="21"/>
                      <w:szCs w:val="21"/>
                      <w:lang w:val="en-US" w:eastAsia="zh-CN"/>
                    </w:rPr>
                    <w:t>1#、2#</w:t>
                  </w:r>
                </w:p>
              </w:tc>
              <w:tc>
                <w:tcPr>
                  <w:tcW w:w="469" w:type="pct"/>
                  <w:noWrap w:val="0"/>
                  <w:vAlign w:val="center"/>
                </w:tcPr>
                <w:p w14:paraId="455FDD59">
                  <w:pPr>
                    <w:pStyle w:val="10"/>
                    <w:adjustRightInd w:val="0"/>
                    <w:snapToGrid w:val="0"/>
                    <w:spacing w:after="0"/>
                    <w:ind w:left="0" w:leftChars="0"/>
                    <w:jc w:val="center"/>
                    <w:rPr>
                      <w:rFonts w:ascii="Times New Roman" w:hAnsi="Times New Roman" w:cs="Times New Roman"/>
                      <w:color w:val="auto"/>
                      <w:sz w:val="21"/>
                      <w:szCs w:val="21"/>
                    </w:rPr>
                  </w:pPr>
                  <w:r>
                    <w:rPr>
                      <w:rFonts w:ascii="Times New Roman" w:hAnsi="Times New Roman" w:cs="Times New Roman"/>
                      <w:color w:val="auto"/>
                      <w:sz w:val="21"/>
                      <w:szCs w:val="21"/>
                    </w:rPr>
                    <w:t>漆雾</w:t>
                  </w:r>
                </w:p>
              </w:tc>
              <w:tc>
                <w:tcPr>
                  <w:tcW w:w="626" w:type="pct"/>
                  <w:shd w:val="clear" w:color="auto" w:fill="auto"/>
                  <w:noWrap w:val="0"/>
                  <w:vAlign w:val="center"/>
                </w:tcPr>
                <w:p w14:paraId="666797D2">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19</w:t>
                  </w:r>
                </w:p>
              </w:tc>
              <w:tc>
                <w:tcPr>
                  <w:tcW w:w="481" w:type="pct"/>
                  <w:noWrap w:val="0"/>
                  <w:vAlign w:val="center"/>
                </w:tcPr>
                <w:p w14:paraId="0F1CD587">
                  <w:pPr>
                    <w:jc w:val="center"/>
                    <w:rPr>
                      <w:rFonts w:ascii="Times New Roman" w:hAnsi="Times New Roman" w:cs="Times New Roman"/>
                      <w:color w:val="auto"/>
                      <w:szCs w:val="21"/>
                    </w:rPr>
                  </w:pPr>
                  <w:r>
                    <w:rPr>
                      <w:rFonts w:ascii="Times New Roman" w:hAnsi="Times New Roman" w:cs="Times New Roman"/>
                      <w:color w:val="auto"/>
                      <w:szCs w:val="21"/>
                    </w:rPr>
                    <w:t>0.5</w:t>
                  </w:r>
                </w:p>
              </w:tc>
              <w:tc>
                <w:tcPr>
                  <w:tcW w:w="435" w:type="pct"/>
                  <w:noWrap w:val="0"/>
                  <w:vAlign w:val="center"/>
                </w:tcPr>
                <w:p w14:paraId="18F31828">
                  <w:pPr>
                    <w:jc w:val="center"/>
                    <w:rPr>
                      <w:rFonts w:ascii="Times New Roman" w:hAnsi="Times New Roman" w:cs="Times New Roman"/>
                      <w:color w:val="auto"/>
                      <w:szCs w:val="21"/>
                    </w:rPr>
                  </w:pPr>
                  <w:r>
                    <w:rPr>
                      <w:rFonts w:ascii="Times New Roman" w:hAnsi="Times New Roman" w:cs="Times New Roman"/>
                      <w:color w:val="auto"/>
                      <w:szCs w:val="21"/>
                    </w:rPr>
                    <w:t>2</w:t>
                  </w:r>
                </w:p>
              </w:tc>
              <w:tc>
                <w:tcPr>
                  <w:tcW w:w="565" w:type="pct"/>
                  <w:shd w:val="clear" w:color="auto" w:fill="auto"/>
                  <w:noWrap w:val="0"/>
                  <w:vAlign w:val="center"/>
                </w:tcPr>
                <w:p w14:paraId="45E7F292">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17</w:t>
                  </w:r>
                </w:p>
              </w:tc>
              <w:tc>
                <w:tcPr>
                  <w:tcW w:w="856" w:type="pct"/>
                  <w:vMerge w:val="restart"/>
                  <w:noWrap w:val="0"/>
                  <w:vAlign w:val="center"/>
                </w:tcPr>
                <w:p w14:paraId="0BEB47E0">
                  <w:pPr>
                    <w:adjustRightInd w:val="0"/>
                    <w:snapToGrid w:val="0"/>
                    <w:jc w:val="center"/>
                    <w:rPr>
                      <w:rFonts w:ascii="Times New Roman" w:hAnsi="Times New Roman" w:cs="Times New Roman"/>
                      <w:color w:val="auto"/>
                      <w:szCs w:val="21"/>
                    </w:rPr>
                  </w:pPr>
                  <w:r>
                    <w:rPr>
                      <w:rFonts w:ascii="Times New Roman" w:hAnsi="Times New Roman" w:cs="Times New Roman"/>
                      <w:color w:val="auto"/>
                      <w:szCs w:val="21"/>
                    </w:rPr>
                    <w:t>立即停止生产，关闭排放阀，即时检修</w:t>
                  </w:r>
                </w:p>
              </w:tc>
            </w:tr>
            <w:tr w14:paraId="3B0FDA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3" w:type="pct"/>
                  <w:vMerge w:val="continue"/>
                  <w:noWrap w:val="0"/>
                  <w:vAlign w:val="center"/>
                </w:tcPr>
                <w:p w14:paraId="40498E78">
                  <w:pPr>
                    <w:pStyle w:val="6"/>
                    <w:ind w:left="-105" w:leftChars="-50" w:right="-105" w:rightChars="-50" w:firstLine="0" w:firstLineChars="0"/>
                    <w:jc w:val="center"/>
                    <w:rPr>
                      <w:rFonts w:ascii="Times New Roman" w:hAnsi="Times New Roman" w:cs="Times New Roman"/>
                      <w:color w:val="auto"/>
                      <w:szCs w:val="21"/>
                    </w:rPr>
                  </w:pPr>
                </w:p>
              </w:tc>
              <w:tc>
                <w:tcPr>
                  <w:tcW w:w="672" w:type="pct"/>
                  <w:vMerge w:val="restart"/>
                  <w:noWrap w:val="0"/>
                  <w:vAlign w:val="center"/>
                </w:tcPr>
                <w:p w14:paraId="69401E0E">
                  <w:pPr>
                    <w:jc w:val="center"/>
                    <w:rPr>
                      <w:rFonts w:ascii="Times New Roman" w:hAnsi="Times New Roman" w:cs="Times New Roman"/>
                      <w:color w:val="auto"/>
                      <w:szCs w:val="21"/>
                    </w:rPr>
                  </w:pPr>
                  <w:r>
                    <w:rPr>
                      <w:rFonts w:ascii="Times New Roman" w:hAnsi="Times New Roman" w:cs="Times New Roman"/>
                      <w:color w:val="auto"/>
                      <w:szCs w:val="21"/>
                    </w:rPr>
                    <w:t>活性炭吸附</w:t>
                  </w:r>
                  <w:r>
                    <w:rPr>
                      <w:rFonts w:hint="eastAsia" w:ascii="Times New Roman" w:hAnsi="Times New Roman" w:cs="Times New Roman"/>
                      <w:color w:val="auto"/>
                      <w:szCs w:val="21"/>
                      <w:lang w:val="en-US" w:eastAsia="zh-CN"/>
                    </w:rPr>
                    <w:t>装置</w:t>
                  </w:r>
                  <w:r>
                    <w:rPr>
                      <w:rFonts w:ascii="Times New Roman" w:hAnsi="Times New Roman" w:cs="Times New Roman"/>
                      <w:color w:val="auto"/>
                      <w:szCs w:val="21"/>
                    </w:rPr>
                    <w:t>废气处理</w:t>
                  </w:r>
                  <w:r>
                    <w:rPr>
                      <w:rFonts w:hint="eastAsia" w:ascii="Times New Roman" w:hAnsi="Times New Roman" w:cs="Times New Roman"/>
                      <w:color w:val="auto"/>
                      <w:szCs w:val="21"/>
                    </w:rPr>
                    <w:t>效率为0</w:t>
                  </w:r>
                </w:p>
              </w:tc>
              <w:tc>
                <w:tcPr>
                  <w:tcW w:w="438" w:type="pct"/>
                  <w:vMerge w:val="continue"/>
                  <w:noWrap w:val="0"/>
                  <w:vAlign w:val="center"/>
                </w:tcPr>
                <w:p w14:paraId="3B079C0E">
                  <w:pPr>
                    <w:pStyle w:val="10"/>
                    <w:adjustRightInd w:val="0"/>
                    <w:snapToGrid w:val="0"/>
                    <w:spacing w:after="0"/>
                    <w:ind w:left="0" w:leftChars="0"/>
                    <w:jc w:val="center"/>
                    <w:rPr>
                      <w:rFonts w:ascii="Times New Roman" w:hAnsi="Times New Roman" w:cs="Times New Roman"/>
                      <w:color w:val="auto"/>
                      <w:sz w:val="21"/>
                      <w:szCs w:val="21"/>
                    </w:rPr>
                  </w:pPr>
                </w:p>
              </w:tc>
              <w:tc>
                <w:tcPr>
                  <w:tcW w:w="469" w:type="pct"/>
                  <w:noWrap w:val="0"/>
                  <w:vAlign w:val="center"/>
                </w:tcPr>
                <w:p w14:paraId="31ACFCA5">
                  <w:pPr>
                    <w:pStyle w:val="10"/>
                    <w:adjustRightInd w:val="0"/>
                    <w:snapToGrid w:val="0"/>
                    <w:spacing w:after="0"/>
                    <w:ind w:left="0" w:leftChars="0"/>
                    <w:jc w:val="center"/>
                    <w:rPr>
                      <w:rFonts w:ascii="Times New Roman" w:hAnsi="Times New Roman" w:cs="Times New Roman"/>
                      <w:color w:val="auto"/>
                      <w:sz w:val="21"/>
                      <w:szCs w:val="21"/>
                    </w:rPr>
                  </w:pPr>
                  <w:r>
                    <w:rPr>
                      <w:rFonts w:ascii="Times New Roman" w:hAnsi="Times New Roman" w:cs="Times New Roman"/>
                      <w:color w:val="auto"/>
                      <w:sz w:val="21"/>
                      <w:szCs w:val="21"/>
                    </w:rPr>
                    <w:t>非甲烷总烃</w:t>
                  </w:r>
                </w:p>
              </w:tc>
              <w:tc>
                <w:tcPr>
                  <w:tcW w:w="626" w:type="pct"/>
                  <w:shd w:val="clear" w:color="auto" w:fill="auto"/>
                  <w:noWrap w:val="0"/>
                  <w:vAlign w:val="center"/>
                </w:tcPr>
                <w:p w14:paraId="5513E4D0">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45</w:t>
                  </w:r>
                </w:p>
              </w:tc>
              <w:tc>
                <w:tcPr>
                  <w:tcW w:w="481" w:type="pct"/>
                  <w:noWrap w:val="0"/>
                  <w:vAlign w:val="center"/>
                </w:tcPr>
                <w:p w14:paraId="3BD7BC02">
                  <w:pPr>
                    <w:jc w:val="center"/>
                    <w:rPr>
                      <w:rFonts w:ascii="Times New Roman" w:hAnsi="Times New Roman" w:cs="Times New Roman"/>
                      <w:color w:val="auto"/>
                      <w:szCs w:val="21"/>
                    </w:rPr>
                  </w:pPr>
                  <w:r>
                    <w:rPr>
                      <w:rFonts w:ascii="Times New Roman" w:hAnsi="Times New Roman" w:cs="Times New Roman"/>
                      <w:color w:val="auto"/>
                      <w:szCs w:val="21"/>
                    </w:rPr>
                    <w:t>0.5</w:t>
                  </w:r>
                </w:p>
              </w:tc>
              <w:tc>
                <w:tcPr>
                  <w:tcW w:w="435" w:type="pct"/>
                  <w:noWrap w:val="0"/>
                  <w:vAlign w:val="center"/>
                </w:tcPr>
                <w:p w14:paraId="1ADC745A">
                  <w:pPr>
                    <w:jc w:val="center"/>
                    <w:rPr>
                      <w:rFonts w:ascii="Times New Roman" w:hAnsi="Times New Roman" w:cs="Times New Roman"/>
                      <w:color w:val="auto"/>
                      <w:szCs w:val="21"/>
                    </w:rPr>
                  </w:pPr>
                  <w:r>
                    <w:rPr>
                      <w:rFonts w:ascii="Times New Roman" w:hAnsi="Times New Roman" w:cs="Times New Roman"/>
                      <w:color w:val="auto"/>
                      <w:szCs w:val="21"/>
                    </w:rPr>
                    <w:t>2</w:t>
                  </w:r>
                </w:p>
              </w:tc>
              <w:tc>
                <w:tcPr>
                  <w:tcW w:w="565" w:type="pct"/>
                  <w:shd w:val="clear" w:color="auto" w:fill="auto"/>
                  <w:noWrap w:val="0"/>
                  <w:vAlign w:val="center"/>
                </w:tcPr>
                <w:p w14:paraId="6C78AF5D">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45</w:t>
                  </w:r>
                </w:p>
              </w:tc>
              <w:tc>
                <w:tcPr>
                  <w:tcW w:w="856" w:type="pct"/>
                  <w:vMerge w:val="continue"/>
                  <w:noWrap w:val="0"/>
                  <w:vAlign w:val="top"/>
                </w:tcPr>
                <w:p w14:paraId="2DA21EB5">
                  <w:pPr>
                    <w:adjustRightInd w:val="0"/>
                    <w:snapToGrid w:val="0"/>
                    <w:jc w:val="center"/>
                    <w:rPr>
                      <w:rFonts w:ascii="Times New Roman" w:hAnsi="Times New Roman" w:cs="Times New Roman"/>
                      <w:color w:val="auto"/>
                      <w:szCs w:val="21"/>
                    </w:rPr>
                  </w:pPr>
                </w:p>
              </w:tc>
            </w:tr>
            <w:tr w14:paraId="152E61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3" w:type="pct"/>
                  <w:vMerge w:val="continue"/>
                  <w:noWrap w:val="0"/>
                  <w:vAlign w:val="center"/>
                </w:tcPr>
                <w:p w14:paraId="349BBA97">
                  <w:pPr>
                    <w:jc w:val="center"/>
                    <w:rPr>
                      <w:rFonts w:ascii="Times New Roman" w:hAnsi="Times New Roman" w:eastAsia="宋体" w:cs="Times New Roman"/>
                      <w:color w:val="auto"/>
                      <w:szCs w:val="21"/>
                    </w:rPr>
                  </w:pPr>
                </w:p>
              </w:tc>
              <w:tc>
                <w:tcPr>
                  <w:tcW w:w="672" w:type="pct"/>
                  <w:vMerge w:val="continue"/>
                  <w:noWrap w:val="0"/>
                  <w:vAlign w:val="center"/>
                </w:tcPr>
                <w:p w14:paraId="3CD318FB">
                  <w:pPr>
                    <w:jc w:val="center"/>
                    <w:rPr>
                      <w:rFonts w:ascii="Times New Roman" w:hAnsi="Times New Roman" w:eastAsia="宋体" w:cs="Times New Roman"/>
                      <w:color w:val="auto"/>
                      <w:szCs w:val="21"/>
                    </w:rPr>
                  </w:pPr>
                </w:p>
              </w:tc>
              <w:tc>
                <w:tcPr>
                  <w:tcW w:w="438" w:type="pct"/>
                  <w:vMerge w:val="continue"/>
                  <w:noWrap w:val="0"/>
                  <w:vAlign w:val="center"/>
                </w:tcPr>
                <w:p w14:paraId="6F4F6CB0">
                  <w:pPr>
                    <w:jc w:val="center"/>
                    <w:rPr>
                      <w:rFonts w:ascii="Times New Roman" w:hAnsi="Times New Roman" w:eastAsia="宋体" w:cs="Times New Roman"/>
                      <w:color w:val="auto"/>
                      <w:szCs w:val="21"/>
                    </w:rPr>
                  </w:pPr>
                </w:p>
              </w:tc>
              <w:tc>
                <w:tcPr>
                  <w:tcW w:w="469" w:type="pct"/>
                  <w:noWrap w:val="0"/>
                  <w:vAlign w:val="center"/>
                </w:tcPr>
                <w:p w14:paraId="6D063C05">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甲苯</w:t>
                  </w:r>
                </w:p>
              </w:tc>
              <w:tc>
                <w:tcPr>
                  <w:tcW w:w="626" w:type="pct"/>
                  <w:shd w:val="clear" w:color="auto" w:fill="auto"/>
                  <w:noWrap w:val="0"/>
                  <w:vAlign w:val="center"/>
                </w:tcPr>
                <w:p w14:paraId="70113B1A">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0.0</w:t>
                  </w:r>
                  <w:r>
                    <w:rPr>
                      <w:rFonts w:hint="eastAsia" w:cs="Times New Roman"/>
                      <w:color w:val="auto"/>
                      <w:szCs w:val="21"/>
                      <w:lang w:val="en-US" w:eastAsia="zh-CN"/>
                    </w:rPr>
                    <w:t>3</w:t>
                  </w:r>
                </w:p>
              </w:tc>
              <w:tc>
                <w:tcPr>
                  <w:tcW w:w="481" w:type="pct"/>
                  <w:noWrap w:val="0"/>
                  <w:vAlign w:val="center"/>
                </w:tcPr>
                <w:p w14:paraId="680181D3">
                  <w:pPr>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0.5</w:t>
                  </w:r>
                </w:p>
              </w:tc>
              <w:tc>
                <w:tcPr>
                  <w:tcW w:w="435" w:type="pct"/>
                  <w:noWrap w:val="0"/>
                  <w:vAlign w:val="center"/>
                </w:tcPr>
                <w:p w14:paraId="31B075D2">
                  <w:pPr>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2</w:t>
                  </w:r>
                </w:p>
              </w:tc>
              <w:tc>
                <w:tcPr>
                  <w:tcW w:w="565" w:type="pct"/>
                  <w:shd w:val="clear" w:color="auto" w:fill="auto"/>
                  <w:noWrap w:val="0"/>
                  <w:vAlign w:val="center"/>
                </w:tcPr>
                <w:p w14:paraId="34353240">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0.0</w:t>
                  </w:r>
                  <w:r>
                    <w:rPr>
                      <w:rFonts w:hint="eastAsia" w:cs="Times New Roman"/>
                      <w:color w:val="auto"/>
                      <w:szCs w:val="21"/>
                      <w:lang w:val="en-US" w:eastAsia="zh-CN"/>
                    </w:rPr>
                    <w:t>3</w:t>
                  </w:r>
                </w:p>
              </w:tc>
              <w:tc>
                <w:tcPr>
                  <w:tcW w:w="856" w:type="pct"/>
                  <w:vMerge w:val="continue"/>
                  <w:noWrap w:val="0"/>
                  <w:vAlign w:val="top"/>
                </w:tcPr>
                <w:p w14:paraId="148B3940">
                  <w:pPr>
                    <w:adjustRightInd w:val="0"/>
                    <w:snapToGrid w:val="0"/>
                    <w:jc w:val="center"/>
                    <w:rPr>
                      <w:rFonts w:ascii="Times New Roman" w:hAnsi="Times New Roman" w:cs="Times New Roman"/>
                      <w:color w:val="auto"/>
                      <w:szCs w:val="21"/>
                    </w:rPr>
                  </w:pPr>
                </w:p>
              </w:tc>
            </w:tr>
            <w:tr w14:paraId="43CAC3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3" w:type="pct"/>
                  <w:vMerge w:val="continue"/>
                  <w:noWrap w:val="0"/>
                  <w:vAlign w:val="center"/>
                </w:tcPr>
                <w:p w14:paraId="5F0415B0">
                  <w:pPr>
                    <w:jc w:val="center"/>
                    <w:rPr>
                      <w:rFonts w:ascii="Times New Roman" w:hAnsi="Times New Roman" w:eastAsia="宋体" w:cs="Times New Roman"/>
                      <w:color w:val="auto"/>
                      <w:szCs w:val="21"/>
                    </w:rPr>
                  </w:pPr>
                </w:p>
              </w:tc>
              <w:tc>
                <w:tcPr>
                  <w:tcW w:w="672" w:type="pct"/>
                  <w:vMerge w:val="continue"/>
                  <w:noWrap w:val="0"/>
                  <w:vAlign w:val="center"/>
                </w:tcPr>
                <w:p w14:paraId="5FA12F96">
                  <w:pPr>
                    <w:jc w:val="center"/>
                    <w:rPr>
                      <w:rFonts w:ascii="Times New Roman" w:hAnsi="Times New Roman" w:eastAsia="宋体" w:cs="Times New Roman"/>
                      <w:color w:val="auto"/>
                      <w:szCs w:val="21"/>
                    </w:rPr>
                  </w:pPr>
                </w:p>
              </w:tc>
              <w:tc>
                <w:tcPr>
                  <w:tcW w:w="438" w:type="pct"/>
                  <w:vMerge w:val="continue"/>
                  <w:noWrap w:val="0"/>
                  <w:vAlign w:val="center"/>
                </w:tcPr>
                <w:p w14:paraId="6EA2D3D3">
                  <w:pPr>
                    <w:jc w:val="center"/>
                    <w:rPr>
                      <w:rFonts w:ascii="Times New Roman" w:hAnsi="Times New Roman" w:eastAsia="宋体" w:cs="Times New Roman"/>
                      <w:color w:val="auto"/>
                      <w:szCs w:val="21"/>
                    </w:rPr>
                  </w:pPr>
                </w:p>
              </w:tc>
              <w:tc>
                <w:tcPr>
                  <w:tcW w:w="469" w:type="pct"/>
                  <w:noWrap w:val="0"/>
                  <w:vAlign w:val="center"/>
                </w:tcPr>
                <w:p w14:paraId="4F64353F">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二甲苯</w:t>
                  </w:r>
                </w:p>
              </w:tc>
              <w:tc>
                <w:tcPr>
                  <w:tcW w:w="626" w:type="pct"/>
                  <w:shd w:val="clear" w:color="auto" w:fill="auto"/>
                  <w:noWrap w:val="0"/>
                  <w:vAlign w:val="center"/>
                </w:tcPr>
                <w:p w14:paraId="0A3FBF8C">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1</w:t>
                  </w:r>
                </w:p>
              </w:tc>
              <w:tc>
                <w:tcPr>
                  <w:tcW w:w="481" w:type="pct"/>
                  <w:noWrap w:val="0"/>
                  <w:vAlign w:val="center"/>
                </w:tcPr>
                <w:p w14:paraId="4D3EDEEE">
                  <w:pPr>
                    <w:jc w:val="center"/>
                    <w:rPr>
                      <w:rFonts w:ascii="Times New Roman" w:hAnsi="Times New Roman" w:cs="Times New Roman"/>
                      <w:color w:val="auto"/>
                      <w:szCs w:val="21"/>
                    </w:rPr>
                  </w:pPr>
                  <w:r>
                    <w:rPr>
                      <w:rFonts w:ascii="Times New Roman" w:hAnsi="Times New Roman" w:cs="Times New Roman"/>
                      <w:color w:val="auto"/>
                      <w:szCs w:val="21"/>
                    </w:rPr>
                    <w:t>0.5</w:t>
                  </w:r>
                </w:p>
              </w:tc>
              <w:tc>
                <w:tcPr>
                  <w:tcW w:w="435" w:type="pct"/>
                  <w:noWrap w:val="0"/>
                  <w:vAlign w:val="center"/>
                </w:tcPr>
                <w:p w14:paraId="783C48B8">
                  <w:pPr>
                    <w:jc w:val="center"/>
                    <w:rPr>
                      <w:rFonts w:ascii="Times New Roman" w:hAnsi="Times New Roman" w:cs="Times New Roman"/>
                      <w:color w:val="auto"/>
                      <w:szCs w:val="21"/>
                    </w:rPr>
                  </w:pPr>
                  <w:r>
                    <w:rPr>
                      <w:rFonts w:ascii="Times New Roman" w:hAnsi="Times New Roman" w:cs="Times New Roman"/>
                      <w:color w:val="auto"/>
                      <w:szCs w:val="21"/>
                    </w:rPr>
                    <w:t>2</w:t>
                  </w:r>
                </w:p>
              </w:tc>
              <w:tc>
                <w:tcPr>
                  <w:tcW w:w="565" w:type="pct"/>
                  <w:shd w:val="clear" w:color="auto" w:fill="auto"/>
                  <w:noWrap w:val="0"/>
                  <w:vAlign w:val="center"/>
                </w:tcPr>
                <w:p w14:paraId="4239AC53">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1</w:t>
                  </w:r>
                </w:p>
              </w:tc>
              <w:tc>
                <w:tcPr>
                  <w:tcW w:w="856" w:type="pct"/>
                  <w:vMerge w:val="continue"/>
                  <w:noWrap w:val="0"/>
                  <w:vAlign w:val="top"/>
                </w:tcPr>
                <w:p w14:paraId="15AE8497">
                  <w:pPr>
                    <w:adjustRightInd w:val="0"/>
                    <w:snapToGrid w:val="0"/>
                    <w:jc w:val="center"/>
                    <w:rPr>
                      <w:rFonts w:ascii="Times New Roman" w:hAnsi="Times New Roman" w:cs="Times New Roman"/>
                      <w:color w:val="auto"/>
                      <w:szCs w:val="21"/>
                    </w:rPr>
                  </w:pPr>
                </w:p>
              </w:tc>
            </w:tr>
            <w:tr w14:paraId="10F344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3" w:type="pct"/>
                  <w:vMerge w:val="restart"/>
                  <w:noWrap w:val="0"/>
                  <w:vAlign w:val="center"/>
                </w:tcPr>
                <w:p w14:paraId="7EEC9740">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DA003</w:t>
                  </w:r>
                </w:p>
              </w:tc>
              <w:tc>
                <w:tcPr>
                  <w:tcW w:w="672" w:type="pct"/>
                  <w:noWrap w:val="0"/>
                  <w:vAlign w:val="center"/>
                </w:tcPr>
                <w:p w14:paraId="2DBD29D9">
                  <w:pPr>
                    <w:jc w:val="center"/>
                    <w:rPr>
                      <w:rFonts w:hint="default" w:ascii="Times New Roman" w:hAnsi="Times New Roman" w:eastAsia="宋体" w:cs="Times New Roman"/>
                      <w:color w:val="auto"/>
                      <w:szCs w:val="21"/>
                      <w:lang w:val="en-US"/>
                    </w:rPr>
                  </w:pPr>
                  <w:r>
                    <w:rPr>
                      <w:rFonts w:hint="eastAsia" w:cs="Times New Roman"/>
                      <w:color w:val="auto"/>
                      <w:kern w:val="2"/>
                      <w:sz w:val="21"/>
                      <w:szCs w:val="21"/>
                      <w:lang w:val="en-US" w:eastAsia="zh-CN" w:bidi="ar-SA"/>
                    </w:rPr>
                    <w:t>过滤棉处理效率为10%</w:t>
                  </w:r>
                </w:p>
              </w:tc>
              <w:tc>
                <w:tcPr>
                  <w:tcW w:w="438" w:type="pct"/>
                  <w:vMerge w:val="restart"/>
                  <w:noWrap w:val="0"/>
                  <w:vAlign w:val="center"/>
                </w:tcPr>
                <w:p w14:paraId="655D0E58">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喷烤漆房3#、调漆</w:t>
                  </w:r>
                </w:p>
              </w:tc>
              <w:tc>
                <w:tcPr>
                  <w:tcW w:w="469" w:type="pct"/>
                  <w:shd w:val="clear" w:color="auto" w:fill="auto"/>
                  <w:noWrap w:val="0"/>
                  <w:vAlign w:val="center"/>
                </w:tcPr>
                <w:p w14:paraId="2E0190E2">
                  <w:pPr>
                    <w:pStyle w:val="10"/>
                    <w:adjustRightInd w:val="0"/>
                    <w:snapToGrid w:val="0"/>
                    <w:spacing w:after="0"/>
                    <w:ind w:left="0" w:leftChars="0"/>
                    <w:jc w:val="center"/>
                    <w:rPr>
                      <w:rFonts w:ascii="Times New Roman" w:hAnsi="Times New Roman" w:eastAsia="宋体" w:cs="Times New Roman"/>
                      <w:color w:val="auto"/>
                      <w:kern w:val="0"/>
                      <w:sz w:val="21"/>
                      <w:szCs w:val="21"/>
                      <w:lang w:val="en-US" w:eastAsia="zh-CN" w:bidi="ar-SA"/>
                    </w:rPr>
                  </w:pPr>
                  <w:r>
                    <w:rPr>
                      <w:rFonts w:ascii="Times New Roman" w:hAnsi="Times New Roman" w:cs="Times New Roman"/>
                      <w:color w:val="auto"/>
                      <w:sz w:val="21"/>
                      <w:szCs w:val="21"/>
                    </w:rPr>
                    <w:t>漆雾</w:t>
                  </w:r>
                </w:p>
              </w:tc>
              <w:tc>
                <w:tcPr>
                  <w:tcW w:w="626" w:type="pct"/>
                  <w:shd w:val="clear" w:color="auto" w:fill="auto"/>
                  <w:noWrap w:val="0"/>
                  <w:vAlign w:val="center"/>
                </w:tcPr>
                <w:p w14:paraId="34A08550">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38</w:t>
                  </w:r>
                </w:p>
              </w:tc>
              <w:tc>
                <w:tcPr>
                  <w:tcW w:w="481" w:type="pct"/>
                  <w:shd w:val="clear" w:color="auto" w:fill="auto"/>
                  <w:noWrap w:val="0"/>
                  <w:vAlign w:val="center"/>
                </w:tcPr>
                <w:p w14:paraId="0DE05411">
                  <w:pPr>
                    <w:jc w:val="center"/>
                    <w:rPr>
                      <w:rFonts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0.5</w:t>
                  </w:r>
                </w:p>
              </w:tc>
              <w:tc>
                <w:tcPr>
                  <w:tcW w:w="435" w:type="pct"/>
                  <w:shd w:val="clear" w:color="auto" w:fill="auto"/>
                  <w:noWrap w:val="0"/>
                  <w:vAlign w:val="center"/>
                </w:tcPr>
                <w:p w14:paraId="5D54052C">
                  <w:pPr>
                    <w:jc w:val="center"/>
                    <w:rPr>
                      <w:rFonts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2</w:t>
                  </w:r>
                </w:p>
              </w:tc>
              <w:tc>
                <w:tcPr>
                  <w:tcW w:w="565" w:type="pct"/>
                  <w:shd w:val="clear" w:color="auto" w:fill="auto"/>
                  <w:noWrap w:val="0"/>
                  <w:vAlign w:val="center"/>
                </w:tcPr>
                <w:p w14:paraId="7D44F1BC">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w:t>
                  </w:r>
                  <w:r>
                    <w:rPr>
                      <w:rFonts w:hint="eastAsia" w:cs="Times New Roman"/>
                      <w:color w:val="auto"/>
                      <w:szCs w:val="21"/>
                      <w:lang w:val="en-US" w:eastAsia="zh-CN"/>
                    </w:rPr>
                    <w:t>34</w:t>
                  </w:r>
                </w:p>
              </w:tc>
              <w:tc>
                <w:tcPr>
                  <w:tcW w:w="856" w:type="pct"/>
                  <w:vMerge w:val="restart"/>
                  <w:noWrap w:val="0"/>
                  <w:vAlign w:val="center"/>
                </w:tcPr>
                <w:p w14:paraId="49EDB826">
                  <w:pPr>
                    <w:adjustRightInd w:val="0"/>
                    <w:snapToGrid w:val="0"/>
                    <w:jc w:val="center"/>
                    <w:rPr>
                      <w:rFonts w:ascii="Times New Roman" w:hAnsi="Times New Roman" w:cs="Times New Roman"/>
                      <w:color w:val="auto"/>
                      <w:szCs w:val="21"/>
                    </w:rPr>
                  </w:pPr>
                  <w:r>
                    <w:rPr>
                      <w:rFonts w:ascii="Times New Roman" w:hAnsi="Times New Roman" w:cs="Times New Roman"/>
                      <w:color w:val="auto"/>
                      <w:szCs w:val="21"/>
                    </w:rPr>
                    <w:t>立即停止生产，关闭排放阀，即时检修</w:t>
                  </w:r>
                </w:p>
              </w:tc>
            </w:tr>
            <w:tr w14:paraId="33B1B7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3" w:type="pct"/>
                  <w:vMerge w:val="continue"/>
                  <w:noWrap w:val="0"/>
                  <w:vAlign w:val="center"/>
                </w:tcPr>
                <w:p w14:paraId="17D0D8D2">
                  <w:pPr>
                    <w:jc w:val="center"/>
                    <w:rPr>
                      <w:rFonts w:ascii="Times New Roman" w:hAnsi="Times New Roman" w:eastAsia="宋体" w:cs="Times New Roman"/>
                      <w:color w:val="auto"/>
                      <w:szCs w:val="21"/>
                    </w:rPr>
                  </w:pPr>
                </w:p>
              </w:tc>
              <w:tc>
                <w:tcPr>
                  <w:tcW w:w="672" w:type="pct"/>
                  <w:vMerge w:val="restart"/>
                  <w:noWrap w:val="0"/>
                  <w:vAlign w:val="center"/>
                </w:tcPr>
                <w:p w14:paraId="1F79356E">
                  <w:pPr>
                    <w:jc w:val="center"/>
                    <w:rPr>
                      <w:rFonts w:ascii="Times New Roman" w:hAnsi="Times New Roman" w:eastAsia="宋体" w:cs="Times New Roman"/>
                      <w:color w:val="auto"/>
                      <w:szCs w:val="21"/>
                    </w:rPr>
                  </w:pPr>
                  <w:r>
                    <w:rPr>
                      <w:rFonts w:ascii="Times New Roman" w:hAnsi="Times New Roman" w:cs="Times New Roman"/>
                      <w:color w:val="auto"/>
                      <w:szCs w:val="21"/>
                    </w:rPr>
                    <w:t>活性炭吸附</w:t>
                  </w:r>
                  <w:r>
                    <w:rPr>
                      <w:rFonts w:hint="eastAsia" w:ascii="Times New Roman" w:hAnsi="Times New Roman" w:cs="Times New Roman"/>
                      <w:color w:val="auto"/>
                      <w:szCs w:val="21"/>
                      <w:lang w:val="en-US" w:eastAsia="zh-CN"/>
                    </w:rPr>
                    <w:t>装置</w:t>
                  </w:r>
                  <w:r>
                    <w:rPr>
                      <w:rFonts w:ascii="Times New Roman" w:hAnsi="Times New Roman" w:cs="Times New Roman"/>
                      <w:color w:val="auto"/>
                      <w:szCs w:val="21"/>
                    </w:rPr>
                    <w:t>废气处理</w:t>
                  </w:r>
                  <w:r>
                    <w:rPr>
                      <w:rFonts w:hint="eastAsia" w:ascii="Times New Roman" w:hAnsi="Times New Roman" w:cs="Times New Roman"/>
                      <w:color w:val="auto"/>
                      <w:szCs w:val="21"/>
                    </w:rPr>
                    <w:t>效率为0</w:t>
                  </w:r>
                </w:p>
              </w:tc>
              <w:tc>
                <w:tcPr>
                  <w:tcW w:w="438" w:type="pct"/>
                  <w:vMerge w:val="continue"/>
                  <w:noWrap w:val="0"/>
                  <w:vAlign w:val="center"/>
                </w:tcPr>
                <w:p w14:paraId="6E8F0802">
                  <w:pPr>
                    <w:jc w:val="center"/>
                    <w:rPr>
                      <w:rFonts w:ascii="Times New Roman" w:hAnsi="Times New Roman" w:eastAsia="宋体" w:cs="Times New Roman"/>
                      <w:color w:val="auto"/>
                      <w:szCs w:val="21"/>
                    </w:rPr>
                  </w:pPr>
                </w:p>
              </w:tc>
              <w:tc>
                <w:tcPr>
                  <w:tcW w:w="469" w:type="pct"/>
                  <w:shd w:val="clear" w:color="auto" w:fill="auto"/>
                  <w:noWrap w:val="0"/>
                  <w:vAlign w:val="center"/>
                </w:tcPr>
                <w:p w14:paraId="3E0CD9A4">
                  <w:pPr>
                    <w:pStyle w:val="10"/>
                    <w:adjustRightInd w:val="0"/>
                    <w:snapToGrid w:val="0"/>
                    <w:spacing w:after="0"/>
                    <w:ind w:left="0" w:leftChars="0"/>
                    <w:jc w:val="center"/>
                    <w:rPr>
                      <w:rFonts w:ascii="Times New Roman" w:hAnsi="Times New Roman" w:eastAsia="宋体" w:cs="Times New Roman"/>
                      <w:color w:val="auto"/>
                      <w:kern w:val="0"/>
                      <w:sz w:val="21"/>
                      <w:szCs w:val="21"/>
                      <w:lang w:val="en-US" w:eastAsia="zh-CN" w:bidi="ar-SA"/>
                    </w:rPr>
                  </w:pPr>
                  <w:r>
                    <w:rPr>
                      <w:rFonts w:ascii="Times New Roman" w:hAnsi="Times New Roman" w:cs="Times New Roman"/>
                      <w:color w:val="auto"/>
                      <w:sz w:val="21"/>
                      <w:szCs w:val="21"/>
                    </w:rPr>
                    <w:t>非甲烷总烃</w:t>
                  </w:r>
                </w:p>
              </w:tc>
              <w:tc>
                <w:tcPr>
                  <w:tcW w:w="626" w:type="pct"/>
                  <w:shd w:val="clear" w:color="auto" w:fill="auto"/>
                  <w:noWrap w:val="0"/>
                  <w:vAlign w:val="center"/>
                </w:tcPr>
                <w:p w14:paraId="755D9914">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1.1206</w:t>
                  </w:r>
                </w:p>
              </w:tc>
              <w:tc>
                <w:tcPr>
                  <w:tcW w:w="481" w:type="pct"/>
                  <w:shd w:val="clear" w:color="auto" w:fill="auto"/>
                  <w:noWrap w:val="0"/>
                  <w:vAlign w:val="center"/>
                </w:tcPr>
                <w:p w14:paraId="54B39833">
                  <w:pPr>
                    <w:jc w:val="center"/>
                    <w:rPr>
                      <w:rFonts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0.5</w:t>
                  </w:r>
                </w:p>
              </w:tc>
              <w:tc>
                <w:tcPr>
                  <w:tcW w:w="435" w:type="pct"/>
                  <w:shd w:val="clear" w:color="auto" w:fill="auto"/>
                  <w:noWrap w:val="0"/>
                  <w:vAlign w:val="center"/>
                </w:tcPr>
                <w:p w14:paraId="2297B7BD">
                  <w:pPr>
                    <w:jc w:val="center"/>
                    <w:rPr>
                      <w:rFonts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2</w:t>
                  </w:r>
                </w:p>
              </w:tc>
              <w:tc>
                <w:tcPr>
                  <w:tcW w:w="565" w:type="pct"/>
                  <w:shd w:val="clear" w:color="auto" w:fill="auto"/>
                  <w:noWrap w:val="0"/>
                  <w:vAlign w:val="center"/>
                </w:tcPr>
                <w:p w14:paraId="732C75D6">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1.1206</w:t>
                  </w:r>
                </w:p>
              </w:tc>
              <w:tc>
                <w:tcPr>
                  <w:tcW w:w="856" w:type="pct"/>
                  <w:vMerge w:val="continue"/>
                  <w:noWrap w:val="0"/>
                  <w:vAlign w:val="top"/>
                </w:tcPr>
                <w:p w14:paraId="25AF5FE1">
                  <w:pPr>
                    <w:adjustRightInd w:val="0"/>
                    <w:snapToGrid w:val="0"/>
                    <w:jc w:val="center"/>
                    <w:rPr>
                      <w:rFonts w:ascii="Times New Roman" w:hAnsi="Times New Roman" w:cs="Times New Roman"/>
                      <w:color w:val="auto"/>
                      <w:szCs w:val="21"/>
                    </w:rPr>
                  </w:pPr>
                </w:p>
              </w:tc>
            </w:tr>
            <w:tr w14:paraId="6503F1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3" w:type="pct"/>
                  <w:vMerge w:val="continue"/>
                  <w:noWrap w:val="0"/>
                  <w:vAlign w:val="center"/>
                </w:tcPr>
                <w:p w14:paraId="3038FA57">
                  <w:pPr>
                    <w:jc w:val="center"/>
                    <w:rPr>
                      <w:rFonts w:ascii="Times New Roman" w:hAnsi="Times New Roman" w:eastAsia="宋体" w:cs="Times New Roman"/>
                      <w:color w:val="auto"/>
                      <w:szCs w:val="21"/>
                    </w:rPr>
                  </w:pPr>
                </w:p>
              </w:tc>
              <w:tc>
                <w:tcPr>
                  <w:tcW w:w="672" w:type="pct"/>
                  <w:vMerge w:val="continue"/>
                  <w:noWrap w:val="0"/>
                  <w:vAlign w:val="center"/>
                </w:tcPr>
                <w:p w14:paraId="03A85830">
                  <w:pPr>
                    <w:jc w:val="center"/>
                    <w:rPr>
                      <w:rFonts w:ascii="Times New Roman" w:hAnsi="Times New Roman" w:eastAsia="宋体" w:cs="Times New Roman"/>
                      <w:color w:val="auto"/>
                      <w:szCs w:val="21"/>
                    </w:rPr>
                  </w:pPr>
                </w:p>
              </w:tc>
              <w:tc>
                <w:tcPr>
                  <w:tcW w:w="438" w:type="pct"/>
                  <w:vMerge w:val="continue"/>
                  <w:noWrap w:val="0"/>
                  <w:vAlign w:val="center"/>
                </w:tcPr>
                <w:p w14:paraId="2B45C903">
                  <w:pPr>
                    <w:jc w:val="center"/>
                    <w:rPr>
                      <w:rFonts w:ascii="Times New Roman" w:hAnsi="Times New Roman" w:eastAsia="宋体" w:cs="Times New Roman"/>
                      <w:color w:val="auto"/>
                      <w:szCs w:val="21"/>
                    </w:rPr>
                  </w:pPr>
                </w:p>
              </w:tc>
              <w:tc>
                <w:tcPr>
                  <w:tcW w:w="469" w:type="pct"/>
                  <w:shd w:val="clear" w:color="auto" w:fill="auto"/>
                  <w:noWrap w:val="0"/>
                  <w:vAlign w:val="center"/>
                </w:tcPr>
                <w:p w14:paraId="27CFCEDC">
                  <w:pPr>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甲苯</w:t>
                  </w:r>
                </w:p>
              </w:tc>
              <w:tc>
                <w:tcPr>
                  <w:tcW w:w="626" w:type="pct"/>
                  <w:shd w:val="clear" w:color="auto" w:fill="auto"/>
                  <w:noWrap w:val="0"/>
                  <w:vAlign w:val="center"/>
                </w:tcPr>
                <w:p w14:paraId="27EABEF4">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0.0</w:t>
                  </w:r>
                  <w:r>
                    <w:rPr>
                      <w:rFonts w:hint="eastAsia" w:cs="Times New Roman"/>
                      <w:color w:val="auto"/>
                      <w:szCs w:val="21"/>
                      <w:lang w:val="en-US" w:eastAsia="zh-CN"/>
                    </w:rPr>
                    <w:t>79</w:t>
                  </w:r>
                </w:p>
              </w:tc>
              <w:tc>
                <w:tcPr>
                  <w:tcW w:w="481" w:type="pct"/>
                  <w:shd w:val="clear" w:color="auto" w:fill="auto"/>
                  <w:noWrap w:val="0"/>
                  <w:vAlign w:val="center"/>
                </w:tcPr>
                <w:p w14:paraId="22EE6C34">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0.5</w:t>
                  </w:r>
                </w:p>
              </w:tc>
              <w:tc>
                <w:tcPr>
                  <w:tcW w:w="435" w:type="pct"/>
                  <w:shd w:val="clear" w:color="auto" w:fill="auto"/>
                  <w:noWrap w:val="0"/>
                  <w:vAlign w:val="center"/>
                </w:tcPr>
                <w:p w14:paraId="2FE16ECE">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2</w:t>
                  </w:r>
                </w:p>
              </w:tc>
              <w:tc>
                <w:tcPr>
                  <w:tcW w:w="565" w:type="pct"/>
                  <w:shd w:val="clear" w:color="auto" w:fill="auto"/>
                  <w:noWrap w:val="0"/>
                  <w:vAlign w:val="center"/>
                </w:tcPr>
                <w:p w14:paraId="1492903C">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0.0</w:t>
                  </w:r>
                  <w:r>
                    <w:rPr>
                      <w:rFonts w:hint="eastAsia" w:cs="Times New Roman"/>
                      <w:color w:val="auto"/>
                      <w:szCs w:val="21"/>
                      <w:lang w:val="en-US" w:eastAsia="zh-CN"/>
                    </w:rPr>
                    <w:t>79</w:t>
                  </w:r>
                </w:p>
              </w:tc>
              <w:tc>
                <w:tcPr>
                  <w:tcW w:w="856" w:type="pct"/>
                  <w:vMerge w:val="continue"/>
                  <w:noWrap w:val="0"/>
                  <w:vAlign w:val="top"/>
                </w:tcPr>
                <w:p w14:paraId="1C3D3542">
                  <w:pPr>
                    <w:adjustRightInd w:val="0"/>
                    <w:snapToGrid w:val="0"/>
                    <w:jc w:val="center"/>
                    <w:rPr>
                      <w:rFonts w:ascii="Times New Roman" w:hAnsi="Times New Roman" w:cs="Times New Roman"/>
                      <w:color w:val="auto"/>
                      <w:szCs w:val="21"/>
                    </w:rPr>
                  </w:pPr>
                </w:p>
              </w:tc>
            </w:tr>
            <w:tr w14:paraId="57ECFC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3" w:type="pct"/>
                  <w:vMerge w:val="continue"/>
                  <w:noWrap w:val="0"/>
                  <w:vAlign w:val="center"/>
                </w:tcPr>
                <w:p w14:paraId="005456D5">
                  <w:pPr>
                    <w:jc w:val="center"/>
                    <w:rPr>
                      <w:rFonts w:ascii="Times New Roman" w:hAnsi="Times New Roman" w:eastAsia="宋体" w:cs="Times New Roman"/>
                      <w:color w:val="auto"/>
                      <w:szCs w:val="21"/>
                    </w:rPr>
                  </w:pPr>
                </w:p>
              </w:tc>
              <w:tc>
                <w:tcPr>
                  <w:tcW w:w="672" w:type="pct"/>
                  <w:vMerge w:val="continue"/>
                  <w:noWrap w:val="0"/>
                  <w:vAlign w:val="center"/>
                </w:tcPr>
                <w:p w14:paraId="71FA21AC">
                  <w:pPr>
                    <w:jc w:val="center"/>
                    <w:rPr>
                      <w:rFonts w:ascii="Times New Roman" w:hAnsi="Times New Roman" w:eastAsia="宋体" w:cs="Times New Roman"/>
                      <w:color w:val="auto"/>
                      <w:szCs w:val="21"/>
                    </w:rPr>
                  </w:pPr>
                </w:p>
              </w:tc>
              <w:tc>
                <w:tcPr>
                  <w:tcW w:w="438" w:type="pct"/>
                  <w:vMerge w:val="continue"/>
                  <w:noWrap w:val="0"/>
                  <w:vAlign w:val="center"/>
                </w:tcPr>
                <w:p w14:paraId="4B78C08C">
                  <w:pPr>
                    <w:jc w:val="center"/>
                    <w:rPr>
                      <w:rFonts w:ascii="Times New Roman" w:hAnsi="Times New Roman" w:eastAsia="宋体" w:cs="Times New Roman"/>
                      <w:color w:val="auto"/>
                      <w:szCs w:val="21"/>
                    </w:rPr>
                  </w:pPr>
                </w:p>
              </w:tc>
              <w:tc>
                <w:tcPr>
                  <w:tcW w:w="469" w:type="pct"/>
                  <w:shd w:val="clear" w:color="auto" w:fill="auto"/>
                  <w:noWrap w:val="0"/>
                  <w:vAlign w:val="center"/>
                </w:tcPr>
                <w:p w14:paraId="13B8EFD6">
                  <w:pPr>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szCs w:val="21"/>
                    </w:rPr>
                    <w:t>二甲苯</w:t>
                  </w:r>
                </w:p>
              </w:tc>
              <w:tc>
                <w:tcPr>
                  <w:tcW w:w="626" w:type="pct"/>
                  <w:shd w:val="clear" w:color="auto" w:fill="auto"/>
                  <w:noWrap w:val="0"/>
                  <w:vAlign w:val="center"/>
                </w:tcPr>
                <w:p w14:paraId="2D104534">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4</w:t>
                  </w:r>
                </w:p>
              </w:tc>
              <w:tc>
                <w:tcPr>
                  <w:tcW w:w="481" w:type="pct"/>
                  <w:shd w:val="clear" w:color="auto" w:fill="auto"/>
                  <w:noWrap w:val="0"/>
                  <w:vAlign w:val="center"/>
                </w:tcPr>
                <w:p w14:paraId="658195F8">
                  <w:pPr>
                    <w:jc w:val="center"/>
                    <w:rPr>
                      <w:rFonts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0.5</w:t>
                  </w:r>
                </w:p>
              </w:tc>
              <w:tc>
                <w:tcPr>
                  <w:tcW w:w="435" w:type="pct"/>
                  <w:shd w:val="clear" w:color="auto" w:fill="auto"/>
                  <w:noWrap w:val="0"/>
                  <w:vAlign w:val="center"/>
                </w:tcPr>
                <w:p w14:paraId="7E7E1F35">
                  <w:pPr>
                    <w:jc w:val="center"/>
                    <w:rPr>
                      <w:rFonts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2</w:t>
                  </w:r>
                </w:p>
              </w:tc>
              <w:tc>
                <w:tcPr>
                  <w:tcW w:w="565" w:type="pct"/>
                  <w:shd w:val="clear" w:color="auto" w:fill="auto"/>
                  <w:noWrap w:val="0"/>
                  <w:vAlign w:val="center"/>
                </w:tcPr>
                <w:p w14:paraId="212A93F0">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w:t>
                  </w:r>
                  <w:r>
                    <w:rPr>
                      <w:rFonts w:hint="eastAsia" w:cs="Times New Roman"/>
                      <w:color w:val="auto"/>
                      <w:szCs w:val="21"/>
                      <w:lang w:val="en-US" w:eastAsia="zh-CN"/>
                    </w:rPr>
                    <w:t>4</w:t>
                  </w:r>
                </w:p>
              </w:tc>
              <w:tc>
                <w:tcPr>
                  <w:tcW w:w="856" w:type="pct"/>
                  <w:vMerge w:val="continue"/>
                  <w:noWrap w:val="0"/>
                  <w:vAlign w:val="top"/>
                </w:tcPr>
                <w:p w14:paraId="24F7391F">
                  <w:pPr>
                    <w:adjustRightInd w:val="0"/>
                    <w:snapToGrid w:val="0"/>
                    <w:jc w:val="center"/>
                    <w:rPr>
                      <w:rFonts w:ascii="Times New Roman" w:hAnsi="Times New Roman" w:cs="Times New Roman"/>
                      <w:color w:val="auto"/>
                      <w:szCs w:val="21"/>
                    </w:rPr>
                  </w:pPr>
                </w:p>
              </w:tc>
            </w:tr>
            <w:tr w14:paraId="09EF65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3" w:type="pct"/>
                  <w:vMerge w:val="restart"/>
                  <w:shd w:val="clear" w:color="auto" w:fill="auto"/>
                  <w:noWrap w:val="0"/>
                  <w:vAlign w:val="center"/>
                </w:tcPr>
                <w:p w14:paraId="782E3343">
                  <w:pPr>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DA004</w:t>
                  </w:r>
                </w:p>
              </w:tc>
              <w:tc>
                <w:tcPr>
                  <w:tcW w:w="672" w:type="pct"/>
                  <w:shd w:val="clear" w:color="auto" w:fill="auto"/>
                  <w:noWrap w:val="0"/>
                  <w:vAlign w:val="center"/>
                </w:tcPr>
                <w:p w14:paraId="340619BA">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过滤棉处理效率为10%</w:t>
                  </w:r>
                </w:p>
              </w:tc>
              <w:tc>
                <w:tcPr>
                  <w:tcW w:w="438" w:type="pct"/>
                  <w:vMerge w:val="restart"/>
                  <w:noWrap w:val="0"/>
                  <w:vAlign w:val="center"/>
                </w:tcPr>
                <w:p w14:paraId="3A674C00">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焊接、打磨、抛光</w:t>
                  </w:r>
                </w:p>
              </w:tc>
              <w:tc>
                <w:tcPr>
                  <w:tcW w:w="469" w:type="pct"/>
                  <w:noWrap w:val="0"/>
                  <w:vAlign w:val="center"/>
                </w:tcPr>
                <w:p w14:paraId="4FBFF1D1">
                  <w:pPr>
                    <w:pStyle w:val="10"/>
                    <w:adjustRightInd w:val="0"/>
                    <w:snapToGrid w:val="0"/>
                    <w:spacing w:after="0"/>
                    <w:ind w:left="0" w:leftChars="0"/>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颗粒物</w:t>
                  </w:r>
                </w:p>
              </w:tc>
              <w:tc>
                <w:tcPr>
                  <w:tcW w:w="626" w:type="pct"/>
                  <w:shd w:val="clear" w:color="auto" w:fill="auto"/>
                  <w:noWrap w:val="0"/>
                  <w:vAlign w:val="center"/>
                </w:tcPr>
                <w:p w14:paraId="7504A01D">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0.38</w:t>
                  </w:r>
                </w:p>
              </w:tc>
              <w:tc>
                <w:tcPr>
                  <w:tcW w:w="481" w:type="pct"/>
                  <w:shd w:val="clear" w:color="auto" w:fill="auto"/>
                  <w:noWrap w:val="0"/>
                  <w:vAlign w:val="center"/>
                </w:tcPr>
                <w:p w14:paraId="73B093CB">
                  <w:pPr>
                    <w:jc w:val="center"/>
                    <w:rPr>
                      <w:rFonts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0.5</w:t>
                  </w:r>
                </w:p>
              </w:tc>
              <w:tc>
                <w:tcPr>
                  <w:tcW w:w="435" w:type="pct"/>
                  <w:shd w:val="clear" w:color="auto" w:fill="auto"/>
                  <w:noWrap w:val="0"/>
                  <w:vAlign w:val="center"/>
                </w:tcPr>
                <w:p w14:paraId="2971B5CE">
                  <w:pPr>
                    <w:jc w:val="center"/>
                    <w:rPr>
                      <w:rFonts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2</w:t>
                  </w:r>
                </w:p>
              </w:tc>
              <w:tc>
                <w:tcPr>
                  <w:tcW w:w="565" w:type="pct"/>
                  <w:noWrap w:val="0"/>
                  <w:vAlign w:val="center"/>
                </w:tcPr>
                <w:p w14:paraId="0ACB3663">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0.34</w:t>
                  </w:r>
                </w:p>
              </w:tc>
              <w:tc>
                <w:tcPr>
                  <w:tcW w:w="856" w:type="pct"/>
                  <w:vMerge w:val="restart"/>
                  <w:noWrap w:val="0"/>
                  <w:vAlign w:val="center"/>
                </w:tcPr>
                <w:p w14:paraId="335B7F9C">
                  <w:pPr>
                    <w:adjustRightInd w:val="0"/>
                    <w:snapToGrid w:val="0"/>
                    <w:jc w:val="center"/>
                    <w:rPr>
                      <w:rFonts w:ascii="Times New Roman" w:hAnsi="Times New Roman" w:cs="Times New Roman"/>
                      <w:color w:val="auto"/>
                      <w:szCs w:val="21"/>
                    </w:rPr>
                  </w:pPr>
                  <w:r>
                    <w:rPr>
                      <w:rFonts w:ascii="Times New Roman" w:hAnsi="Times New Roman" w:cs="Times New Roman"/>
                      <w:color w:val="auto"/>
                      <w:szCs w:val="21"/>
                    </w:rPr>
                    <w:t>立即停止生产，关闭排放阀，即时检</w:t>
                  </w:r>
                  <w:r>
                    <w:rPr>
                      <w:rFonts w:hint="eastAsia" w:ascii="Times New Roman" w:hAnsi="Times New Roman" w:cs="Times New Roman"/>
                      <w:color w:val="auto"/>
                      <w:szCs w:val="21"/>
                      <w:lang w:val="en-US" w:eastAsia="zh-CN"/>
                    </w:rPr>
                    <w:t>修</w:t>
                  </w:r>
                </w:p>
              </w:tc>
            </w:tr>
            <w:tr w14:paraId="5A58FD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3" w:type="pct"/>
                  <w:vMerge w:val="continue"/>
                  <w:noWrap w:val="0"/>
                  <w:vAlign w:val="center"/>
                </w:tcPr>
                <w:p w14:paraId="6E37CEE7">
                  <w:pPr>
                    <w:jc w:val="center"/>
                    <w:rPr>
                      <w:rFonts w:hint="eastAsia" w:ascii="Times New Roman" w:hAnsi="Times New Roman" w:eastAsia="宋体" w:cs="Times New Roman"/>
                      <w:color w:val="auto"/>
                      <w:szCs w:val="21"/>
                      <w:lang w:val="en-US" w:eastAsia="zh-CN"/>
                    </w:rPr>
                  </w:pPr>
                </w:p>
              </w:tc>
              <w:tc>
                <w:tcPr>
                  <w:tcW w:w="672" w:type="pct"/>
                  <w:noWrap w:val="0"/>
                  <w:vAlign w:val="center"/>
                </w:tcPr>
                <w:p w14:paraId="49D1C815">
                  <w:pPr>
                    <w:jc w:val="center"/>
                    <w:rPr>
                      <w:rFonts w:ascii="Times New Roman" w:hAnsi="Times New Roman" w:eastAsia="宋体" w:cs="Times New Roman"/>
                      <w:color w:val="auto"/>
                      <w:szCs w:val="21"/>
                    </w:rPr>
                  </w:pPr>
                  <w:r>
                    <w:rPr>
                      <w:rFonts w:ascii="Times New Roman" w:hAnsi="Times New Roman" w:eastAsia="宋体" w:cs="Times New Roman"/>
                      <w:color w:val="auto"/>
                      <w:szCs w:val="21"/>
                    </w:rPr>
                    <w:t>活性炭吸附</w:t>
                  </w:r>
                  <w:r>
                    <w:rPr>
                      <w:rFonts w:hint="eastAsia" w:ascii="Times New Roman" w:hAnsi="Times New Roman" w:eastAsia="宋体" w:cs="Times New Roman"/>
                      <w:color w:val="auto"/>
                      <w:szCs w:val="21"/>
                      <w:lang w:val="en-US" w:eastAsia="zh-CN"/>
                    </w:rPr>
                    <w:t>装置</w:t>
                  </w:r>
                  <w:r>
                    <w:rPr>
                      <w:rFonts w:ascii="Times New Roman" w:hAnsi="Times New Roman" w:eastAsia="宋体" w:cs="Times New Roman"/>
                      <w:color w:val="auto"/>
                      <w:szCs w:val="21"/>
                    </w:rPr>
                    <w:t>废气处理</w:t>
                  </w:r>
                  <w:r>
                    <w:rPr>
                      <w:rFonts w:hint="eastAsia" w:ascii="Times New Roman" w:hAnsi="Times New Roman" w:eastAsia="宋体" w:cs="Times New Roman"/>
                      <w:color w:val="auto"/>
                      <w:szCs w:val="21"/>
                    </w:rPr>
                    <w:t>效率为0</w:t>
                  </w:r>
                </w:p>
              </w:tc>
              <w:tc>
                <w:tcPr>
                  <w:tcW w:w="438" w:type="pct"/>
                  <w:vMerge w:val="continue"/>
                  <w:noWrap w:val="0"/>
                  <w:vAlign w:val="center"/>
                </w:tcPr>
                <w:p w14:paraId="511EA826">
                  <w:pPr>
                    <w:jc w:val="center"/>
                    <w:rPr>
                      <w:rFonts w:hint="default" w:ascii="Times New Roman" w:hAnsi="Times New Roman" w:eastAsia="宋体" w:cs="Times New Roman"/>
                      <w:color w:val="auto"/>
                      <w:szCs w:val="21"/>
                      <w:lang w:val="en-US" w:eastAsia="zh-CN"/>
                    </w:rPr>
                  </w:pPr>
                </w:p>
              </w:tc>
              <w:tc>
                <w:tcPr>
                  <w:tcW w:w="469" w:type="pct"/>
                  <w:noWrap w:val="0"/>
                  <w:vAlign w:val="center"/>
                </w:tcPr>
                <w:p w14:paraId="4F2FC0E0">
                  <w:pPr>
                    <w:pStyle w:val="10"/>
                    <w:adjustRightInd w:val="0"/>
                    <w:snapToGrid w:val="0"/>
                    <w:spacing w:after="0"/>
                    <w:ind w:left="0" w:leftChars="0"/>
                    <w:jc w:val="center"/>
                    <w:rPr>
                      <w:rFonts w:ascii="Times New Roman" w:hAnsi="Times New Roman" w:cs="Times New Roman"/>
                      <w:color w:val="auto"/>
                      <w:sz w:val="21"/>
                      <w:szCs w:val="21"/>
                    </w:rPr>
                  </w:pPr>
                  <w:r>
                    <w:rPr>
                      <w:rFonts w:ascii="Times New Roman" w:hAnsi="Times New Roman" w:cs="Times New Roman"/>
                      <w:color w:val="auto"/>
                      <w:sz w:val="21"/>
                      <w:szCs w:val="21"/>
                    </w:rPr>
                    <w:t>非甲烷总烃</w:t>
                  </w:r>
                </w:p>
              </w:tc>
              <w:tc>
                <w:tcPr>
                  <w:tcW w:w="626" w:type="pct"/>
                  <w:shd w:val="clear" w:color="auto" w:fill="auto"/>
                  <w:noWrap w:val="0"/>
                  <w:vAlign w:val="center"/>
                </w:tcPr>
                <w:p w14:paraId="29BEFB90">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0.03</w:t>
                  </w:r>
                </w:p>
              </w:tc>
              <w:tc>
                <w:tcPr>
                  <w:tcW w:w="481" w:type="pct"/>
                  <w:shd w:val="clear" w:color="auto" w:fill="auto"/>
                  <w:noWrap w:val="0"/>
                  <w:vAlign w:val="center"/>
                </w:tcPr>
                <w:p w14:paraId="54F1B632">
                  <w:pPr>
                    <w:jc w:val="center"/>
                    <w:rPr>
                      <w:rFonts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0.5</w:t>
                  </w:r>
                </w:p>
              </w:tc>
              <w:tc>
                <w:tcPr>
                  <w:tcW w:w="435" w:type="pct"/>
                  <w:shd w:val="clear" w:color="auto" w:fill="auto"/>
                  <w:noWrap w:val="0"/>
                  <w:vAlign w:val="center"/>
                </w:tcPr>
                <w:p w14:paraId="3AF6E989">
                  <w:pPr>
                    <w:jc w:val="center"/>
                    <w:rPr>
                      <w:rFonts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2</w:t>
                  </w:r>
                </w:p>
              </w:tc>
              <w:tc>
                <w:tcPr>
                  <w:tcW w:w="565" w:type="pct"/>
                  <w:noWrap w:val="0"/>
                  <w:vAlign w:val="center"/>
                </w:tcPr>
                <w:p w14:paraId="284EC6CE">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0.03</w:t>
                  </w:r>
                </w:p>
              </w:tc>
              <w:tc>
                <w:tcPr>
                  <w:tcW w:w="856" w:type="pct"/>
                  <w:vMerge w:val="continue"/>
                  <w:noWrap w:val="0"/>
                  <w:vAlign w:val="center"/>
                </w:tcPr>
                <w:p w14:paraId="7A0AD64C">
                  <w:pPr>
                    <w:adjustRightInd w:val="0"/>
                    <w:snapToGrid w:val="0"/>
                    <w:jc w:val="center"/>
                    <w:rPr>
                      <w:rFonts w:ascii="Times New Roman" w:hAnsi="Times New Roman" w:cs="Times New Roman"/>
                      <w:color w:val="auto"/>
                      <w:szCs w:val="21"/>
                    </w:rPr>
                  </w:pPr>
                </w:p>
              </w:tc>
            </w:tr>
            <w:tr w14:paraId="3200AB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3" w:type="pct"/>
                  <w:vMerge w:val="restart"/>
                  <w:noWrap w:val="0"/>
                  <w:vAlign w:val="center"/>
                </w:tcPr>
                <w:p w14:paraId="2CBD3AC2">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DA005</w:t>
                  </w:r>
                </w:p>
              </w:tc>
              <w:tc>
                <w:tcPr>
                  <w:tcW w:w="672" w:type="pct"/>
                  <w:shd w:val="clear" w:color="auto" w:fill="auto"/>
                  <w:noWrap w:val="0"/>
                  <w:vAlign w:val="center"/>
                </w:tcPr>
                <w:p w14:paraId="332E18E0">
                  <w:pPr>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过滤棉处理效率为10%</w:t>
                  </w:r>
                </w:p>
              </w:tc>
              <w:tc>
                <w:tcPr>
                  <w:tcW w:w="438" w:type="pct"/>
                  <w:vMerge w:val="continue"/>
                  <w:noWrap w:val="0"/>
                  <w:vAlign w:val="center"/>
                </w:tcPr>
                <w:p w14:paraId="179BDAF2">
                  <w:pPr>
                    <w:jc w:val="center"/>
                    <w:rPr>
                      <w:rFonts w:hint="default" w:ascii="Times New Roman" w:hAnsi="Times New Roman" w:eastAsia="宋体" w:cs="Times New Roman"/>
                      <w:color w:val="auto"/>
                      <w:szCs w:val="21"/>
                      <w:lang w:val="en-US" w:eastAsia="zh-CN"/>
                    </w:rPr>
                  </w:pPr>
                </w:p>
              </w:tc>
              <w:tc>
                <w:tcPr>
                  <w:tcW w:w="469" w:type="pct"/>
                  <w:shd w:val="clear" w:color="auto" w:fill="auto"/>
                  <w:noWrap w:val="0"/>
                  <w:vAlign w:val="center"/>
                </w:tcPr>
                <w:p w14:paraId="4EAD3F29">
                  <w:pPr>
                    <w:pStyle w:val="10"/>
                    <w:adjustRightInd w:val="0"/>
                    <w:snapToGrid w:val="0"/>
                    <w:spacing w:after="0"/>
                    <w:ind w:left="0" w:leftChars="0"/>
                    <w:jc w:val="center"/>
                    <w:rPr>
                      <w:rFonts w:hint="eastAsia" w:ascii="Times New Roman" w:hAnsi="Times New Roman" w:eastAsia="宋体" w:cs="Times New Roman"/>
                      <w:color w:val="auto"/>
                      <w:kern w:val="0"/>
                      <w:sz w:val="21"/>
                      <w:szCs w:val="21"/>
                      <w:lang w:val="en-US" w:eastAsia="zh-CN" w:bidi="ar-SA"/>
                    </w:rPr>
                  </w:pPr>
                  <w:r>
                    <w:rPr>
                      <w:rFonts w:hint="eastAsia" w:cs="Times New Roman"/>
                      <w:color w:val="auto"/>
                      <w:sz w:val="21"/>
                      <w:szCs w:val="21"/>
                      <w:lang w:val="en-US" w:eastAsia="zh-CN"/>
                    </w:rPr>
                    <w:t>颗粒物</w:t>
                  </w:r>
                </w:p>
              </w:tc>
              <w:tc>
                <w:tcPr>
                  <w:tcW w:w="626" w:type="pct"/>
                  <w:shd w:val="clear" w:color="auto" w:fill="auto"/>
                  <w:noWrap w:val="0"/>
                  <w:vAlign w:val="center"/>
                </w:tcPr>
                <w:p w14:paraId="156F2049">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w:t>
                  </w:r>
                  <w:r>
                    <w:rPr>
                      <w:rFonts w:hint="eastAsia" w:cs="Times New Roman"/>
                      <w:color w:val="auto"/>
                      <w:kern w:val="2"/>
                      <w:sz w:val="21"/>
                      <w:szCs w:val="21"/>
                      <w:lang w:val="en-US" w:eastAsia="zh-CN" w:bidi="ar-SA"/>
                    </w:rPr>
                    <w:t>38</w:t>
                  </w:r>
                </w:p>
              </w:tc>
              <w:tc>
                <w:tcPr>
                  <w:tcW w:w="481" w:type="pct"/>
                  <w:shd w:val="clear" w:color="auto" w:fill="auto"/>
                  <w:noWrap w:val="0"/>
                  <w:vAlign w:val="center"/>
                </w:tcPr>
                <w:p w14:paraId="05D84D05">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0.5</w:t>
                  </w:r>
                </w:p>
              </w:tc>
              <w:tc>
                <w:tcPr>
                  <w:tcW w:w="435" w:type="pct"/>
                  <w:shd w:val="clear" w:color="auto" w:fill="auto"/>
                  <w:noWrap w:val="0"/>
                  <w:vAlign w:val="center"/>
                </w:tcPr>
                <w:p w14:paraId="1B7E10B4">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2</w:t>
                  </w:r>
                </w:p>
              </w:tc>
              <w:tc>
                <w:tcPr>
                  <w:tcW w:w="565" w:type="pct"/>
                  <w:noWrap w:val="0"/>
                  <w:vAlign w:val="center"/>
                </w:tcPr>
                <w:p w14:paraId="2AE1C416">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w:t>
                  </w:r>
                  <w:r>
                    <w:rPr>
                      <w:rFonts w:hint="eastAsia" w:cs="Times New Roman"/>
                      <w:color w:val="auto"/>
                      <w:kern w:val="2"/>
                      <w:sz w:val="21"/>
                      <w:szCs w:val="21"/>
                      <w:lang w:val="en-US" w:eastAsia="zh-CN" w:bidi="ar-SA"/>
                    </w:rPr>
                    <w:t>34</w:t>
                  </w:r>
                </w:p>
              </w:tc>
              <w:tc>
                <w:tcPr>
                  <w:tcW w:w="856" w:type="pct"/>
                  <w:vMerge w:val="continue"/>
                  <w:noWrap w:val="0"/>
                  <w:vAlign w:val="center"/>
                </w:tcPr>
                <w:p w14:paraId="698F8352">
                  <w:pPr>
                    <w:adjustRightInd w:val="0"/>
                    <w:snapToGrid w:val="0"/>
                    <w:jc w:val="center"/>
                    <w:rPr>
                      <w:rFonts w:hint="eastAsia" w:ascii="Times New Roman" w:hAnsi="Times New Roman" w:eastAsia="宋体" w:cs="Times New Roman"/>
                      <w:color w:val="auto"/>
                      <w:szCs w:val="21"/>
                      <w:lang w:val="en-US" w:eastAsia="zh-CN"/>
                    </w:rPr>
                  </w:pPr>
                </w:p>
              </w:tc>
            </w:tr>
            <w:tr w14:paraId="0BAFC5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53" w:type="pct"/>
                  <w:vMerge w:val="continue"/>
                  <w:noWrap w:val="0"/>
                  <w:vAlign w:val="center"/>
                </w:tcPr>
                <w:p w14:paraId="5A362AD9">
                  <w:pPr>
                    <w:pStyle w:val="6"/>
                    <w:ind w:left="-105" w:leftChars="-50" w:right="-105" w:rightChars="-50" w:firstLine="0" w:firstLineChars="0"/>
                    <w:jc w:val="center"/>
                    <w:rPr>
                      <w:rFonts w:ascii="Times New Roman" w:hAnsi="Times New Roman" w:cs="Times New Roman"/>
                      <w:color w:val="auto"/>
                      <w:szCs w:val="21"/>
                    </w:rPr>
                  </w:pPr>
                </w:p>
              </w:tc>
              <w:tc>
                <w:tcPr>
                  <w:tcW w:w="672" w:type="pct"/>
                  <w:shd w:val="clear" w:color="auto" w:fill="auto"/>
                  <w:noWrap w:val="0"/>
                  <w:vAlign w:val="center"/>
                </w:tcPr>
                <w:p w14:paraId="35341147">
                  <w:pPr>
                    <w:jc w:val="center"/>
                    <w:rPr>
                      <w:rFonts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szCs w:val="21"/>
                    </w:rPr>
                    <w:t>活性炭吸附</w:t>
                  </w:r>
                  <w:r>
                    <w:rPr>
                      <w:rFonts w:hint="eastAsia" w:ascii="Times New Roman" w:hAnsi="Times New Roman" w:eastAsia="宋体" w:cs="Times New Roman"/>
                      <w:color w:val="auto"/>
                      <w:szCs w:val="21"/>
                      <w:lang w:val="en-US" w:eastAsia="zh-CN"/>
                    </w:rPr>
                    <w:t>装置</w:t>
                  </w:r>
                  <w:r>
                    <w:rPr>
                      <w:rFonts w:ascii="Times New Roman" w:hAnsi="Times New Roman" w:eastAsia="宋体" w:cs="Times New Roman"/>
                      <w:color w:val="auto"/>
                      <w:szCs w:val="21"/>
                    </w:rPr>
                    <w:t>废气处理</w:t>
                  </w:r>
                  <w:r>
                    <w:rPr>
                      <w:rFonts w:hint="eastAsia" w:ascii="Times New Roman" w:hAnsi="Times New Roman" w:eastAsia="宋体" w:cs="Times New Roman"/>
                      <w:color w:val="auto"/>
                      <w:szCs w:val="21"/>
                    </w:rPr>
                    <w:t>效率为0</w:t>
                  </w:r>
                </w:p>
              </w:tc>
              <w:tc>
                <w:tcPr>
                  <w:tcW w:w="438" w:type="pct"/>
                  <w:vMerge w:val="continue"/>
                  <w:noWrap w:val="0"/>
                  <w:vAlign w:val="center"/>
                </w:tcPr>
                <w:p w14:paraId="4650785E">
                  <w:pPr>
                    <w:pStyle w:val="10"/>
                    <w:adjustRightInd w:val="0"/>
                    <w:snapToGrid w:val="0"/>
                    <w:spacing w:after="0"/>
                    <w:ind w:left="0" w:leftChars="0"/>
                    <w:jc w:val="center"/>
                    <w:rPr>
                      <w:rFonts w:hint="eastAsia" w:ascii="Times New Roman" w:hAnsi="Times New Roman" w:cs="Times New Roman"/>
                      <w:color w:val="auto"/>
                      <w:sz w:val="21"/>
                      <w:szCs w:val="21"/>
                      <w:lang w:val="en-US" w:eastAsia="zh-CN"/>
                    </w:rPr>
                  </w:pPr>
                </w:p>
              </w:tc>
              <w:tc>
                <w:tcPr>
                  <w:tcW w:w="469" w:type="pct"/>
                  <w:shd w:val="clear" w:color="auto" w:fill="auto"/>
                  <w:noWrap w:val="0"/>
                  <w:vAlign w:val="center"/>
                </w:tcPr>
                <w:p w14:paraId="17197B2F">
                  <w:pPr>
                    <w:pStyle w:val="10"/>
                    <w:adjustRightInd w:val="0"/>
                    <w:snapToGrid w:val="0"/>
                    <w:spacing w:after="0"/>
                    <w:ind w:left="0" w:leftChars="0"/>
                    <w:jc w:val="center"/>
                    <w:rPr>
                      <w:rFonts w:hint="eastAsia" w:ascii="Times New Roman" w:hAnsi="Times New Roman" w:eastAsia="宋体" w:cs="Times New Roman"/>
                      <w:color w:val="auto"/>
                      <w:kern w:val="0"/>
                      <w:sz w:val="21"/>
                      <w:szCs w:val="21"/>
                      <w:lang w:val="en-US" w:eastAsia="zh-CN" w:bidi="ar-SA"/>
                    </w:rPr>
                  </w:pPr>
                  <w:r>
                    <w:rPr>
                      <w:rFonts w:ascii="Times New Roman" w:hAnsi="Times New Roman" w:cs="Times New Roman"/>
                      <w:color w:val="auto"/>
                      <w:sz w:val="21"/>
                      <w:szCs w:val="21"/>
                    </w:rPr>
                    <w:t>非甲烷总烃</w:t>
                  </w:r>
                </w:p>
              </w:tc>
              <w:tc>
                <w:tcPr>
                  <w:tcW w:w="626" w:type="pct"/>
                  <w:shd w:val="clear" w:color="auto" w:fill="auto"/>
                  <w:noWrap w:val="0"/>
                  <w:vAlign w:val="center"/>
                </w:tcPr>
                <w:p w14:paraId="7FE38BBD">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0.02</w:t>
                  </w:r>
                </w:p>
              </w:tc>
              <w:tc>
                <w:tcPr>
                  <w:tcW w:w="481" w:type="pct"/>
                  <w:shd w:val="clear" w:color="auto" w:fill="auto"/>
                  <w:noWrap w:val="0"/>
                  <w:vAlign w:val="center"/>
                </w:tcPr>
                <w:p w14:paraId="2144846C">
                  <w:pPr>
                    <w:jc w:val="center"/>
                    <w:rPr>
                      <w:rFonts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0.5</w:t>
                  </w:r>
                </w:p>
              </w:tc>
              <w:tc>
                <w:tcPr>
                  <w:tcW w:w="435" w:type="pct"/>
                  <w:shd w:val="clear" w:color="auto" w:fill="auto"/>
                  <w:noWrap w:val="0"/>
                  <w:vAlign w:val="center"/>
                </w:tcPr>
                <w:p w14:paraId="5BE0EEC0">
                  <w:pPr>
                    <w:jc w:val="center"/>
                    <w:rPr>
                      <w:rFonts w:ascii="Times New Roman" w:hAnsi="Times New Roman" w:eastAsia="宋体" w:cs="Times New Roman"/>
                      <w:color w:val="auto"/>
                      <w:kern w:val="2"/>
                      <w:sz w:val="21"/>
                      <w:szCs w:val="21"/>
                      <w:lang w:val="en-US" w:eastAsia="zh-CN" w:bidi="ar-SA"/>
                    </w:rPr>
                  </w:pPr>
                  <w:r>
                    <w:rPr>
                      <w:rFonts w:ascii="Times New Roman" w:hAnsi="Times New Roman" w:cs="Times New Roman"/>
                      <w:color w:val="auto"/>
                      <w:szCs w:val="21"/>
                    </w:rPr>
                    <w:t>2</w:t>
                  </w:r>
                </w:p>
              </w:tc>
              <w:tc>
                <w:tcPr>
                  <w:tcW w:w="565" w:type="pct"/>
                  <w:noWrap w:val="0"/>
                  <w:vAlign w:val="center"/>
                </w:tcPr>
                <w:p w14:paraId="2BED9F84">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0.02</w:t>
                  </w:r>
                </w:p>
              </w:tc>
              <w:tc>
                <w:tcPr>
                  <w:tcW w:w="856" w:type="pct"/>
                  <w:vMerge w:val="continue"/>
                  <w:noWrap w:val="0"/>
                  <w:vAlign w:val="top"/>
                </w:tcPr>
                <w:p w14:paraId="422A60E5">
                  <w:pPr>
                    <w:adjustRightInd w:val="0"/>
                    <w:snapToGrid w:val="0"/>
                    <w:jc w:val="center"/>
                    <w:rPr>
                      <w:rFonts w:ascii="Times New Roman" w:hAnsi="Times New Roman" w:cs="Times New Roman"/>
                      <w:color w:val="auto"/>
                      <w:szCs w:val="21"/>
                    </w:rPr>
                  </w:pPr>
                </w:p>
              </w:tc>
            </w:tr>
          </w:tbl>
          <w:p w14:paraId="3DC9F773">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ascii="Times New Roman" w:hAnsi="Times New Roman" w:eastAsia="宋体" w:cs="Times New Roman"/>
                <w:color w:val="auto"/>
                <w:sz w:val="24"/>
                <w:szCs w:val="32"/>
              </w:rPr>
            </w:pPr>
            <w:r>
              <w:rPr>
                <w:rFonts w:ascii="Times New Roman" w:hAnsi="Times New Roman" w:eastAsia="宋体" w:cs="Times New Roman"/>
                <w:color w:val="auto"/>
                <w:sz w:val="24"/>
                <w:szCs w:val="32"/>
              </w:rPr>
              <w:t>为防止非正常工况排放，企业必须加强废气处理设施的管理，定期检修，确保废气处理设施正常运行，在废气处理设施停止运行或出现故障时，产生废气的各工序也必须立即停产。为杜绝废气非正常排放，应采取以下措施确保废气达标排放：</w:t>
            </w:r>
          </w:p>
          <w:p w14:paraId="5280483E">
            <w:pPr>
              <w:spacing w:line="360" w:lineRule="auto"/>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①安排</w:t>
            </w:r>
            <w:r>
              <w:rPr>
                <w:rFonts w:hint="eastAsia" w:ascii="Times New Roman" w:hAnsi="Times New Roman" w:eastAsia="宋体" w:cs="Times New Roman"/>
                <w:color w:val="auto"/>
                <w:sz w:val="24"/>
                <w:lang w:val="en-US" w:eastAsia="zh-CN"/>
              </w:rPr>
              <w:t>人员</w:t>
            </w:r>
            <w:r>
              <w:rPr>
                <w:rFonts w:hint="eastAsia" w:ascii="Times New Roman" w:hAnsi="Times New Roman" w:eastAsia="宋体" w:cs="Times New Roman"/>
                <w:color w:val="auto"/>
                <w:sz w:val="24"/>
              </w:rPr>
              <w:t>负责环保设备的日常维护和管理，及时发现隐患，确保废气处理设施正常运行；</w:t>
            </w:r>
          </w:p>
          <w:p w14:paraId="5AB50B18">
            <w:pPr>
              <w:spacing w:line="360" w:lineRule="auto"/>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②</w:t>
            </w:r>
            <w:r>
              <w:rPr>
                <w:rFonts w:hint="eastAsia" w:ascii="Times New Roman" w:hAnsi="Times New Roman" w:eastAsia="宋体" w:cs="Times New Roman"/>
                <w:color w:val="auto"/>
                <w:sz w:val="24"/>
                <w:lang w:eastAsia="zh-CN"/>
              </w:rPr>
              <w:t>定期</w:t>
            </w:r>
            <w:r>
              <w:rPr>
                <w:rFonts w:hint="eastAsia" w:ascii="Times New Roman" w:hAnsi="Times New Roman" w:eastAsia="宋体" w:cs="Times New Roman"/>
                <w:color w:val="auto"/>
                <w:sz w:val="24"/>
              </w:rPr>
              <w:t>更换</w:t>
            </w:r>
            <w:r>
              <w:rPr>
                <w:rFonts w:hint="eastAsia" w:ascii="Times New Roman" w:hAnsi="Times New Roman" w:eastAsia="宋体" w:cs="Times New Roman"/>
                <w:color w:val="auto"/>
                <w:sz w:val="24"/>
                <w:lang w:val="en-US" w:eastAsia="zh-CN"/>
              </w:rPr>
              <w:t>过滤棉和</w:t>
            </w:r>
            <w:r>
              <w:rPr>
                <w:rFonts w:hint="eastAsia" w:ascii="Times New Roman" w:hAnsi="Times New Roman" w:eastAsia="宋体" w:cs="Times New Roman"/>
                <w:color w:val="auto"/>
                <w:sz w:val="24"/>
              </w:rPr>
              <w:t>活性炭；</w:t>
            </w:r>
          </w:p>
          <w:p w14:paraId="7A8AB37F">
            <w:pPr>
              <w:spacing w:line="360" w:lineRule="auto"/>
              <w:ind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③委托具有专业资质的环境检测机构对各污染物进行定期监测。</w:t>
            </w:r>
          </w:p>
          <w:p w14:paraId="7B88DB1C">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color w:val="auto"/>
                <w:sz w:val="24"/>
              </w:rPr>
            </w:pPr>
            <w:r>
              <w:rPr>
                <w:rFonts w:hint="eastAsia"/>
                <w:b/>
                <w:bCs/>
                <w:color w:val="auto"/>
                <w:sz w:val="24"/>
              </w:rPr>
              <w:t>2、废水</w:t>
            </w:r>
          </w:p>
          <w:p w14:paraId="05DA29B3">
            <w:pPr>
              <w:pStyle w:val="6"/>
              <w:spacing w:line="360" w:lineRule="auto"/>
              <w:ind w:firstLine="480" w:firstLineChars="200"/>
              <w:rPr>
                <w:rFonts w:hint="eastAsia"/>
                <w:color w:val="auto"/>
              </w:rPr>
            </w:pPr>
            <w:r>
              <w:rPr>
                <w:rFonts w:hint="eastAsia"/>
                <w:color w:val="auto"/>
                <w:szCs w:val="24"/>
              </w:rPr>
              <w:t>根据前文分析，本项目产生的废水为生活污水</w:t>
            </w:r>
            <w:r>
              <w:rPr>
                <w:rFonts w:hint="eastAsia"/>
                <w:color w:val="auto"/>
                <w:szCs w:val="24"/>
                <w:lang w:val="en-US" w:eastAsia="zh-CN"/>
              </w:rPr>
              <w:t>和洗车废水</w:t>
            </w:r>
            <w:r>
              <w:rPr>
                <w:rFonts w:hint="eastAsia"/>
                <w:color w:val="auto"/>
                <w:szCs w:val="24"/>
              </w:rPr>
              <w:t>。</w:t>
            </w:r>
          </w:p>
          <w:p w14:paraId="2004D622">
            <w:pPr>
              <w:pStyle w:val="6"/>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rPr>
            </w:pPr>
            <w:r>
              <w:rPr>
                <w:rFonts w:hint="eastAsia"/>
                <w:color w:val="auto"/>
              </w:rPr>
              <w:t>（1）项目生活污水产生量为</w:t>
            </w:r>
            <w:r>
              <w:rPr>
                <w:rFonts w:hint="eastAsia"/>
                <w:color w:val="auto"/>
                <w:lang w:val="en-US" w:eastAsia="zh-CN"/>
              </w:rPr>
              <w:t>1.84</w:t>
            </w:r>
            <w:r>
              <w:rPr>
                <w:rFonts w:hint="eastAsia"/>
                <w:color w:val="auto"/>
              </w:rPr>
              <w:t>m</w:t>
            </w:r>
            <w:r>
              <w:rPr>
                <w:rFonts w:hint="eastAsia"/>
                <w:color w:val="auto"/>
                <w:vertAlign w:val="superscript"/>
              </w:rPr>
              <w:t>3</w:t>
            </w:r>
            <w:r>
              <w:rPr>
                <w:rFonts w:hint="eastAsia"/>
                <w:color w:val="auto"/>
              </w:rPr>
              <w:t>/d，</w:t>
            </w:r>
            <w:r>
              <w:rPr>
                <w:rFonts w:hint="eastAsia"/>
                <w:color w:val="auto"/>
                <w:lang w:val="en-US" w:eastAsia="zh-CN"/>
              </w:rPr>
              <w:t>672</w:t>
            </w:r>
            <w:r>
              <w:rPr>
                <w:rFonts w:hint="eastAsia"/>
                <w:color w:val="auto"/>
              </w:rPr>
              <w:t>m</w:t>
            </w:r>
            <w:r>
              <w:rPr>
                <w:rFonts w:hint="eastAsia"/>
                <w:color w:val="auto"/>
                <w:vertAlign w:val="superscript"/>
              </w:rPr>
              <w:t>3</w:t>
            </w:r>
            <w:r>
              <w:rPr>
                <w:rFonts w:hint="eastAsia"/>
                <w:color w:val="auto"/>
              </w:rPr>
              <w:t>/a，主要污染物为COD、BOD</w:t>
            </w:r>
            <w:r>
              <w:rPr>
                <w:rFonts w:hint="eastAsia"/>
                <w:color w:val="auto"/>
                <w:vertAlign w:val="subscript"/>
              </w:rPr>
              <w:t>5</w:t>
            </w:r>
            <w:r>
              <w:rPr>
                <w:rFonts w:hint="eastAsia"/>
                <w:color w:val="auto"/>
              </w:rPr>
              <w:t>、SS、氨氮、TN、TP等，排入产业园污水管网，经化粪池处理后排入市政污水管网，最终进入西安净水处理有限责任公司第六再生水厂进行处理。</w:t>
            </w:r>
          </w:p>
          <w:p w14:paraId="4A34EB9A">
            <w:pPr>
              <w:pStyle w:val="6"/>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Cs w:val="24"/>
              </w:rPr>
            </w:pPr>
            <w:r>
              <w:rPr>
                <w:rFonts w:hint="eastAsia"/>
                <w:color w:val="auto"/>
                <w:szCs w:val="24"/>
              </w:rPr>
              <w:t>（2）钣喷中心地面拖地废水和洗车废水，产生量为841.75m</w:t>
            </w:r>
            <w:r>
              <w:rPr>
                <w:rFonts w:hint="eastAsia"/>
                <w:color w:val="auto"/>
                <w:szCs w:val="24"/>
                <w:vertAlign w:val="superscript"/>
              </w:rPr>
              <w:t>3</w:t>
            </w:r>
            <w:r>
              <w:rPr>
                <w:rFonts w:hint="eastAsia"/>
                <w:color w:val="auto"/>
                <w:szCs w:val="24"/>
              </w:rPr>
              <w:t>/a，主要污染物为</w:t>
            </w:r>
            <w:r>
              <w:rPr>
                <w:rFonts w:hint="eastAsia"/>
                <w:color w:val="auto"/>
                <w:szCs w:val="24"/>
                <w:lang w:val="en-US" w:eastAsia="zh-CN"/>
              </w:rPr>
              <w:t>COD、SS、石油类、LAS、石油类</w:t>
            </w:r>
            <w:r>
              <w:rPr>
                <w:rFonts w:hint="eastAsia"/>
                <w:color w:val="auto"/>
                <w:szCs w:val="24"/>
              </w:rPr>
              <w:t>等，经隔油池+沉淀池处理</w:t>
            </w:r>
            <w:r>
              <w:rPr>
                <w:rFonts w:hint="eastAsia"/>
                <w:color w:val="auto"/>
                <w:szCs w:val="24"/>
                <w:lang w:eastAsia="zh-CN"/>
              </w:rPr>
              <w:t>，</w:t>
            </w:r>
            <w:r>
              <w:rPr>
                <w:rFonts w:hint="eastAsia"/>
                <w:color w:val="auto"/>
                <w:szCs w:val="24"/>
                <w:lang w:val="en-US" w:eastAsia="zh-CN"/>
              </w:rPr>
              <w:t>通过化粪池后进入市政</w:t>
            </w:r>
            <w:r>
              <w:rPr>
                <w:rFonts w:hint="eastAsia"/>
                <w:color w:val="auto"/>
                <w:szCs w:val="24"/>
              </w:rPr>
              <w:t>污水管网，最终进入西安净水处理有限责任公司第六再生水厂。</w:t>
            </w:r>
          </w:p>
          <w:p w14:paraId="68B22CE8">
            <w:pPr>
              <w:pStyle w:val="6"/>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color w:val="0000FF"/>
                <w:lang w:val="en-US" w:eastAsia="zh-CN"/>
              </w:rPr>
            </w:pPr>
            <w:r>
              <w:rPr>
                <w:rFonts w:hint="eastAsia"/>
                <w:color w:val="0000FF"/>
                <w:lang w:val="en-US" w:eastAsia="zh-CN"/>
              </w:rPr>
              <w:t>本项目生活污水、钣喷中心地面拖地废水和洗车废水污染物产生及排放浓度</w:t>
            </w:r>
            <w:r>
              <w:rPr>
                <w:rFonts w:hint="eastAsia"/>
                <w:color w:val="0000FF"/>
              </w:rPr>
              <w:t>类比</w:t>
            </w:r>
            <w:r>
              <w:rPr>
                <w:rFonts w:hint="eastAsia"/>
                <w:color w:val="0000FF"/>
                <w:lang w:eastAsia="zh-CN"/>
              </w:rPr>
              <w:t>《</w:t>
            </w:r>
            <w:r>
              <w:rPr>
                <w:rFonts w:hint="eastAsia"/>
                <w:color w:val="0000FF"/>
                <w:lang w:val="en-US" w:eastAsia="zh-CN"/>
              </w:rPr>
              <w:t>陕西华星锦业汽车销售服务有限公司2024年自行监测报告</w:t>
            </w:r>
            <w:r>
              <w:rPr>
                <w:rFonts w:hint="eastAsia"/>
                <w:color w:val="0000FF"/>
                <w:lang w:eastAsia="zh-CN"/>
              </w:rPr>
              <w:t>》</w:t>
            </w:r>
            <w:r>
              <w:rPr>
                <w:rFonts w:hint="eastAsia"/>
                <w:color w:val="0000FF"/>
                <w:lang w:val="en-US" w:eastAsia="zh-CN"/>
              </w:rPr>
              <w:t>废水总排口监测因子排放浓度；陕西华星锦业汽车销售服务有限公司包含车辆修理（钣金、打磨和喷漆烤漆工艺）及洗车工序，废水种类为生活污水、机修车间地面冲洗和洗车废水</w:t>
            </w:r>
            <w:r>
              <w:rPr>
                <w:rFonts w:hint="eastAsia"/>
                <w:color w:val="0000FF"/>
                <w:lang w:eastAsia="zh-CN"/>
              </w:rPr>
              <w:t>；</w:t>
            </w:r>
            <w:r>
              <w:rPr>
                <w:rFonts w:hint="eastAsia"/>
                <w:color w:val="0000FF"/>
                <w:lang w:val="en-US" w:eastAsia="zh-CN"/>
              </w:rPr>
              <w:t>机修车间地面冲洗废水经隔油沉淀池（5m</w:t>
            </w:r>
            <w:r>
              <w:rPr>
                <w:rFonts w:hint="eastAsia"/>
                <w:color w:val="0000FF"/>
                <w:vertAlign w:val="superscript"/>
                <w:lang w:val="en-US" w:eastAsia="zh-CN"/>
              </w:rPr>
              <w:t>3</w:t>
            </w:r>
            <w:r>
              <w:rPr>
                <w:rFonts w:hint="eastAsia"/>
                <w:color w:val="0000FF"/>
                <w:lang w:val="en-US" w:eastAsia="zh-CN"/>
              </w:rPr>
              <w:t>）预处理后汇同生活污水进入化粪池处理后经市政污水管网排至污水处理厂处理。类比项目与本项目工艺、废水种类、废水处理工艺相似，因此，本项目类比陕西华星锦业汽车销售服务有限公司废水总排口监测因子排放浓度可行。</w:t>
            </w:r>
          </w:p>
          <w:p w14:paraId="4B81284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rPr>
            </w:pPr>
            <w:r>
              <w:rPr>
                <w:rFonts w:hint="eastAsia"/>
                <w:color w:val="0000FF"/>
                <w:sz w:val="24"/>
                <w:szCs w:val="32"/>
              </w:rPr>
              <w:t>本项目总排水情况见下表：</w:t>
            </w:r>
          </w:p>
          <w:p w14:paraId="53FC8B4E">
            <w:pPr>
              <w:pStyle w:val="63"/>
              <w:spacing w:line="240" w:lineRule="auto"/>
              <w:ind w:firstLine="0" w:firstLineChars="0"/>
              <w:jc w:val="center"/>
              <w:rPr>
                <w:rFonts w:hAnsi="Times New Roman" w:cs="Times New Roman"/>
                <w:b/>
                <w:bCs/>
                <w:color w:val="auto"/>
                <w:kern w:val="21"/>
                <w:szCs w:val="24"/>
              </w:rPr>
            </w:pPr>
            <w:r>
              <w:rPr>
                <w:rFonts w:hint="eastAsia" w:hAnsi="Times New Roman" w:cs="Times New Roman"/>
                <w:b/>
                <w:bCs/>
                <w:color w:val="auto"/>
                <w:kern w:val="21"/>
                <w:szCs w:val="24"/>
              </w:rPr>
              <w:t>表4-</w:t>
            </w:r>
            <w:r>
              <w:rPr>
                <w:rFonts w:hint="eastAsia" w:hAnsi="Times New Roman" w:cs="Times New Roman"/>
                <w:b/>
                <w:bCs/>
                <w:color w:val="auto"/>
                <w:kern w:val="21"/>
                <w:szCs w:val="24"/>
                <w:lang w:val="en-US" w:eastAsia="zh-CN"/>
              </w:rPr>
              <w:t>8</w:t>
            </w:r>
            <w:r>
              <w:rPr>
                <w:rFonts w:hint="eastAsia" w:hAnsi="Times New Roman" w:cs="Times New Roman"/>
                <w:b/>
                <w:bCs/>
                <w:color w:val="auto"/>
                <w:kern w:val="21"/>
                <w:szCs w:val="24"/>
              </w:rPr>
              <w:t xml:space="preserve">  总排水情况</w:t>
            </w:r>
          </w:p>
          <w:tbl>
            <w:tblPr>
              <w:tblStyle w:val="25"/>
              <w:tblW w:w="504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75"/>
              <w:gridCol w:w="1674"/>
              <w:gridCol w:w="1095"/>
              <w:gridCol w:w="1066"/>
              <w:gridCol w:w="797"/>
              <w:gridCol w:w="729"/>
              <w:gridCol w:w="1189"/>
            </w:tblGrid>
            <w:tr w14:paraId="1BD9D9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961" w:type="pct"/>
                  <w:gridSpan w:val="2"/>
                  <w:vAlign w:val="center"/>
                </w:tcPr>
                <w:p w14:paraId="6918D534">
                  <w:pPr>
                    <w:jc w:val="center"/>
                    <w:rPr>
                      <w:rFonts w:hint="default" w:eastAsia="宋体"/>
                      <w:b/>
                      <w:color w:val="auto"/>
                      <w:szCs w:val="21"/>
                      <w:lang w:val="en-US" w:eastAsia="zh-CN"/>
                    </w:rPr>
                  </w:pPr>
                  <w:r>
                    <w:rPr>
                      <w:rFonts w:hint="eastAsia"/>
                      <w:b/>
                      <w:color w:val="auto"/>
                      <w:szCs w:val="21"/>
                      <w:lang w:val="en-US" w:eastAsia="zh-CN"/>
                    </w:rPr>
                    <w:t>项目</w:t>
                  </w:r>
                </w:p>
              </w:tc>
              <w:tc>
                <w:tcPr>
                  <w:tcW w:w="1346" w:type="pct"/>
                  <w:gridSpan w:val="2"/>
                  <w:shd w:val="clear" w:color="auto" w:fill="auto"/>
                  <w:vAlign w:val="center"/>
                </w:tcPr>
                <w:p w14:paraId="1183C802">
                  <w:pPr>
                    <w:jc w:val="center"/>
                    <w:rPr>
                      <w:rFonts w:hint="eastAsia"/>
                      <w:b/>
                      <w:color w:val="auto"/>
                      <w:szCs w:val="21"/>
                      <w:lang w:val="en-US" w:eastAsia="zh-CN"/>
                    </w:rPr>
                  </w:pPr>
                  <w:r>
                    <w:rPr>
                      <w:rFonts w:hint="eastAsia"/>
                      <w:b/>
                      <w:color w:val="auto"/>
                      <w:szCs w:val="21"/>
                      <w:lang w:val="en-US" w:eastAsia="zh-CN"/>
                    </w:rPr>
                    <w:t>废水排放量</w:t>
                  </w:r>
                </w:p>
              </w:tc>
              <w:tc>
                <w:tcPr>
                  <w:tcW w:w="1691" w:type="pct"/>
                  <w:gridSpan w:val="3"/>
                  <w:vAlign w:val="center"/>
                </w:tcPr>
                <w:p w14:paraId="665329A4">
                  <w:pPr>
                    <w:jc w:val="center"/>
                    <w:rPr>
                      <w:rFonts w:hint="eastAsia"/>
                      <w:b/>
                      <w:color w:val="auto"/>
                      <w:szCs w:val="21"/>
                      <w:lang w:val="en-US" w:eastAsia="zh-CN"/>
                    </w:rPr>
                  </w:pPr>
                  <w:r>
                    <w:rPr>
                      <w:rFonts w:hint="eastAsia"/>
                      <w:b/>
                      <w:color w:val="auto"/>
                      <w:szCs w:val="21"/>
                      <w:lang w:val="en-US" w:eastAsia="zh-CN"/>
                    </w:rPr>
                    <w:t>处理措施</w:t>
                  </w:r>
                </w:p>
              </w:tc>
            </w:tr>
            <w:tr w14:paraId="156C18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961" w:type="pct"/>
                  <w:gridSpan w:val="2"/>
                  <w:vAlign w:val="center"/>
                </w:tcPr>
                <w:p w14:paraId="004A8C86">
                  <w:pPr>
                    <w:jc w:val="center"/>
                    <w:rPr>
                      <w:rFonts w:hint="eastAsia"/>
                      <w:b w:val="0"/>
                      <w:bCs/>
                      <w:color w:val="auto"/>
                      <w:szCs w:val="21"/>
                    </w:rPr>
                  </w:pPr>
                  <w:r>
                    <w:rPr>
                      <w:rFonts w:hint="eastAsia"/>
                      <w:b w:val="0"/>
                      <w:bCs/>
                      <w:color w:val="auto"/>
                      <w:szCs w:val="21"/>
                      <w:lang w:val="en-US" w:eastAsia="zh-CN"/>
                    </w:rPr>
                    <w:t>生活污水</w:t>
                  </w:r>
                </w:p>
              </w:tc>
              <w:tc>
                <w:tcPr>
                  <w:tcW w:w="1346" w:type="pct"/>
                  <w:gridSpan w:val="2"/>
                  <w:shd w:val="clear" w:color="auto" w:fill="auto"/>
                  <w:vAlign w:val="center"/>
                </w:tcPr>
                <w:p w14:paraId="2D1A1383">
                  <w:pPr>
                    <w:jc w:val="center"/>
                    <w:rPr>
                      <w:rFonts w:hint="eastAsia"/>
                      <w:b w:val="0"/>
                      <w:bCs/>
                      <w:color w:val="auto"/>
                      <w:szCs w:val="21"/>
                      <w:lang w:val="en-US" w:eastAsia="zh-CN"/>
                    </w:rPr>
                  </w:pPr>
                  <w:r>
                    <w:rPr>
                      <w:rFonts w:hint="eastAsia"/>
                      <w:b w:val="0"/>
                      <w:bCs/>
                      <w:color w:val="auto"/>
                      <w:szCs w:val="21"/>
                      <w:lang w:val="en-US" w:eastAsia="zh-CN"/>
                    </w:rPr>
                    <w:t>675</w:t>
                  </w:r>
                  <w:r>
                    <w:rPr>
                      <w:rFonts w:hint="eastAsia"/>
                      <w:b w:val="0"/>
                      <w:bCs/>
                      <w:color w:val="auto"/>
                      <w:szCs w:val="21"/>
                    </w:rPr>
                    <w:t>.2m</w:t>
                  </w:r>
                  <w:r>
                    <w:rPr>
                      <w:rFonts w:hint="eastAsia"/>
                      <w:b w:val="0"/>
                      <w:bCs/>
                      <w:color w:val="auto"/>
                      <w:szCs w:val="21"/>
                      <w:vertAlign w:val="superscript"/>
                    </w:rPr>
                    <w:t>3</w:t>
                  </w:r>
                  <w:r>
                    <w:rPr>
                      <w:rFonts w:hint="eastAsia"/>
                      <w:b w:val="0"/>
                      <w:bCs/>
                      <w:color w:val="auto"/>
                      <w:szCs w:val="21"/>
                    </w:rPr>
                    <w:t>/a</w:t>
                  </w:r>
                </w:p>
              </w:tc>
              <w:tc>
                <w:tcPr>
                  <w:tcW w:w="1691" w:type="pct"/>
                  <w:gridSpan w:val="3"/>
                  <w:shd w:val="clear" w:color="auto" w:fill="auto"/>
                  <w:vAlign w:val="center"/>
                </w:tcPr>
                <w:p w14:paraId="4C3E7195">
                  <w:pPr>
                    <w:jc w:val="center"/>
                    <w:rPr>
                      <w:rFonts w:hint="eastAsia"/>
                      <w:b/>
                      <w:color w:val="auto"/>
                      <w:szCs w:val="21"/>
                      <w:lang w:val="en-US" w:eastAsia="zh-CN"/>
                    </w:rPr>
                  </w:pPr>
                  <w:r>
                    <w:rPr>
                      <w:rFonts w:hint="eastAsia"/>
                      <w:b w:val="0"/>
                      <w:bCs/>
                      <w:color w:val="auto"/>
                      <w:szCs w:val="21"/>
                      <w:lang w:val="en-US" w:eastAsia="zh-CN"/>
                    </w:rPr>
                    <w:t>化粪池</w:t>
                  </w:r>
                </w:p>
              </w:tc>
            </w:tr>
            <w:tr w14:paraId="4EB8C6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961" w:type="pct"/>
                  <w:gridSpan w:val="2"/>
                  <w:vAlign w:val="center"/>
                </w:tcPr>
                <w:p w14:paraId="081B5558">
                  <w:pPr>
                    <w:jc w:val="center"/>
                    <w:rPr>
                      <w:rFonts w:hint="eastAsia"/>
                      <w:b w:val="0"/>
                      <w:bCs/>
                      <w:color w:val="auto"/>
                      <w:szCs w:val="21"/>
                    </w:rPr>
                  </w:pPr>
                  <w:r>
                    <w:rPr>
                      <w:rFonts w:hint="eastAsia"/>
                      <w:b w:val="0"/>
                      <w:bCs/>
                      <w:color w:val="auto"/>
                      <w:szCs w:val="21"/>
                    </w:rPr>
                    <w:t>钣喷中心地面拖地废水和洗车废水</w:t>
                  </w:r>
                </w:p>
              </w:tc>
              <w:tc>
                <w:tcPr>
                  <w:tcW w:w="1346" w:type="pct"/>
                  <w:gridSpan w:val="2"/>
                  <w:shd w:val="clear" w:color="auto" w:fill="auto"/>
                  <w:vAlign w:val="center"/>
                </w:tcPr>
                <w:p w14:paraId="0BBDED4B">
                  <w:pPr>
                    <w:jc w:val="center"/>
                    <w:rPr>
                      <w:rFonts w:hint="eastAsia"/>
                      <w:b w:val="0"/>
                      <w:bCs/>
                      <w:color w:val="auto"/>
                      <w:szCs w:val="21"/>
                      <w:lang w:val="en-US" w:eastAsia="zh-CN"/>
                    </w:rPr>
                  </w:pPr>
                  <w:r>
                    <w:rPr>
                      <w:rFonts w:hint="eastAsia"/>
                      <w:b w:val="0"/>
                      <w:bCs/>
                      <w:color w:val="auto"/>
                      <w:szCs w:val="21"/>
                      <w:lang w:val="en-US" w:eastAsia="zh-CN"/>
                    </w:rPr>
                    <w:t>841.75</w:t>
                  </w:r>
                  <w:r>
                    <w:rPr>
                      <w:rFonts w:hint="eastAsia"/>
                      <w:b w:val="0"/>
                      <w:bCs/>
                      <w:color w:val="auto"/>
                      <w:szCs w:val="21"/>
                    </w:rPr>
                    <w:t>m</w:t>
                  </w:r>
                  <w:r>
                    <w:rPr>
                      <w:rFonts w:hint="eastAsia"/>
                      <w:b w:val="0"/>
                      <w:bCs/>
                      <w:color w:val="auto"/>
                      <w:szCs w:val="21"/>
                      <w:vertAlign w:val="superscript"/>
                    </w:rPr>
                    <w:t>3</w:t>
                  </w:r>
                  <w:r>
                    <w:rPr>
                      <w:rFonts w:hint="eastAsia"/>
                      <w:b w:val="0"/>
                      <w:bCs/>
                      <w:color w:val="auto"/>
                      <w:szCs w:val="21"/>
                    </w:rPr>
                    <w:t>/a</w:t>
                  </w:r>
                </w:p>
              </w:tc>
              <w:tc>
                <w:tcPr>
                  <w:tcW w:w="1691" w:type="pct"/>
                  <w:gridSpan w:val="3"/>
                  <w:shd w:val="clear" w:color="auto" w:fill="auto"/>
                  <w:vAlign w:val="center"/>
                </w:tcPr>
                <w:p w14:paraId="26225598">
                  <w:pPr>
                    <w:jc w:val="center"/>
                    <w:rPr>
                      <w:rFonts w:hint="eastAsia"/>
                      <w:b/>
                      <w:color w:val="auto"/>
                      <w:szCs w:val="21"/>
                      <w:lang w:val="en-US" w:eastAsia="zh-CN"/>
                    </w:rPr>
                  </w:pPr>
                  <w:r>
                    <w:rPr>
                      <w:rFonts w:hint="eastAsia"/>
                      <w:b w:val="0"/>
                      <w:bCs/>
                      <w:color w:val="auto"/>
                      <w:szCs w:val="21"/>
                      <w:lang w:val="en-US" w:eastAsia="zh-CN"/>
                    </w:rPr>
                    <w:t>隔油池+沉淀池</w:t>
                  </w:r>
                </w:p>
              </w:tc>
            </w:tr>
            <w:tr w14:paraId="4A8B29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19" w:type="pct"/>
                  <w:vMerge w:val="restart"/>
                  <w:vAlign w:val="center"/>
                </w:tcPr>
                <w:p w14:paraId="46915E0F">
                  <w:pPr>
                    <w:jc w:val="center"/>
                    <w:rPr>
                      <w:b/>
                      <w:color w:val="auto"/>
                      <w:szCs w:val="21"/>
                    </w:rPr>
                  </w:pPr>
                  <w:r>
                    <w:rPr>
                      <w:rFonts w:hint="eastAsia"/>
                      <w:b/>
                      <w:color w:val="auto"/>
                      <w:szCs w:val="21"/>
                    </w:rPr>
                    <w:t>监测项目</w:t>
                  </w:r>
                </w:p>
              </w:tc>
              <w:tc>
                <w:tcPr>
                  <w:tcW w:w="1042" w:type="pct"/>
                  <w:vAlign w:val="center"/>
                </w:tcPr>
                <w:p w14:paraId="4AC55F62">
                  <w:pPr>
                    <w:jc w:val="center"/>
                    <w:rPr>
                      <w:rFonts w:hint="eastAsia" w:eastAsia="宋体"/>
                      <w:b/>
                      <w:color w:val="auto"/>
                      <w:szCs w:val="21"/>
                      <w:lang w:eastAsia="zh-CN"/>
                    </w:rPr>
                  </w:pPr>
                  <w:r>
                    <w:rPr>
                      <w:rFonts w:hint="eastAsia"/>
                      <w:b/>
                      <w:color w:val="auto"/>
                      <w:szCs w:val="21"/>
                    </w:rPr>
                    <w:t>监测结果</w:t>
                  </w:r>
                  <w:r>
                    <w:rPr>
                      <w:rFonts w:hint="eastAsia"/>
                      <w:b/>
                      <w:color w:val="auto"/>
                      <w:szCs w:val="21"/>
                      <w:lang w:eastAsia="zh-CN"/>
                    </w:rPr>
                    <w:t>（</w:t>
                  </w:r>
                  <w:r>
                    <w:rPr>
                      <w:rFonts w:hint="eastAsia"/>
                      <w:b/>
                      <w:color w:val="auto"/>
                      <w:szCs w:val="21"/>
                      <w:lang w:val="en-US" w:eastAsia="zh-CN"/>
                    </w:rPr>
                    <w:t>排放浓度</w:t>
                  </w:r>
                  <w:r>
                    <w:rPr>
                      <w:rFonts w:hint="eastAsia"/>
                      <w:b/>
                      <w:color w:val="auto"/>
                      <w:szCs w:val="21"/>
                      <w:lang w:eastAsia="zh-CN"/>
                    </w:rPr>
                    <w:t>mg/L）</w:t>
                  </w:r>
                </w:p>
              </w:tc>
              <w:tc>
                <w:tcPr>
                  <w:tcW w:w="682" w:type="pct"/>
                  <w:vMerge w:val="restart"/>
                  <w:vAlign w:val="center"/>
                </w:tcPr>
                <w:p w14:paraId="5D8E648C">
                  <w:pPr>
                    <w:jc w:val="center"/>
                    <w:rPr>
                      <w:rFonts w:hint="eastAsia" w:eastAsia="宋体"/>
                      <w:b/>
                      <w:color w:val="auto"/>
                      <w:szCs w:val="21"/>
                      <w:lang w:val="en-US" w:eastAsia="zh-CN"/>
                    </w:rPr>
                  </w:pPr>
                  <w:r>
                    <w:rPr>
                      <w:rFonts w:hint="eastAsia"/>
                      <w:b/>
                      <w:color w:val="auto"/>
                      <w:szCs w:val="21"/>
                      <w:lang w:val="en-US" w:eastAsia="zh-CN"/>
                    </w:rPr>
                    <w:t>排放量(</w:t>
                  </w:r>
                  <w:r>
                    <w:rPr>
                      <w:rFonts w:hint="eastAsia"/>
                      <w:b/>
                      <w:bCs w:val="0"/>
                      <w:color w:val="auto"/>
                      <w:szCs w:val="21"/>
                      <w:lang w:val="en-US" w:eastAsia="zh-CN"/>
                    </w:rPr>
                    <w:t>t/a)</w:t>
                  </w:r>
                </w:p>
              </w:tc>
              <w:tc>
                <w:tcPr>
                  <w:tcW w:w="664" w:type="pct"/>
                  <w:vMerge w:val="restart"/>
                  <w:vAlign w:val="center"/>
                </w:tcPr>
                <w:p w14:paraId="5DB59F2D">
                  <w:pPr>
                    <w:jc w:val="center"/>
                    <w:rPr>
                      <w:rFonts w:hint="eastAsia" w:eastAsia="宋体"/>
                      <w:b/>
                      <w:color w:val="auto"/>
                      <w:szCs w:val="21"/>
                      <w:lang w:val="en-US" w:eastAsia="zh-CN"/>
                    </w:rPr>
                  </w:pPr>
                  <w:r>
                    <w:rPr>
                      <w:rFonts w:hint="eastAsia"/>
                      <w:b/>
                      <w:color w:val="auto"/>
                      <w:szCs w:val="21"/>
                      <w:lang w:val="en-US" w:eastAsia="zh-CN"/>
                    </w:rPr>
                    <w:t>标准限</w:t>
                  </w:r>
                  <w:r>
                    <w:rPr>
                      <w:rFonts w:hint="eastAsia"/>
                      <w:b/>
                      <w:bCs w:val="0"/>
                      <w:color w:val="auto"/>
                      <w:szCs w:val="21"/>
                      <w:lang w:val="en-US" w:eastAsia="zh-CN"/>
                    </w:rPr>
                    <w:t>值(</w:t>
                  </w:r>
                  <w:r>
                    <w:rPr>
                      <w:b/>
                      <w:bCs w:val="0"/>
                      <w:color w:val="auto"/>
                      <w:szCs w:val="21"/>
                    </w:rPr>
                    <w:t>mg/L</w:t>
                  </w:r>
                  <w:r>
                    <w:rPr>
                      <w:rFonts w:hint="eastAsia"/>
                      <w:b/>
                      <w:bCs w:val="0"/>
                      <w:color w:val="auto"/>
                      <w:szCs w:val="21"/>
                      <w:lang w:val="en-US" w:eastAsia="zh-CN"/>
                    </w:rPr>
                    <w:t>)</w:t>
                  </w:r>
                </w:p>
              </w:tc>
              <w:tc>
                <w:tcPr>
                  <w:tcW w:w="496" w:type="pct"/>
                  <w:vMerge w:val="restart"/>
                  <w:vAlign w:val="center"/>
                </w:tcPr>
                <w:p w14:paraId="00D98F5E">
                  <w:pPr>
                    <w:jc w:val="center"/>
                    <w:rPr>
                      <w:rFonts w:hint="default"/>
                      <w:b/>
                      <w:color w:val="auto"/>
                      <w:szCs w:val="21"/>
                      <w:lang w:val="en-US" w:eastAsia="zh-CN"/>
                    </w:rPr>
                  </w:pPr>
                  <w:r>
                    <w:rPr>
                      <w:rFonts w:hint="eastAsia"/>
                      <w:b/>
                      <w:color w:val="auto"/>
                      <w:szCs w:val="21"/>
                      <w:lang w:val="en-US" w:eastAsia="zh-CN"/>
                    </w:rPr>
                    <w:t>达标情况</w:t>
                  </w:r>
                </w:p>
              </w:tc>
              <w:tc>
                <w:tcPr>
                  <w:tcW w:w="454" w:type="pct"/>
                  <w:vMerge w:val="restart"/>
                  <w:vAlign w:val="center"/>
                </w:tcPr>
                <w:p w14:paraId="5656731E">
                  <w:pPr>
                    <w:jc w:val="center"/>
                    <w:rPr>
                      <w:rFonts w:hint="default"/>
                      <w:b/>
                      <w:color w:val="auto"/>
                      <w:szCs w:val="21"/>
                      <w:lang w:val="en-US" w:eastAsia="zh-CN"/>
                    </w:rPr>
                  </w:pPr>
                  <w:r>
                    <w:rPr>
                      <w:rFonts w:hint="eastAsia"/>
                      <w:b/>
                      <w:color w:val="auto"/>
                      <w:szCs w:val="21"/>
                      <w:lang w:val="en-US" w:eastAsia="zh-CN"/>
                    </w:rPr>
                    <w:t>排放方式</w:t>
                  </w:r>
                </w:p>
              </w:tc>
              <w:tc>
                <w:tcPr>
                  <w:tcW w:w="740" w:type="pct"/>
                  <w:vMerge w:val="restart"/>
                  <w:vAlign w:val="center"/>
                </w:tcPr>
                <w:p w14:paraId="011C5D2B">
                  <w:pPr>
                    <w:jc w:val="center"/>
                    <w:rPr>
                      <w:rFonts w:hint="eastAsia" w:eastAsia="宋体"/>
                      <w:b/>
                      <w:color w:val="auto"/>
                      <w:szCs w:val="21"/>
                      <w:lang w:val="en-US" w:eastAsia="zh-CN"/>
                    </w:rPr>
                  </w:pPr>
                  <w:r>
                    <w:rPr>
                      <w:rFonts w:hint="eastAsia"/>
                      <w:b/>
                      <w:color w:val="auto"/>
                      <w:szCs w:val="21"/>
                      <w:lang w:val="en-US" w:eastAsia="zh-CN"/>
                    </w:rPr>
                    <w:t>排放标准</w:t>
                  </w:r>
                </w:p>
              </w:tc>
            </w:tr>
            <w:tr w14:paraId="722CAB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19" w:type="pct"/>
                  <w:vMerge w:val="continue"/>
                  <w:vAlign w:val="center"/>
                </w:tcPr>
                <w:p w14:paraId="12A4625A">
                  <w:pPr>
                    <w:jc w:val="center"/>
                    <w:rPr>
                      <w:b/>
                      <w:color w:val="auto"/>
                      <w:szCs w:val="21"/>
                    </w:rPr>
                  </w:pPr>
                </w:p>
              </w:tc>
              <w:tc>
                <w:tcPr>
                  <w:tcW w:w="1042" w:type="pct"/>
                  <w:vAlign w:val="center"/>
                </w:tcPr>
                <w:p w14:paraId="16953B96">
                  <w:pPr>
                    <w:jc w:val="center"/>
                    <w:rPr>
                      <w:rFonts w:hint="default" w:eastAsia="宋体"/>
                      <w:b/>
                      <w:color w:val="auto"/>
                      <w:szCs w:val="21"/>
                      <w:lang w:val="en-US" w:eastAsia="zh-CN"/>
                    </w:rPr>
                  </w:pPr>
                  <w:r>
                    <w:rPr>
                      <w:rFonts w:hint="eastAsia"/>
                      <w:b/>
                      <w:color w:val="auto"/>
                      <w:szCs w:val="21"/>
                    </w:rPr>
                    <w:t>2024.</w:t>
                  </w:r>
                  <w:r>
                    <w:rPr>
                      <w:rFonts w:hint="eastAsia"/>
                      <w:b/>
                      <w:color w:val="auto"/>
                      <w:szCs w:val="21"/>
                      <w:lang w:val="en-US" w:eastAsia="zh-CN"/>
                    </w:rPr>
                    <w:t>3.23</w:t>
                  </w:r>
                </w:p>
              </w:tc>
              <w:tc>
                <w:tcPr>
                  <w:tcW w:w="682" w:type="pct"/>
                  <w:vMerge w:val="continue"/>
                  <w:vAlign w:val="center"/>
                </w:tcPr>
                <w:p w14:paraId="3335DF89">
                  <w:pPr>
                    <w:jc w:val="center"/>
                    <w:rPr>
                      <w:b/>
                      <w:color w:val="auto"/>
                      <w:szCs w:val="21"/>
                    </w:rPr>
                  </w:pPr>
                </w:p>
              </w:tc>
              <w:tc>
                <w:tcPr>
                  <w:tcW w:w="664" w:type="pct"/>
                  <w:vMerge w:val="continue"/>
                  <w:vAlign w:val="center"/>
                </w:tcPr>
                <w:p w14:paraId="79FBBB27">
                  <w:pPr>
                    <w:jc w:val="center"/>
                    <w:rPr>
                      <w:b/>
                      <w:color w:val="auto"/>
                      <w:szCs w:val="21"/>
                    </w:rPr>
                  </w:pPr>
                </w:p>
              </w:tc>
              <w:tc>
                <w:tcPr>
                  <w:tcW w:w="496" w:type="pct"/>
                  <w:vMerge w:val="continue"/>
                  <w:vAlign w:val="center"/>
                </w:tcPr>
                <w:p w14:paraId="5DC7FB8E">
                  <w:pPr>
                    <w:jc w:val="center"/>
                    <w:rPr>
                      <w:b/>
                      <w:color w:val="auto"/>
                      <w:szCs w:val="21"/>
                    </w:rPr>
                  </w:pPr>
                </w:p>
              </w:tc>
              <w:tc>
                <w:tcPr>
                  <w:tcW w:w="454" w:type="pct"/>
                  <w:vMerge w:val="continue"/>
                  <w:vAlign w:val="center"/>
                </w:tcPr>
                <w:p w14:paraId="4A07DA74">
                  <w:pPr>
                    <w:jc w:val="center"/>
                    <w:rPr>
                      <w:b/>
                      <w:color w:val="auto"/>
                      <w:szCs w:val="21"/>
                    </w:rPr>
                  </w:pPr>
                </w:p>
              </w:tc>
              <w:tc>
                <w:tcPr>
                  <w:tcW w:w="740" w:type="pct"/>
                  <w:vMerge w:val="continue"/>
                  <w:vAlign w:val="center"/>
                </w:tcPr>
                <w:p w14:paraId="642D0485">
                  <w:pPr>
                    <w:jc w:val="center"/>
                    <w:rPr>
                      <w:b/>
                      <w:color w:val="auto"/>
                      <w:szCs w:val="21"/>
                    </w:rPr>
                  </w:pPr>
                </w:p>
              </w:tc>
            </w:tr>
            <w:tr w14:paraId="400D85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19" w:type="pct"/>
                  <w:shd w:val="clear" w:color="auto" w:fill="auto"/>
                  <w:vAlign w:val="center"/>
                </w:tcPr>
                <w:p w14:paraId="0ECA1C8E">
                  <w:pPr>
                    <w:jc w:val="center"/>
                    <w:rPr>
                      <w:b/>
                      <w:color w:val="auto"/>
                      <w:szCs w:val="21"/>
                    </w:rPr>
                  </w:pPr>
                  <w:r>
                    <w:rPr>
                      <w:rFonts w:hint="eastAsia"/>
                      <w:b/>
                      <w:color w:val="auto"/>
                      <w:szCs w:val="21"/>
                    </w:rPr>
                    <w:t>pH</w:t>
                  </w:r>
                </w:p>
              </w:tc>
              <w:tc>
                <w:tcPr>
                  <w:tcW w:w="1042" w:type="pct"/>
                  <w:shd w:val="clear" w:color="auto" w:fill="auto"/>
                  <w:vAlign w:val="center"/>
                </w:tcPr>
                <w:p w14:paraId="4B453B79">
                  <w:pPr>
                    <w:jc w:val="center"/>
                    <w:rPr>
                      <w:rFonts w:hint="default" w:eastAsia="宋体"/>
                      <w:color w:val="auto"/>
                      <w:szCs w:val="21"/>
                      <w:lang w:val="en-US" w:eastAsia="zh-CN"/>
                    </w:rPr>
                  </w:pPr>
                  <w:r>
                    <w:rPr>
                      <w:rFonts w:hint="eastAsia"/>
                      <w:color w:val="auto"/>
                      <w:szCs w:val="21"/>
                      <w:lang w:val="en-US" w:eastAsia="zh-CN"/>
                    </w:rPr>
                    <w:t>7.0</w:t>
                  </w:r>
                </w:p>
              </w:tc>
              <w:tc>
                <w:tcPr>
                  <w:tcW w:w="682" w:type="pct"/>
                  <w:vAlign w:val="center"/>
                </w:tcPr>
                <w:p w14:paraId="164C36A7">
                  <w:pPr>
                    <w:jc w:val="center"/>
                    <w:rPr>
                      <w:rFonts w:hint="eastAsia" w:eastAsia="宋体"/>
                      <w:color w:val="auto"/>
                      <w:szCs w:val="21"/>
                      <w:lang w:val="en-US" w:eastAsia="zh-CN"/>
                    </w:rPr>
                  </w:pPr>
                  <w:r>
                    <w:rPr>
                      <w:rFonts w:hint="eastAsia"/>
                      <w:color w:val="auto"/>
                      <w:szCs w:val="21"/>
                      <w:lang w:val="en-US" w:eastAsia="zh-CN"/>
                    </w:rPr>
                    <w:t>/</w:t>
                  </w:r>
                </w:p>
              </w:tc>
              <w:tc>
                <w:tcPr>
                  <w:tcW w:w="664" w:type="pct"/>
                  <w:vAlign w:val="center"/>
                </w:tcPr>
                <w:p w14:paraId="14FFA71B">
                  <w:pPr>
                    <w:jc w:val="center"/>
                    <w:rPr>
                      <w:color w:val="auto"/>
                      <w:szCs w:val="21"/>
                    </w:rPr>
                  </w:pPr>
                  <w:r>
                    <w:rPr>
                      <w:rFonts w:hint="eastAsia"/>
                      <w:color w:val="auto"/>
                      <w:szCs w:val="21"/>
                    </w:rPr>
                    <w:t>6~9</w:t>
                  </w:r>
                </w:p>
              </w:tc>
              <w:tc>
                <w:tcPr>
                  <w:tcW w:w="496" w:type="pct"/>
                  <w:vAlign w:val="center"/>
                </w:tcPr>
                <w:p w14:paraId="21CF0E1C">
                  <w:pPr>
                    <w:jc w:val="center"/>
                    <w:rPr>
                      <w:rFonts w:hint="eastAsia"/>
                      <w:color w:val="auto"/>
                      <w:szCs w:val="21"/>
                    </w:rPr>
                  </w:pPr>
                  <w:r>
                    <w:rPr>
                      <w:color w:val="auto"/>
                      <w:szCs w:val="21"/>
                    </w:rPr>
                    <w:t>达标</w:t>
                  </w:r>
                </w:p>
              </w:tc>
              <w:tc>
                <w:tcPr>
                  <w:tcW w:w="454" w:type="pct"/>
                  <w:vMerge w:val="restart"/>
                  <w:vAlign w:val="center"/>
                </w:tcPr>
                <w:p w14:paraId="7E28B858">
                  <w:pPr>
                    <w:jc w:val="center"/>
                    <w:rPr>
                      <w:rFonts w:hint="default" w:eastAsia="宋体"/>
                      <w:color w:val="auto"/>
                      <w:szCs w:val="21"/>
                      <w:lang w:val="en-US" w:eastAsia="zh-CN"/>
                    </w:rPr>
                  </w:pPr>
                  <w:r>
                    <w:rPr>
                      <w:rFonts w:hint="eastAsia"/>
                      <w:color w:val="auto"/>
                      <w:szCs w:val="21"/>
                      <w:lang w:val="en-US" w:eastAsia="zh-CN"/>
                    </w:rPr>
                    <w:t>间接排放</w:t>
                  </w:r>
                </w:p>
              </w:tc>
              <w:tc>
                <w:tcPr>
                  <w:tcW w:w="740" w:type="pct"/>
                  <w:vMerge w:val="restart"/>
                  <w:vAlign w:val="center"/>
                </w:tcPr>
                <w:p w14:paraId="42CC7749">
                  <w:pPr>
                    <w:jc w:val="center"/>
                    <w:rPr>
                      <w:color w:val="auto"/>
                      <w:szCs w:val="21"/>
                    </w:rPr>
                  </w:pPr>
                  <w:r>
                    <w:rPr>
                      <w:rFonts w:hint="eastAsia"/>
                      <w:color w:val="auto"/>
                      <w:szCs w:val="21"/>
                    </w:rPr>
                    <w:t>《汽车维修业水污染物排放标准》（GB26877-2011）表2中间接排放标准</w:t>
                  </w:r>
                </w:p>
              </w:tc>
            </w:tr>
            <w:tr w14:paraId="592AAA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19" w:type="pct"/>
                  <w:shd w:val="clear" w:color="auto" w:fill="auto"/>
                  <w:vAlign w:val="center"/>
                </w:tcPr>
                <w:p w14:paraId="2F2B1AC3">
                  <w:pPr>
                    <w:jc w:val="center"/>
                    <w:rPr>
                      <w:rFonts w:hint="eastAsia" w:eastAsia="宋体"/>
                      <w:b/>
                      <w:color w:val="auto"/>
                      <w:szCs w:val="21"/>
                      <w:lang w:val="en-US" w:eastAsia="zh-CN"/>
                    </w:rPr>
                  </w:pPr>
                  <w:r>
                    <w:rPr>
                      <w:rFonts w:hint="eastAsia"/>
                      <w:b/>
                      <w:color w:val="auto"/>
                      <w:szCs w:val="21"/>
                      <w:lang w:val="en-US" w:eastAsia="zh-CN"/>
                    </w:rPr>
                    <w:t>氨氮</w:t>
                  </w:r>
                </w:p>
              </w:tc>
              <w:tc>
                <w:tcPr>
                  <w:tcW w:w="1042" w:type="pct"/>
                  <w:shd w:val="clear" w:color="auto" w:fill="auto"/>
                  <w:vAlign w:val="center"/>
                </w:tcPr>
                <w:p w14:paraId="43F210DB">
                  <w:pPr>
                    <w:jc w:val="center"/>
                    <w:rPr>
                      <w:rFonts w:hint="default" w:eastAsia="宋体"/>
                      <w:color w:val="auto"/>
                      <w:szCs w:val="21"/>
                      <w:lang w:val="en-US" w:eastAsia="zh-CN"/>
                    </w:rPr>
                  </w:pPr>
                  <w:r>
                    <w:rPr>
                      <w:rFonts w:hint="eastAsia"/>
                      <w:color w:val="auto"/>
                      <w:szCs w:val="21"/>
                      <w:lang w:val="en-US" w:eastAsia="zh-CN"/>
                    </w:rPr>
                    <w:t>23.9</w:t>
                  </w:r>
                </w:p>
              </w:tc>
              <w:tc>
                <w:tcPr>
                  <w:tcW w:w="682" w:type="pct"/>
                  <w:shd w:val="clear" w:color="auto" w:fill="auto"/>
                  <w:vAlign w:val="center"/>
                </w:tcPr>
                <w:p w14:paraId="3DE368DC">
                  <w:pPr>
                    <w:jc w:val="center"/>
                    <w:rPr>
                      <w:rFonts w:hint="default"/>
                      <w:color w:val="auto"/>
                      <w:szCs w:val="21"/>
                      <w:lang w:val="en-US" w:eastAsia="zh-CN"/>
                    </w:rPr>
                  </w:pPr>
                  <w:r>
                    <w:rPr>
                      <w:rFonts w:hint="eastAsia"/>
                      <w:color w:val="auto"/>
                      <w:szCs w:val="21"/>
                      <w:lang w:val="en-US" w:eastAsia="zh-CN"/>
                    </w:rPr>
                    <w:t>0.036</w:t>
                  </w:r>
                </w:p>
              </w:tc>
              <w:tc>
                <w:tcPr>
                  <w:tcW w:w="664" w:type="pct"/>
                  <w:shd w:val="clear" w:color="auto" w:fill="auto"/>
                  <w:vAlign w:val="center"/>
                </w:tcPr>
                <w:p w14:paraId="7E4A0254">
                  <w:pPr>
                    <w:jc w:val="center"/>
                    <w:rPr>
                      <w:rFonts w:hint="default" w:eastAsia="宋体"/>
                      <w:color w:val="auto"/>
                      <w:szCs w:val="21"/>
                      <w:lang w:val="en-US" w:eastAsia="zh-CN"/>
                    </w:rPr>
                  </w:pPr>
                  <w:r>
                    <w:rPr>
                      <w:rFonts w:hint="eastAsia"/>
                      <w:color w:val="auto"/>
                      <w:szCs w:val="21"/>
                      <w:lang w:val="en-US" w:eastAsia="zh-CN"/>
                    </w:rPr>
                    <w:t>25</w:t>
                  </w:r>
                </w:p>
              </w:tc>
              <w:tc>
                <w:tcPr>
                  <w:tcW w:w="496" w:type="pct"/>
                  <w:vAlign w:val="center"/>
                </w:tcPr>
                <w:p w14:paraId="308C96F9">
                  <w:pPr>
                    <w:jc w:val="center"/>
                    <w:rPr>
                      <w:rFonts w:hint="eastAsia"/>
                      <w:color w:val="auto"/>
                      <w:szCs w:val="21"/>
                      <w:lang w:val="en-US" w:eastAsia="zh-CN"/>
                    </w:rPr>
                  </w:pPr>
                  <w:r>
                    <w:rPr>
                      <w:color w:val="auto"/>
                      <w:szCs w:val="21"/>
                    </w:rPr>
                    <w:t>达标</w:t>
                  </w:r>
                </w:p>
              </w:tc>
              <w:tc>
                <w:tcPr>
                  <w:tcW w:w="454" w:type="pct"/>
                  <w:vMerge w:val="continue"/>
                  <w:vAlign w:val="center"/>
                </w:tcPr>
                <w:p w14:paraId="067645D6">
                  <w:pPr>
                    <w:jc w:val="center"/>
                    <w:rPr>
                      <w:color w:val="auto"/>
                      <w:szCs w:val="21"/>
                    </w:rPr>
                  </w:pPr>
                </w:p>
              </w:tc>
              <w:tc>
                <w:tcPr>
                  <w:tcW w:w="740" w:type="pct"/>
                  <w:vMerge w:val="continue"/>
                  <w:vAlign w:val="center"/>
                </w:tcPr>
                <w:p w14:paraId="737518A4">
                  <w:pPr>
                    <w:jc w:val="center"/>
                    <w:rPr>
                      <w:color w:val="auto"/>
                      <w:szCs w:val="21"/>
                    </w:rPr>
                  </w:pPr>
                </w:p>
              </w:tc>
            </w:tr>
            <w:tr w14:paraId="7C1FE2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19" w:type="pct"/>
                  <w:shd w:val="clear" w:color="auto" w:fill="auto"/>
                  <w:vAlign w:val="center"/>
                </w:tcPr>
                <w:p w14:paraId="754A4BEE">
                  <w:pPr>
                    <w:jc w:val="center"/>
                    <w:rPr>
                      <w:rFonts w:hint="default" w:eastAsia="宋体"/>
                      <w:b/>
                      <w:color w:val="auto"/>
                      <w:szCs w:val="21"/>
                      <w:lang w:val="en-US" w:eastAsia="zh-CN"/>
                    </w:rPr>
                  </w:pPr>
                  <w:r>
                    <w:rPr>
                      <w:rFonts w:hint="eastAsia"/>
                      <w:b/>
                      <w:color w:val="auto"/>
                      <w:szCs w:val="21"/>
                      <w:lang w:val="en-US" w:eastAsia="zh-CN"/>
                    </w:rPr>
                    <w:t>LAS</w:t>
                  </w:r>
                </w:p>
              </w:tc>
              <w:tc>
                <w:tcPr>
                  <w:tcW w:w="1042" w:type="pct"/>
                  <w:shd w:val="clear" w:color="auto" w:fill="auto"/>
                  <w:vAlign w:val="center"/>
                </w:tcPr>
                <w:p w14:paraId="1D3CDC43">
                  <w:pPr>
                    <w:jc w:val="center"/>
                    <w:rPr>
                      <w:rFonts w:hint="default" w:eastAsia="宋体"/>
                      <w:color w:val="auto"/>
                      <w:szCs w:val="21"/>
                      <w:lang w:val="en-US" w:eastAsia="zh-CN"/>
                    </w:rPr>
                  </w:pPr>
                  <w:r>
                    <w:rPr>
                      <w:rFonts w:hint="eastAsia"/>
                      <w:color w:val="auto"/>
                      <w:szCs w:val="21"/>
                      <w:lang w:val="en-US" w:eastAsia="zh-CN"/>
                    </w:rPr>
                    <w:t>2.701</w:t>
                  </w:r>
                </w:p>
              </w:tc>
              <w:tc>
                <w:tcPr>
                  <w:tcW w:w="682" w:type="pct"/>
                  <w:shd w:val="clear" w:color="auto" w:fill="auto"/>
                  <w:vAlign w:val="center"/>
                </w:tcPr>
                <w:p w14:paraId="1AE08A6D">
                  <w:pPr>
                    <w:jc w:val="center"/>
                    <w:rPr>
                      <w:rFonts w:hint="default"/>
                      <w:color w:val="auto"/>
                      <w:szCs w:val="21"/>
                      <w:lang w:val="en-US" w:eastAsia="zh-CN"/>
                    </w:rPr>
                  </w:pPr>
                  <w:r>
                    <w:rPr>
                      <w:rFonts w:hint="eastAsia"/>
                      <w:color w:val="auto"/>
                      <w:szCs w:val="21"/>
                      <w:lang w:val="en-US" w:eastAsia="zh-CN"/>
                    </w:rPr>
                    <w:t>0.004</w:t>
                  </w:r>
                </w:p>
              </w:tc>
              <w:tc>
                <w:tcPr>
                  <w:tcW w:w="664" w:type="pct"/>
                  <w:shd w:val="clear" w:color="auto" w:fill="auto"/>
                  <w:vAlign w:val="center"/>
                </w:tcPr>
                <w:p w14:paraId="2D39AC32">
                  <w:pPr>
                    <w:jc w:val="center"/>
                    <w:rPr>
                      <w:rFonts w:hint="default" w:eastAsia="宋体"/>
                      <w:color w:val="auto"/>
                      <w:szCs w:val="21"/>
                      <w:lang w:val="en-US" w:eastAsia="zh-CN"/>
                    </w:rPr>
                  </w:pPr>
                  <w:r>
                    <w:rPr>
                      <w:rFonts w:hint="eastAsia"/>
                      <w:color w:val="auto"/>
                      <w:szCs w:val="21"/>
                      <w:lang w:val="en-US" w:eastAsia="zh-CN"/>
                    </w:rPr>
                    <w:t>10</w:t>
                  </w:r>
                </w:p>
              </w:tc>
              <w:tc>
                <w:tcPr>
                  <w:tcW w:w="496" w:type="pct"/>
                  <w:vAlign w:val="center"/>
                </w:tcPr>
                <w:p w14:paraId="2F4A2FBE">
                  <w:pPr>
                    <w:jc w:val="center"/>
                    <w:rPr>
                      <w:rFonts w:hint="eastAsia"/>
                      <w:color w:val="auto"/>
                      <w:szCs w:val="21"/>
                      <w:lang w:val="en-US" w:eastAsia="zh-CN"/>
                    </w:rPr>
                  </w:pPr>
                  <w:r>
                    <w:rPr>
                      <w:color w:val="auto"/>
                      <w:szCs w:val="21"/>
                    </w:rPr>
                    <w:t>达标</w:t>
                  </w:r>
                </w:p>
              </w:tc>
              <w:tc>
                <w:tcPr>
                  <w:tcW w:w="454" w:type="pct"/>
                  <w:vMerge w:val="continue"/>
                  <w:vAlign w:val="center"/>
                </w:tcPr>
                <w:p w14:paraId="6D9F5180">
                  <w:pPr>
                    <w:jc w:val="center"/>
                    <w:rPr>
                      <w:color w:val="auto"/>
                      <w:szCs w:val="21"/>
                    </w:rPr>
                  </w:pPr>
                </w:p>
              </w:tc>
              <w:tc>
                <w:tcPr>
                  <w:tcW w:w="740" w:type="pct"/>
                  <w:vMerge w:val="continue"/>
                  <w:vAlign w:val="center"/>
                </w:tcPr>
                <w:p w14:paraId="205BC760">
                  <w:pPr>
                    <w:jc w:val="center"/>
                    <w:rPr>
                      <w:color w:val="auto"/>
                      <w:szCs w:val="21"/>
                    </w:rPr>
                  </w:pPr>
                </w:p>
              </w:tc>
            </w:tr>
            <w:tr w14:paraId="0D8D0F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19" w:type="pct"/>
                  <w:shd w:val="clear" w:color="auto" w:fill="auto"/>
                  <w:vAlign w:val="center"/>
                </w:tcPr>
                <w:p w14:paraId="68B6E122">
                  <w:pPr>
                    <w:jc w:val="center"/>
                    <w:rPr>
                      <w:rFonts w:hint="default" w:eastAsia="宋体"/>
                      <w:b/>
                      <w:color w:val="auto"/>
                      <w:szCs w:val="21"/>
                      <w:lang w:val="en-US" w:eastAsia="zh-CN"/>
                    </w:rPr>
                  </w:pPr>
                  <w:r>
                    <w:rPr>
                      <w:rFonts w:hint="eastAsia"/>
                      <w:b/>
                      <w:color w:val="auto"/>
                      <w:szCs w:val="21"/>
                      <w:lang w:val="en-US" w:eastAsia="zh-CN"/>
                    </w:rPr>
                    <w:t>COD</w:t>
                  </w:r>
                </w:p>
              </w:tc>
              <w:tc>
                <w:tcPr>
                  <w:tcW w:w="1042" w:type="pct"/>
                  <w:shd w:val="clear" w:color="auto" w:fill="auto"/>
                  <w:vAlign w:val="center"/>
                </w:tcPr>
                <w:p w14:paraId="78F48642">
                  <w:pPr>
                    <w:jc w:val="center"/>
                    <w:rPr>
                      <w:rFonts w:hint="default" w:eastAsia="宋体"/>
                      <w:color w:val="auto"/>
                      <w:szCs w:val="21"/>
                      <w:lang w:val="en-US" w:eastAsia="zh-CN"/>
                    </w:rPr>
                  </w:pPr>
                  <w:r>
                    <w:rPr>
                      <w:rFonts w:hint="eastAsia"/>
                      <w:color w:val="auto"/>
                      <w:szCs w:val="21"/>
                      <w:lang w:val="en-US" w:eastAsia="zh-CN"/>
                    </w:rPr>
                    <w:t>283</w:t>
                  </w:r>
                </w:p>
              </w:tc>
              <w:tc>
                <w:tcPr>
                  <w:tcW w:w="682" w:type="pct"/>
                  <w:shd w:val="clear" w:color="auto" w:fill="auto"/>
                  <w:vAlign w:val="center"/>
                </w:tcPr>
                <w:p w14:paraId="241AFEAE">
                  <w:pPr>
                    <w:jc w:val="center"/>
                    <w:rPr>
                      <w:rFonts w:hint="default"/>
                      <w:color w:val="auto"/>
                      <w:szCs w:val="21"/>
                      <w:lang w:val="en-US" w:eastAsia="zh-CN"/>
                    </w:rPr>
                  </w:pPr>
                  <w:r>
                    <w:rPr>
                      <w:rFonts w:hint="eastAsia"/>
                      <w:color w:val="auto"/>
                      <w:szCs w:val="21"/>
                      <w:lang w:val="en-US" w:eastAsia="zh-CN"/>
                    </w:rPr>
                    <w:t>0.429</w:t>
                  </w:r>
                </w:p>
              </w:tc>
              <w:tc>
                <w:tcPr>
                  <w:tcW w:w="664" w:type="pct"/>
                  <w:shd w:val="clear" w:color="auto" w:fill="auto"/>
                  <w:vAlign w:val="center"/>
                </w:tcPr>
                <w:p w14:paraId="19C1E3C6">
                  <w:pPr>
                    <w:jc w:val="center"/>
                    <w:rPr>
                      <w:rFonts w:hint="default" w:eastAsia="宋体"/>
                      <w:color w:val="auto"/>
                      <w:szCs w:val="21"/>
                      <w:lang w:val="en-US" w:eastAsia="zh-CN"/>
                    </w:rPr>
                  </w:pPr>
                  <w:r>
                    <w:rPr>
                      <w:rFonts w:hint="eastAsia"/>
                      <w:color w:val="auto"/>
                      <w:szCs w:val="21"/>
                      <w:lang w:val="en-US" w:eastAsia="zh-CN"/>
                    </w:rPr>
                    <w:t>300</w:t>
                  </w:r>
                </w:p>
              </w:tc>
              <w:tc>
                <w:tcPr>
                  <w:tcW w:w="496" w:type="pct"/>
                  <w:vAlign w:val="center"/>
                </w:tcPr>
                <w:p w14:paraId="736978B7">
                  <w:pPr>
                    <w:jc w:val="center"/>
                    <w:rPr>
                      <w:rFonts w:hint="eastAsia"/>
                      <w:color w:val="auto"/>
                      <w:szCs w:val="21"/>
                      <w:lang w:val="en-US" w:eastAsia="zh-CN"/>
                    </w:rPr>
                  </w:pPr>
                  <w:r>
                    <w:rPr>
                      <w:color w:val="auto"/>
                      <w:szCs w:val="21"/>
                    </w:rPr>
                    <w:t>达标</w:t>
                  </w:r>
                </w:p>
              </w:tc>
              <w:tc>
                <w:tcPr>
                  <w:tcW w:w="454" w:type="pct"/>
                  <w:vMerge w:val="continue"/>
                  <w:vAlign w:val="center"/>
                </w:tcPr>
                <w:p w14:paraId="71EB32BC">
                  <w:pPr>
                    <w:jc w:val="center"/>
                    <w:rPr>
                      <w:color w:val="auto"/>
                      <w:szCs w:val="21"/>
                    </w:rPr>
                  </w:pPr>
                </w:p>
              </w:tc>
              <w:tc>
                <w:tcPr>
                  <w:tcW w:w="740" w:type="pct"/>
                  <w:vMerge w:val="continue"/>
                  <w:vAlign w:val="center"/>
                </w:tcPr>
                <w:p w14:paraId="4533A03C">
                  <w:pPr>
                    <w:jc w:val="center"/>
                    <w:rPr>
                      <w:color w:val="auto"/>
                      <w:szCs w:val="21"/>
                    </w:rPr>
                  </w:pPr>
                </w:p>
              </w:tc>
            </w:tr>
            <w:tr w14:paraId="507324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19" w:type="pct"/>
                  <w:shd w:val="clear" w:color="auto" w:fill="auto"/>
                  <w:vAlign w:val="center"/>
                </w:tcPr>
                <w:p w14:paraId="74B7547D">
                  <w:pPr>
                    <w:jc w:val="center"/>
                    <w:rPr>
                      <w:rFonts w:hint="default" w:eastAsia="宋体"/>
                      <w:b/>
                      <w:color w:val="auto"/>
                      <w:szCs w:val="21"/>
                      <w:lang w:val="en-US" w:eastAsia="zh-CN"/>
                    </w:rPr>
                  </w:pPr>
                  <w:r>
                    <w:rPr>
                      <w:rFonts w:hint="eastAsia"/>
                      <w:b/>
                      <w:color w:val="auto"/>
                      <w:szCs w:val="21"/>
                      <w:lang w:val="en-US" w:eastAsia="zh-CN"/>
                    </w:rPr>
                    <w:t>SS</w:t>
                  </w:r>
                </w:p>
              </w:tc>
              <w:tc>
                <w:tcPr>
                  <w:tcW w:w="1042" w:type="pct"/>
                  <w:shd w:val="clear" w:color="auto" w:fill="auto"/>
                  <w:vAlign w:val="center"/>
                </w:tcPr>
                <w:p w14:paraId="14618A70">
                  <w:pPr>
                    <w:jc w:val="center"/>
                    <w:rPr>
                      <w:rFonts w:hint="default" w:eastAsia="宋体"/>
                      <w:color w:val="auto"/>
                      <w:szCs w:val="21"/>
                      <w:lang w:val="en-US" w:eastAsia="zh-CN"/>
                    </w:rPr>
                  </w:pPr>
                  <w:r>
                    <w:rPr>
                      <w:rFonts w:hint="eastAsia"/>
                      <w:color w:val="auto"/>
                      <w:szCs w:val="21"/>
                      <w:lang w:val="en-US" w:eastAsia="zh-CN"/>
                    </w:rPr>
                    <w:t>49</w:t>
                  </w:r>
                </w:p>
              </w:tc>
              <w:tc>
                <w:tcPr>
                  <w:tcW w:w="682" w:type="pct"/>
                  <w:shd w:val="clear" w:color="auto" w:fill="auto"/>
                  <w:vAlign w:val="center"/>
                </w:tcPr>
                <w:p w14:paraId="2B944008">
                  <w:pPr>
                    <w:jc w:val="center"/>
                    <w:rPr>
                      <w:rFonts w:hint="default"/>
                      <w:color w:val="auto"/>
                      <w:szCs w:val="21"/>
                      <w:lang w:val="en-US" w:eastAsia="zh-CN"/>
                    </w:rPr>
                  </w:pPr>
                  <w:r>
                    <w:rPr>
                      <w:rFonts w:hint="eastAsia"/>
                      <w:color w:val="auto"/>
                      <w:szCs w:val="21"/>
                      <w:lang w:val="en-US" w:eastAsia="zh-CN"/>
                    </w:rPr>
                    <w:t>0.074</w:t>
                  </w:r>
                </w:p>
              </w:tc>
              <w:tc>
                <w:tcPr>
                  <w:tcW w:w="664" w:type="pct"/>
                  <w:shd w:val="clear" w:color="auto" w:fill="auto"/>
                  <w:vAlign w:val="center"/>
                </w:tcPr>
                <w:p w14:paraId="5E79BBDA">
                  <w:pPr>
                    <w:jc w:val="center"/>
                    <w:rPr>
                      <w:rFonts w:hint="default" w:eastAsia="宋体"/>
                      <w:color w:val="auto"/>
                      <w:szCs w:val="21"/>
                      <w:lang w:val="en-US" w:eastAsia="zh-CN"/>
                    </w:rPr>
                  </w:pPr>
                  <w:r>
                    <w:rPr>
                      <w:rFonts w:hint="eastAsia"/>
                      <w:color w:val="auto"/>
                      <w:szCs w:val="21"/>
                      <w:lang w:val="en-US" w:eastAsia="zh-CN"/>
                    </w:rPr>
                    <w:t>100</w:t>
                  </w:r>
                </w:p>
              </w:tc>
              <w:tc>
                <w:tcPr>
                  <w:tcW w:w="496" w:type="pct"/>
                  <w:vAlign w:val="center"/>
                </w:tcPr>
                <w:p w14:paraId="2DB2A4F7">
                  <w:pPr>
                    <w:jc w:val="center"/>
                    <w:rPr>
                      <w:rFonts w:hint="eastAsia"/>
                      <w:color w:val="auto"/>
                      <w:szCs w:val="21"/>
                      <w:lang w:val="en-US" w:eastAsia="zh-CN"/>
                    </w:rPr>
                  </w:pPr>
                  <w:r>
                    <w:rPr>
                      <w:color w:val="auto"/>
                      <w:szCs w:val="21"/>
                    </w:rPr>
                    <w:t>达标</w:t>
                  </w:r>
                </w:p>
              </w:tc>
              <w:tc>
                <w:tcPr>
                  <w:tcW w:w="454" w:type="pct"/>
                  <w:vMerge w:val="continue"/>
                  <w:vAlign w:val="center"/>
                </w:tcPr>
                <w:p w14:paraId="54C70413">
                  <w:pPr>
                    <w:jc w:val="center"/>
                    <w:rPr>
                      <w:color w:val="auto"/>
                      <w:szCs w:val="21"/>
                    </w:rPr>
                  </w:pPr>
                </w:p>
              </w:tc>
              <w:tc>
                <w:tcPr>
                  <w:tcW w:w="740" w:type="pct"/>
                  <w:vMerge w:val="continue"/>
                  <w:vAlign w:val="center"/>
                </w:tcPr>
                <w:p w14:paraId="5B34FB98">
                  <w:pPr>
                    <w:jc w:val="center"/>
                    <w:rPr>
                      <w:color w:val="auto"/>
                      <w:szCs w:val="21"/>
                    </w:rPr>
                  </w:pPr>
                </w:p>
              </w:tc>
            </w:tr>
            <w:tr w14:paraId="168AE1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19" w:type="pct"/>
                  <w:shd w:val="clear" w:color="auto" w:fill="auto"/>
                  <w:vAlign w:val="center"/>
                </w:tcPr>
                <w:p w14:paraId="2A387F00">
                  <w:pPr>
                    <w:jc w:val="center"/>
                    <w:rPr>
                      <w:rFonts w:hint="default" w:eastAsia="宋体"/>
                      <w:b/>
                      <w:color w:val="auto"/>
                      <w:szCs w:val="21"/>
                      <w:lang w:val="en-US" w:eastAsia="zh-CN"/>
                    </w:rPr>
                  </w:pPr>
                  <w:r>
                    <w:rPr>
                      <w:rFonts w:hint="eastAsia"/>
                      <w:b/>
                      <w:color w:val="auto"/>
                      <w:szCs w:val="21"/>
                      <w:lang w:val="en-US" w:eastAsia="zh-CN"/>
                    </w:rPr>
                    <w:t>BOD</w:t>
                  </w:r>
                  <w:r>
                    <w:rPr>
                      <w:rFonts w:hint="eastAsia"/>
                      <w:b/>
                      <w:color w:val="auto"/>
                      <w:szCs w:val="21"/>
                      <w:vertAlign w:val="subscript"/>
                      <w:lang w:val="en-US" w:eastAsia="zh-CN"/>
                    </w:rPr>
                    <w:t>5</w:t>
                  </w:r>
                </w:p>
              </w:tc>
              <w:tc>
                <w:tcPr>
                  <w:tcW w:w="1042" w:type="pct"/>
                  <w:shd w:val="clear" w:color="auto" w:fill="auto"/>
                  <w:vAlign w:val="center"/>
                </w:tcPr>
                <w:p w14:paraId="1149AB9F">
                  <w:pPr>
                    <w:jc w:val="center"/>
                    <w:rPr>
                      <w:rFonts w:hint="default" w:eastAsia="宋体"/>
                      <w:color w:val="auto"/>
                      <w:szCs w:val="21"/>
                      <w:lang w:val="en-US" w:eastAsia="zh-CN"/>
                    </w:rPr>
                  </w:pPr>
                  <w:r>
                    <w:rPr>
                      <w:rFonts w:hint="eastAsia"/>
                      <w:color w:val="auto"/>
                      <w:szCs w:val="21"/>
                      <w:lang w:val="en-US" w:eastAsia="zh-CN"/>
                    </w:rPr>
                    <w:t>107</w:t>
                  </w:r>
                </w:p>
              </w:tc>
              <w:tc>
                <w:tcPr>
                  <w:tcW w:w="682" w:type="pct"/>
                  <w:shd w:val="clear" w:color="auto" w:fill="auto"/>
                  <w:vAlign w:val="center"/>
                </w:tcPr>
                <w:p w14:paraId="2A858BDC">
                  <w:pPr>
                    <w:jc w:val="center"/>
                    <w:rPr>
                      <w:rFonts w:hint="default"/>
                      <w:color w:val="auto"/>
                      <w:szCs w:val="21"/>
                      <w:lang w:val="en-US" w:eastAsia="zh-CN"/>
                    </w:rPr>
                  </w:pPr>
                  <w:r>
                    <w:rPr>
                      <w:rFonts w:hint="eastAsia"/>
                      <w:color w:val="auto"/>
                      <w:szCs w:val="21"/>
                      <w:lang w:val="en-US" w:eastAsia="zh-CN"/>
                    </w:rPr>
                    <w:t>0.162</w:t>
                  </w:r>
                </w:p>
              </w:tc>
              <w:tc>
                <w:tcPr>
                  <w:tcW w:w="664" w:type="pct"/>
                  <w:shd w:val="clear" w:color="auto" w:fill="auto"/>
                  <w:vAlign w:val="center"/>
                </w:tcPr>
                <w:p w14:paraId="79122E7C">
                  <w:pPr>
                    <w:jc w:val="center"/>
                    <w:rPr>
                      <w:rFonts w:hint="default" w:eastAsia="宋体"/>
                      <w:color w:val="auto"/>
                      <w:szCs w:val="21"/>
                      <w:lang w:val="en-US" w:eastAsia="zh-CN"/>
                    </w:rPr>
                  </w:pPr>
                  <w:r>
                    <w:rPr>
                      <w:rFonts w:hint="eastAsia"/>
                      <w:color w:val="auto"/>
                      <w:szCs w:val="21"/>
                      <w:lang w:val="en-US" w:eastAsia="zh-CN"/>
                    </w:rPr>
                    <w:t>150</w:t>
                  </w:r>
                </w:p>
              </w:tc>
              <w:tc>
                <w:tcPr>
                  <w:tcW w:w="496" w:type="pct"/>
                  <w:vAlign w:val="center"/>
                </w:tcPr>
                <w:p w14:paraId="43456096">
                  <w:pPr>
                    <w:jc w:val="center"/>
                    <w:rPr>
                      <w:rFonts w:hint="eastAsia"/>
                      <w:color w:val="auto"/>
                      <w:szCs w:val="21"/>
                      <w:lang w:val="en-US" w:eastAsia="zh-CN"/>
                    </w:rPr>
                  </w:pPr>
                  <w:r>
                    <w:rPr>
                      <w:color w:val="auto"/>
                      <w:szCs w:val="21"/>
                    </w:rPr>
                    <w:t>达标</w:t>
                  </w:r>
                </w:p>
              </w:tc>
              <w:tc>
                <w:tcPr>
                  <w:tcW w:w="454" w:type="pct"/>
                  <w:vMerge w:val="continue"/>
                  <w:vAlign w:val="center"/>
                </w:tcPr>
                <w:p w14:paraId="363616F7">
                  <w:pPr>
                    <w:jc w:val="center"/>
                    <w:rPr>
                      <w:color w:val="auto"/>
                      <w:szCs w:val="21"/>
                    </w:rPr>
                  </w:pPr>
                </w:p>
              </w:tc>
              <w:tc>
                <w:tcPr>
                  <w:tcW w:w="740" w:type="pct"/>
                  <w:vMerge w:val="continue"/>
                  <w:vAlign w:val="center"/>
                </w:tcPr>
                <w:p w14:paraId="763D2D66">
                  <w:pPr>
                    <w:jc w:val="center"/>
                    <w:rPr>
                      <w:color w:val="auto"/>
                      <w:szCs w:val="21"/>
                    </w:rPr>
                  </w:pPr>
                </w:p>
              </w:tc>
            </w:tr>
            <w:tr w14:paraId="19C135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19" w:type="pct"/>
                  <w:shd w:val="clear" w:color="auto" w:fill="auto"/>
                  <w:vAlign w:val="center"/>
                </w:tcPr>
                <w:p w14:paraId="7925C85A">
                  <w:pPr>
                    <w:jc w:val="center"/>
                    <w:rPr>
                      <w:rFonts w:hint="default" w:eastAsia="宋体"/>
                      <w:b/>
                      <w:color w:val="auto"/>
                      <w:szCs w:val="21"/>
                      <w:lang w:val="en-US" w:eastAsia="zh-CN"/>
                    </w:rPr>
                  </w:pPr>
                  <w:r>
                    <w:rPr>
                      <w:rFonts w:hint="eastAsia"/>
                      <w:b/>
                      <w:color w:val="auto"/>
                      <w:szCs w:val="21"/>
                      <w:lang w:val="en-US" w:eastAsia="zh-CN"/>
                    </w:rPr>
                    <w:t>TP</w:t>
                  </w:r>
                </w:p>
              </w:tc>
              <w:tc>
                <w:tcPr>
                  <w:tcW w:w="1042" w:type="pct"/>
                  <w:shd w:val="clear" w:color="auto" w:fill="auto"/>
                  <w:vAlign w:val="center"/>
                </w:tcPr>
                <w:p w14:paraId="547BC7FE">
                  <w:pPr>
                    <w:jc w:val="center"/>
                    <w:rPr>
                      <w:rFonts w:hint="default" w:eastAsia="宋体"/>
                      <w:color w:val="auto"/>
                      <w:szCs w:val="21"/>
                      <w:lang w:val="en-US" w:eastAsia="zh-CN"/>
                    </w:rPr>
                  </w:pPr>
                  <w:r>
                    <w:rPr>
                      <w:rFonts w:hint="eastAsia"/>
                      <w:color w:val="auto"/>
                      <w:szCs w:val="21"/>
                      <w:lang w:val="en-US" w:eastAsia="zh-CN"/>
                    </w:rPr>
                    <w:t>2.84</w:t>
                  </w:r>
                </w:p>
              </w:tc>
              <w:tc>
                <w:tcPr>
                  <w:tcW w:w="682" w:type="pct"/>
                  <w:shd w:val="clear" w:color="auto" w:fill="auto"/>
                  <w:vAlign w:val="center"/>
                </w:tcPr>
                <w:p w14:paraId="02F2295A">
                  <w:pPr>
                    <w:jc w:val="center"/>
                    <w:rPr>
                      <w:rFonts w:hint="default"/>
                      <w:color w:val="auto"/>
                      <w:szCs w:val="21"/>
                      <w:lang w:val="en-US" w:eastAsia="zh-CN"/>
                    </w:rPr>
                  </w:pPr>
                  <w:r>
                    <w:rPr>
                      <w:rFonts w:hint="eastAsia"/>
                      <w:color w:val="auto"/>
                      <w:szCs w:val="21"/>
                      <w:lang w:val="en-US" w:eastAsia="zh-CN"/>
                    </w:rPr>
                    <w:t>0.004</w:t>
                  </w:r>
                </w:p>
              </w:tc>
              <w:tc>
                <w:tcPr>
                  <w:tcW w:w="664" w:type="pct"/>
                  <w:shd w:val="clear" w:color="auto" w:fill="auto"/>
                  <w:vAlign w:val="center"/>
                </w:tcPr>
                <w:p w14:paraId="54CBB8F2">
                  <w:pPr>
                    <w:jc w:val="center"/>
                    <w:rPr>
                      <w:rFonts w:hint="eastAsia" w:eastAsia="宋体"/>
                      <w:color w:val="auto"/>
                      <w:szCs w:val="21"/>
                      <w:lang w:val="en-US" w:eastAsia="zh-CN"/>
                    </w:rPr>
                  </w:pPr>
                  <w:r>
                    <w:rPr>
                      <w:rFonts w:hint="eastAsia"/>
                      <w:color w:val="auto"/>
                      <w:szCs w:val="21"/>
                      <w:lang w:val="en-US" w:eastAsia="zh-CN"/>
                    </w:rPr>
                    <w:t>3</w:t>
                  </w:r>
                </w:p>
              </w:tc>
              <w:tc>
                <w:tcPr>
                  <w:tcW w:w="496" w:type="pct"/>
                  <w:vAlign w:val="center"/>
                </w:tcPr>
                <w:p w14:paraId="4D86750A">
                  <w:pPr>
                    <w:jc w:val="center"/>
                    <w:rPr>
                      <w:rFonts w:hint="eastAsia"/>
                      <w:color w:val="auto"/>
                      <w:szCs w:val="21"/>
                      <w:lang w:val="en-US" w:eastAsia="zh-CN"/>
                    </w:rPr>
                  </w:pPr>
                  <w:r>
                    <w:rPr>
                      <w:color w:val="auto"/>
                      <w:szCs w:val="21"/>
                    </w:rPr>
                    <w:t>达标</w:t>
                  </w:r>
                </w:p>
              </w:tc>
              <w:tc>
                <w:tcPr>
                  <w:tcW w:w="454" w:type="pct"/>
                  <w:vMerge w:val="continue"/>
                  <w:vAlign w:val="center"/>
                </w:tcPr>
                <w:p w14:paraId="62E33A19">
                  <w:pPr>
                    <w:jc w:val="center"/>
                    <w:rPr>
                      <w:color w:val="auto"/>
                      <w:szCs w:val="21"/>
                    </w:rPr>
                  </w:pPr>
                </w:p>
              </w:tc>
              <w:tc>
                <w:tcPr>
                  <w:tcW w:w="740" w:type="pct"/>
                  <w:vMerge w:val="continue"/>
                  <w:vAlign w:val="center"/>
                </w:tcPr>
                <w:p w14:paraId="2E384D92">
                  <w:pPr>
                    <w:jc w:val="center"/>
                    <w:rPr>
                      <w:color w:val="auto"/>
                      <w:szCs w:val="21"/>
                    </w:rPr>
                  </w:pPr>
                </w:p>
              </w:tc>
            </w:tr>
            <w:tr w14:paraId="1220DB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19" w:type="pct"/>
                  <w:shd w:val="clear" w:color="auto" w:fill="auto"/>
                  <w:vAlign w:val="center"/>
                </w:tcPr>
                <w:p w14:paraId="0148A914">
                  <w:pPr>
                    <w:jc w:val="center"/>
                    <w:rPr>
                      <w:rFonts w:hint="default" w:eastAsia="宋体"/>
                      <w:b/>
                      <w:color w:val="auto"/>
                      <w:szCs w:val="21"/>
                      <w:lang w:val="en-US" w:eastAsia="zh-CN"/>
                    </w:rPr>
                  </w:pPr>
                  <w:r>
                    <w:rPr>
                      <w:rFonts w:hint="eastAsia"/>
                      <w:b/>
                      <w:color w:val="auto"/>
                      <w:szCs w:val="21"/>
                      <w:lang w:val="en-US" w:eastAsia="zh-CN"/>
                    </w:rPr>
                    <w:t>TN</w:t>
                  </w:r>
                </w:p>
              </w:tc>
              <w:tc>
                <w:tcPr>
                  <w:tcW w:w="1042" w:type="pct"/>
                  <w:shd w:val="clear" w:color="auto" w:fill="auto"/>
                  <w:vAlign w:val="center"/>
                </w:tcPr>
                <w:p w14:paraId="20E9C88B">
                  <w:pPr>
                    <w:jc w:val="center"/>
                    <w:rPr>
                      <w:rFonts w:hint="default" w:eastAsia="宋体"/>
                      <w:color w:val="auto"/>
                      <w:szCs w:val="21"/>
                      <w:lang w:val="en-US" w:eastAsia="zh-CN"/>
                    </w:rPr>
                  </w:pPr>
                  <w:r>
                    <w:rPr>
                      <w:rFonts w:hint="eastAsia"/>
                      <w:color w:val="auto"/>
                      <w:szCs w:val="21"/>
                      <w:lang w:val="en-US" w:eastAsia="zh-CN"/>
                    </w:rPr>
                    <w:t>28.9</w:t>
                  </w:r>
                </w:p>
              </w:tc>
              <w:tc>
                <w:tcPr>
                  <w:tcW w:w="682" w:type="pct"/>
                  <w:shd w:val="clear" w:color="auto" w:fill="auto"/>
                  <w:vAlign w:val="center"/>
                </w:tcPr>
                <w:p w14:paraId="366517A4">
                  <w:pPr>
                    <w:jc w:val="center"/>
                    <w:rPr>
                      <w:rFonts w:hint="default"/>
                      <w:color w:val="auto"/>
                      <w:szCs w:val="21"/>
                      <w:lang w:val="en-US" w:eastAsia="zh-CN"/>
                    </w:rPr>
                  </w:pPr>
                  <w:r>
                    <w:rPr>
                      <w:rFonts w:hint="eastAsia"/>
                      <w:color w:val="auto"/>
                      <w:szCs w:val="21"/>
                      <w:lang w:val="en-US" w:eastAsia="zh-CN"/>
                    </w:rPr>
                    <w:t>0.044</w:t>
                  </w:r>
                </w:p>
              </w:tc>
              <w:tc>
                <w:tcPr>
                  <w:tcW w:w="664" w:type="pct"/>
                  <w:shd w:val="clear" w:color="auto" w:fill="auto"/>
                  <w:vAlign w:val="center"/>
                </w:tcPr>
                <w:p w14:paraId="1EAA4D39">
                  <w:pPr>
                    <w:jc w:val="center"/>
                    <w:rPr>
                      <w:rFonts w:hint="default" w:eastAsia="宋体"/>
                      <w:color w:val="auto"/>
                      <w:szCs w:val="21"/>
                      <w:lang w:val="en-US" w:eastAsia="zh-CN"/>
                    </w:rPr>
                  </w:pPr>
                  <w:r>
                    <w:rPr>
                      <w:rFonts w:hint="eastAsia"/>
                      <w:color w:val="auto"/>
                      <w:szCs w:val="21"/>
                      <w:lang w:val="en-US" w:eastAsia="zh-CN"/>
                    </w:rPr>
                    <w:t>30</w:t>
                  </w:r>
                </w:p>
              </w:tc>
              <w:tc>
                <w:tcPr>
                  <w:tcW w:w="496" w:type="pct"/>
                  <w:vAlign w:val="center"/>
                </w:tcPr>
                <w:p w14:paraId="76523666">
                  <w:pPr>
                    <w:jc w:val="center"/>
                    <w:rPr>
                      <w:rFonts w:hint="eastAsia"/>
                      <w:color w:val="auto"/>
                      <w:szCs w:val="21"/>
                      <w:lang w:val="en-US" w:eastAsia="zh-CN"/>
                    </w:rPr>
                  </w:pPr>
                  <w:r>
                    <w:rPr>
                      <w:color w:val="auto"/>
                      <w:szCs w:val="21"/>
                    </w:rPr>
                    <w:t>达标</w:t>
                  </w:r>
                </w:p>
              </w:tc>
              <w:tc>
                <w:tcPr>
                  <w:tcW w:w="454" w:type="pct"/>
                  <w:vMerge w:val="continue"/>
                  <w:vAlign w:val="center"/>
                </w:tcPr>
                <w:p w14:paraId="28C03C63">
                  <w:pPr>
                    <w:jc w:val="center"/>
                    <w:rPr>
                      <w:color w:val="auto"/>
                      <w:szCs w:val="21"/>
                    </w:rPr>
                  </w:pPr>
                </w:p>
              </w:tc>
              <w:tc>
                <w:tcPr>
                  <w:tcW w:w="740" w:type="pct"/>
                  <w:vMerge w:val="continue"/>
                  <w:vAlign w:val="center"/>
                </w:tcPr>
                <w:p w14:paraId="596DF8CB">
                  <w:pPr>
                    <w:jc w:val="center"/>
                    <w:rPr>
                      <w:color w:val="auto"/>
                      <w:szCs w:val="21"/>
                    </w:rPr>
                  </w:pPr>
                </w:p>
              </w:tc>
            </w:tr>
            <w:tr w14:paraId="4B30FF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919" w:type="pct"/>
                  <w:vAlign w:val="center"/>
                </w:tcPr>
                <w:p w14:paraId="447F0C0D">
                  <w:pPr>
                    <w:jc w:val="center"/>
                    <w:rPr>
                      <w:rFonts w:hint="eastAsia" w:eastAsia="宋体"/>
                      <w:b/>
                      <w:color w:val="auto"/>
                      <w:szCs w:val="21"/>
                      <w:lang w:val="en-US" w:eastAsia="zh-CN"/>
                    </w:rPr>
                  </w:pPr>
                  <w:r>
                    <w:rPr>
                      <w:rFonts w:hint="eastAsia"/>
                      <w:b/>
                      <w:color w:val="auto"/>
                      <w:szCs w:val="21"/>
                      <w:lang w:val="en-US" w:eastAsia="zh-CN"/>
                    </w:rPr>
                    <w:t>石油类</w:t>
                  </w:r>
                </w:p>
              </w:tc>
              <w:tc>
                <w:tcPr>
                  <w:tcW w:w="1042" w:type="pct"/>
                  <w:vAlign w:val="center"/>
                </w:tcPr>
                <w:p w14:paraId="322E0D40">
                  <w:pPr>
                    <w:jc w:val="center"/>
                    <w:rPr>
                      <w:rFonts w:hint="default" w:eastAsia="宋体"/>
                      <w:color w:val="auto"/>
                      <w:szCs w:val="21"/>
                      <w:lang w:val="en-US" w:eastAsia="zh-CN"/>
                    </w:rPr>
                  </w:pPr>
                  <w:r>
                    <w:rPr>
                      <w:rFonts w:hint="eastAsia"/>
                      <w:color w:val="auto"/>
                      <w:szCs w:val="21"/>
                      <w:lang w:val="en-US" w:eastAsia="zh-CN"/>
                    </w:rPr>
                    <w:t>2.64</w:t>
                  </w:r>
                </w:p>
              </w:tc>
              <w:tc>
                <w:tcPr>
                  <w:tcW w:w="682" w:type="pct"/>
                  <w:shd w:val="clear" w:color="auto" w:fill="auto"/>
                  <w:vAlign w:val="center"/>
                </w:tcPr>
                <w:p w14:paraId="1F725201">
                  <w:pPr>
                    <w:jc w:val="center"/>
                    <w:rPr>
                      <w:rFonts w:hint="default"/>
                      <w:color w:val="auto"/>
                      <w:szCs w:val="21"/>
                      <w:lang w:val="en-US" w:eastAsia="zh-CN"/>
                    </w:rPr>
                  </w:pPr>
                  <w:r>
                    <w:rPr>
                      <w:rFonts w:hint="eastAsia"/>
                      <w:color w:val="auto"/>
                      <w:szCs w:val="21"/>
                      <w:lang w:val="en-US" w:eastAsia="zh-CN"/>
                    </w:rPr>
                    <w:t>0.004</w:t>
                  </w:r>
                </w:p>
              </w:tc>
              <w:tc>
                <w:tcPr>
                  <w:tcW w:w="664" w:type="pct"/>
                  <w:shd w:val="clear" w:color="auto" w:fill="auto"/>
                  <w:vAlign w:val="center"/>
                </w:tcPr>
                <w:p w14:paraId="3246125B">
                  <w:pPr>
                    <w:jc w:val="center"/>
                    <w:rPr>
                      <w:rFonts w:hint="default" w:eastAsia="宋体"/>
                      <w:color w:val="auto"/>
                      <w:szCs w:val="21"/>
                      <w:lang w:val="en-US" w:eastAsia="zh-CN"/>
                    </w:rPr>
                  </w:pPr>
                  <w:r>
                    <w:rPr>
                      <w:rFonts w:hint="eastAsia"/>
                      <w:color w:val="auto"/>
                      <w:szCs w:val="21"/>
                      <w:lang w:val="en-US" w:eastAsia="zh-CN"/>
                    </w:rPr>
                    <w:t>10</w:t>
                  </w:r>
                </w:p>
              </w:tc>
              <w:tc>
                <w:tcPr>
                  <w:tcW w:w="496" w:type="pct"/>
                  <w:vAlign w:val="center"/>
                </w:tcPr>
                <w:p w14:paraId="617B6325">
                  <w:pPr>
                    <w:jc w:val="center"/>
                    <w:rPr>
                      <w:rFonts w:hint="eastAsia"/>
                      <w:color w:val="auto"/>
                      <w:szCs w:val="21"/>
                      <w:lang w:val="en-US" w:eastAsia="zh-CN"/>
                    </w:rPr>
                  </w:pPr>
                  <w:r>
                    <w:rPr>
                      <w:color w:val="auto"/>
                      <w:szCs w:val="21"/>
                    </w:rPr>
                    <w:t>达标</w:t>
                  </w:r>
                </w:p>
              </w:tc>
              <w:tc>
                <w:tcPr>
                  <w:tcW w:w="454" w:type="pct"/>
                  <w:vMerge w:val="continue"/>
                  <w:vAlign w:val="center"/>
                </w:tcPr>
                <w:p w14:paraId="24E2DC4D">
                  <w:pPr>
                    <w:jc w:val="center"/>
                    <w:rPr>
                      <w:color w:val="auto"/>
                      <w:szCs w:val="21"/>
                    </w:rPr>
                  </w:pPr>
                </w:p>
              </w:tc>
              <w:tc>
                <w:tcPr>
                  <w:tcW w:w="740" w:type="pct"/>
                  <w:vMerge w:val="continue"/>
                  <w:vAlign w:val="center"/>
                </w:tcPr>
                <w:p w14:paraId="2037DC0F">
                  <w:pPr>
                    <w:jc w:val="center"/>
                    <w:rPr>
                      <w:color w:val="auto"/>
                      <w:szCs w:val="21"/>
                    </w:rPr>
                  </w:pPr>
                </w:p>
              </w:tc>
            </w:tr>
          </w:tbl>
          <w:p w14:paraId="5EACFB56">
            <w:pPr>
              <w:pStyle w:val="6"/>
              <w:spacing w:before="120" w:beforeLines="50" w:line="360" w:lineRule="auto"/>
              <w:ind w:firstLine="480" w:firstLineChars="200"/>
              <w:rPr>
                <w:rFonts w:hint="eastAsia"/>
                <w:color w:val="auto"/>
                <w:szCs w:val="24"/>
              </w:rPr>
            </w:pPr>
            <w:r>
              <w:rPr>
                <w:rFonts w:hint="eastAsia"/>
                <w:color w:val="auto"/>
                <w:szCs w:val="24"/>
              </w:rPr>
              <w:t>（3</w:t>
            </w:r>
            <w:r>
              <w:rPr>
                <w:rFonts w:hint="eastAsia"/>
                <w:color w:val="auto"/>
                <w:szCs w:val="24"/>
                <w:lang w:eastAsia="zh-CN"/>
              </w:rPr>
              <w:t>）</w:t>
            </w:r>
            <w:r>
              <w:rPr>
                <w:rFonts w:hint="eastAsia"/>
                <w:color w:val="auto"/>
                <w:szCs w:val="24"/>
                <w:lang w:val="en-US" w:eastAsia="zh-CN"/>
              </w:rPr>
              <w:t>污染防治措施</w:t>
            </w:r>
            <w:r>
              <w:rPr>
                <w:rFonts w:hint="eastAsia"/>
                <w:color w:val="auto"/>
                <w:szCs w:val="24"/>
              </w:rPr>
              <w:t>可行性分析</w:t>
            </w:r>
          </w:p>
          <w:p w14:paraId="773EAB35">
            <w:pPr>
              <w:pStyle w:val="6"/>
              <w:spacing w:line="360" w:lineRule="auto"/>
              <w:ind w:firstLine="480" w:firstLineChars="200"/>
              <w:rPr>
                <w:rFonts w:hint="eastAsia"/>
                <w:color w:val="auto"/>
                <w:szCs w:val="24"/>
                <w:lang w:val="en-US" w:eastAsia="zh-CN"/>
              </w:rPr>
            </w:pPr>
            <w:r>
              <w:rPr>
                <w:rFonts w:hint="eastAsia"/>
                <w:color w:val="auto"/>
                <w:lang w:val="en-US" w:eastAsia="zh-CN"/>
              </w:rPr>
              <w:t>本项目</w:t>
            </w:r>
            <w:r>
              <w:rPr>
                <w:rFonts w:hint="eastAsia"/>
                <w:color w:val="auto"/>
                <w:szCs w:val="24"/>
              </w:rPr>
              <w:t>钣喷中心地面拖地废水和洗车废水，产生量为841.75m</w:t>
            </w:r>
            <w:r>
              <w:rPr>
                <w:rFonts w:hint="eastAsia"/>
                <w:color w:val="auto"/>
                <w:szCs w:val="24"/>
                <w:vertAlign w:val="superscript"/>
              </w:rPr>
              <w:t>3</w:t>
            </w:r>
            <w:r>
              <w:rPr>
                <w:rFonts w:hint="eastAsia"/>
                <w:color w:val="auto"/>
                <w:szCs w:val="24"/>
              </w:rPr>
              <w:t>/a，</w:t>
            </w:r>
            <w:r>
              <w:rPr>
                <w:rFonts w:hint="eastAsia"/>
                <w:color w:val="auto"/>
                <w:szCs w:val="24"/>
                <w:lang w:val="en-US" w:eastAsia="zh-CN"/>
              </w:rPr>
              <w:t>平均每天产生量为2.31</w:t>
            </w:r>
            <w:r>
              <w:rPr>
                <w:rFonts w:hint="eastAsia"/>
                <w:color w:val="auto"/>
                <w:szCs w:val="24"/>
              </w:rPr>
              <w:t>m</w:t>
            </w:r>
            <w:r>
              <w:rPr>
                <w:rFonts w:hint="eastAsia"/>
                <w:color w:val="auto"/>
                <w:szCs w:val="24"/>
                <w:vertAlign w:val="superscript"/>
              </w:rPr>
              <w:t>3</w:t>
            </w:r>
            <w:r>
              <w:rPr>
                <w:rFonts w:hint="eastAsia"/>
                <w:color w:val="auto"/>
                <w:szCs w:val="24"/>
              </w:rPr>
              <w:t>/</w:t>
            </w:r>
            <w:r>
              <w:rPr>
                <w:rFonts w:hint="eastAsia"/>
                <w:color w:val="auto"/>
                <w:szCs w:val="24"/>
                <w:lang w:val="en-US" w:eastAsia="zh-CN"/>
              </w:rPr>
              <w:t>d（0.288</w:t>
            </w:r>
            <w:r>
              <w:rPr>
                <w:rFonts w:hint="eastAsia"/>
                <w:color w:val="auto"/>
                <w:szCs w:val="24"/>
              </w:rPr>
              <w:t>m</w:t>
            </w:r>
            <w:r>
              <w:rPr>
                <w:rFonts w:hint="eastAsia"/>
                <w:color w:val="auto"/>
                <w:szCs w:val="24"/>
                <w:vertAlign w:val="superscript"/>
              </w:rPr>
              <w:t>3</w:t>
            </w:r>
            <w:r>
              <w:rPr>
                <w:rFonts w:hint="eastAsia"/>
                <w:color w:val="auto"/>
                <w:szCs w:val="24"/>
              </w:rPr>
              <w:t>/</w:t>
            </w:r>
            <w:r>
              <w:rPr>
                <w:rFonts w:hint="eastAsia"/>
                <w:color w:val="auto"/>
                <w:szCs w:val="24"/>
                <w:lang w:val="en-US" w:eastAsia="zh-CN"/>
              </w:rPr>
              <w:t>h）</w:t>
            </w:r>
            <w:r>
              <w:rPr>
                <w:rFonts w:hint="eastAsia"/>
                <w:color w:val="auto"/>
                <w:szCs w:val="24"/>
                <w:lang w:eastAsia="zh-CN"/>
              </w:rPr>
              <w:t>，</w:t>
            </w:r>
            <w:r>
              <w:rPr>
                <w:rFonts w:hint="eastAsia"/>
                <w:color w:val="auto"/>
                <w:szCs w:val="24"/>
                <w:lang w:val="en-US" w:eastAsia="zh-CN"/>
              </w:rPr>
              <w:t>设计隔油池+沉淀池总容积为10</w:t>
            </w:r>
            <w:r>
              <w:rPr>
                <w:rFonts w:hint="eastAsia"/>
                <w:color w:val="auto"/>
                <w:szCs w:val="24"/>
              </w:rPr>
              <w:t>m</w:t>
            </w:r>
            <w:r>
              <w:rPr>
                <w:rFonts w:hint="eastAsia"/>
                <w:color w:val="auto"/>
                <w:szCs w:val="24"/>
                <w:vertAlign w:val="superscript"/>
              </w:rPr>
              <w:t>3</w:t>
            </w:r>
            <w:r>
              <w:rPr>
                <w:rFonts w:hint="eastAsia"/>
                <w:color w:val="auto"/>
                <w:szCs w:val="24"/>
              </w:rPr>
              <w:t>，</w:t>
            </w:r>
            <w:r>
              <w:rPr>
                <w:rFonts w:hint="eastAsia"/>
                <w:color w:val="auto"/>
                <w:szCs w:val="24"/>
                <w:lang w:val="en-US" w:eastAsia="zh-CN"/>
              </w:rPr>
              <w:t>经计算停留时间为34.7h，每天工作时间8h，沉淀池总容积可覆盖4天废水储存需求，无溢流风险，因此本项目采用“隔油池（5</w:t>
            </w:r>
            <w:r>
              <w:rPr>
                <w:rFonts w:hint="eastAsia"/>
                <w:color w:val="auto"/>
                <w:szCs w:val="24"/>
              </w:rPr>
              <w:t>m</w:t>
            </w:r>
            <w:r>
              <w:rPr>
                <w:rFonts w:hint="eastAsia"/>
                <w:color w:val="auto"/>
                <w:szCs w:val="24"/>
                <w:vertAlign w:val="superscript"/>
              </w:rPr>
              <w:t>3</w:t>
            </w:r>
            <w:r>
              <w:rPr>
                <w:rFonts w:hint="eastAsia"/>
                <w:color w:val="auto"/>
                <w:szCs w:val="24"/>
                <w:lang w:val="en-US" w:eastAsia="zh-CN"/>
              </w:rPr>
              <w:t>）+沉淀池（5</w:t>
            </w:r>
            <w:r>
              <w:rPr>
                <w:rFonts w:hint="eastAsia"/>
                <w:color w:val="auto"/>
                <w:szCs w:val="24"/>
              </w:rPr>
              <w:t>m</w:t>
            </w:r>
            <w:r>
              <w:rPr>
                <w:rFonts w:hint="eastAsia"/>
                <w:color w:val="auto"/>
                <w:szCs w:val="24"/>
                <w:vertAlign w:val="superscript"/>
              </w:rPr>
              <w:t>3</w:t>
            </w:r>
            <w:r>
              <w:rPr>
                <w:rFonts w:hint="eastAsia"/>
                <w:color w:val="auto"/>
                <w:szCs w:val="24"/>
                <w:lang w:val="en-US" w:eastAsia="zh-CN"/>
              </w:rPr>
              <w:t>）”措施可行。</w:t>
            </w:r>
          </w:p>
          <w:p w14:paraId="30F7AB56">
            <w:pPr>
              <w:pStyle w:val="6"/>
              <w:spacing w:line="360" w:lineRule="auto"/>
              <w:ind w:firstLine="480" w:firstLineChars="200"/>
              <w:rPr>
                <w:rFonts w:hint="eastAsia"/>
                <w:color w:val="auto"/>
                <w:szCs w:val="24"/>
              </w:rPr>
            </w:pPr>
            <w:r>
              <w:rPr>
                <w:rFonts w:hint="eastAsia"/>
                <w:color w:val="auto"/>
              </w:rPr>
              <w:t>生活污水依托</w:t>
            </w:r>
            <w:r>
              <w:rPr>
                <w:rFonts w:hint="eastAsia"/>
                <w:color w:val="auto"/>
                <w:lang w:val="en-US" w:eastAsia="zh-CN"/>
              </w:rPr>
              <w:t>租赁产业园</w:t>
            </w:r>
            <w:r>
              <w:rPr>
                <w:color w:val="auto"/>
              </w:rPr>
              <w:t>化粪池</w:t>
            </w:r>
            <w:r>
              <w:rPr>
                <w:rFonts w:hint="eastAsia"/>
                <w:color w:val="auto"/>
              </w:rPr>
              <w:t>（化粪池位于</w:t>
            </w:r>
            <w:r>
              <w:rPr>
                <w:rFonts w:hint="eastAsia"/>
                <w:color w:val="auto"/>
                <w:lang w:val="en-US" w:eastAsia="zh-CN"/>
              </w:rPr>
              <w:t>租赁厂房南侧</w:t>
            </w:r>
            <w:r>
              <w:rPr>
                <w:rFonts w:hint="eastAsia"/>
                <w:color w:val="auto"/>
              </w:rPr>
              <w:t>）处理</w:t>
            </w:r>
            <w:r>
              <w:rPr>
                <w:color w:val="auto"/>
              </w:rPr>
              <w:t>，</w:t>
            </w:r>
            <w:r>
              <w:rPr>
                <w:rFonts w:hint="eastAsia"/>
                <w:color w:val="auto"/>
              </w:rPr>
              <w:t>化粪池目前余量约</w:t>
            </w:r>
            <w:r>
              <w:rPr>
                <w:rFonts w:hint="eastAsia"/>
                <w:color w:val="auto"/>
                <w:lang w:val="en-US" w:eastAsia="zh-CN"/>
              </w:rPr>
              <w:t>3</w:t>
            </w:r>
            <w:r>
              <w:rPr>
                <w:rFonts w:hint="eastAsia"/>
                <w:color w:val="auto"/>
              </w:rPr>
              <w:t>0m</w:t>
            </w:r>
            <w:r>
              <w:rPr>
                <w:rFonts w:hint="eastAsia"/>
                <w:color w:val="auto"/>
                <w:vertAlign w:val="superscript"/>
              </w:rPr>
              <w:t>3</w:t>
            </w:r>
            <w:r>
              <w:rPr>
                <w:rFonts w:hint="eastAsia"/>
                <w:color w:val="auto"/>
              </w:rPr>
              <w:t>/d，</w:t>
            </w:r>
            <w:r>
              <w:rPr>
                <w:color w:val="auto"/>
              </w:rPr>
              <w:t>本项目</w:t>
            </w:r>
            <w:r>
              <w:rPr>
                <w:rFonts w:hint="eastAsia"/>
                <w:color w:val="auto"/>
                <w:lang w:val="en-US" w:eastAsia="zh-CN"/>
              </w:rPr>
              <w:t>总</w:t>
            </w:r>
            <w:r>
              <w:rPr>
                <w:color w:val="auto"/>
              </w:rPr>
              <w:t>污水产生量为</w:t>
            </w:r>
            <w:r>
              <w:rPr>
                <w:rFonts w:hint="eastAsia"/>
                <w:color w:val="auto"/>
                <w:lang w:val="en-US" w:eastAsia="zh-CN"/>
              </w:rPr>
              <w:t>4.15</w:t>
            </w:r>
            <w:r>
              <w:rPr>
                <w:color w:val="auto"/>
              </w:rPr>
              <w:t>m</w:t>
            </w:r>
            <w:r>
              <w:rPr>
                <w:color w:val="auto"/>
                <w:vertAlign w:val="superscript"/>
              </w:rPr>
              <w:t>3</w:t>
            </w:r>
            <w:r>
              <w:rPr>
                <w:color w:val="auto"/>
              </w:rPr>
              <w:t>/d，</w:t>
            </w:r>
            <w:r>
              <w:rPr>
                <w:rFonts w:hint="eastAsia"/>
                <w:color w:val="auto"/>
                <w:szCs w:val="24"/>
              </w:rPr>
              <w:t>化粪池余量满足项目污水处理需求</w:t>
            </w:r>
            <w:r>
              <w:rPr>
                <w:rFonts w:hint="eastAsia"/>
                <w:color w:val="auto"/>
                <w:szCs w:val="24"/>
                <w:lang w:eastAsia="zh-CN"/>
              </w:rPr>
              <w:t>。</w:t>
            </w:r>
            <w:r>
              <w:rPr>
                <w:rFonts w:hint="eastAsia"/>
                <w:color w:val="auto"/>
                <w:szCs w:val="24"/>
                <w:lang w:val="en-US" w:eastAsia="zh-CN"/>
              </w:rPr>
              <w:t>生活污水、</w:t>
            </w:r>
            <w:r>
              <w:rPr>
                <w:rFonts w:hint="eastAsia"/>
                <w:color w:val="auto"/>
                <w:szCs w:val="24"/>
              </w:rPr>
              <w:t>钣喷中心地面拖地废水和洗车废水经化粪池后污染物排放浓度满足《汽车维修业水污染物排放标准》（GB26877-2011）表2中间接排放标准要求，因此，本项目依托</w:t>
            </w:r>
            <w:r>
              <w:rPr>
                <w:rFonts w:hint="eastAsia"/>
                <w:color w:val="auto"/>
                <w:szCs w:val="24"/>
                <w:lang w:val="en-US" w:eastAsia="zh-CN"/>
              </w:rPr>
              <w:t>产业园</w:t>
            </w:r>
            <w:r>
              <w:rPr>
                <w:rFonts w:hint="eastAsia"/>
                <w:color w:val="auto"/>
                <w:szCs w:val="24"/>
              </w:rPr>
              <w:t>化粪池可行。</w:t>
            </w:r>
          </w:p>
          <w:p w14:paraId="288DD0AE">
            <w:pPr>
              <w:keepNext w:val="0"/>
              <w:keepLines w:val="0"/>
              <w:pageBreakBefore w:val="0"/>
              <w:widowControl w:val="0"/>
              <w:kinsoku/>
              <w:wordWrap/>
              <w:overflowPunct/>
              <w:topLinePunct w:val="0"/>
              <w:autoSpaceDE/>
              <w:autoSpaceDN/>
              <w:bidi w:val="0"/>
              <w:adjustRightInd w:val="0"/>
              <w:snapToGrid/>
              <w:spacing w:line="384" w:lineRule="auto"/>
              <w:ind w:firstLine="480" w:firstLineChars="200"/>
              <w:textAlignment w:val="auto"/>
              <w:rPr>
                <w:rFonts w:hint="eastAsia"/>
                <w:color w:val="auto"/>
                <w:sz w:val="24"/>
                <w:lang w:bidi="ar"/>
              </w:rPr>
            </w:pPr>
            <w:r>
              <w:rPr>
                <w:rFonts w:hint="eastAsia"/>
                <w:color w:val="auto"/>
                <w:sz w:val="24"/>
                <w:lang w:bidi="ar"/>
              </w:rPr>
              <w:t>西安净水处理有限责任公司第六再生水厂位于</w:t>
            </w:r>
            <w:r>
              <w:rPr>
                <w:color w:val="auto"/>
                <w:sz w:val="24"/>
                <w:lang w:bidi="ar"/>
              </w:rPr>
              <w:t>西咸新区沣东新城，东经108.826492379°、北纬34.346173542°。污水处理规模为20万m³/d，设计进水水质指标：</w:t>
            </w:r>
            <w:r>
              <w:rPr>
                <w:rFonts w:hint="eastAsia"/>
                <w:color w:val="auto"/>
                <w:sz w:val="24"/>
                <w:lang w:bidi="ar"/>
              </w:rPr>
              <w:t>“</w:t>
            </w:r>
            <w:r>
              <w:rPr>
                <w:color w:val="auto"/>
                <w:sz w:val="24"/>
                <w:lang w:bidi="ar"/>
              </w:rPr>
              <w:t>COD470mg/L、BOD</w:t>
            </w:r>
            <w:r>
              <w:rPr>
                <w:color w:val="auto"/>
                <w:sz w:val="24"/>
                <w:vertAlign w:val="subscript"/>
                <w:lang w:bidi="ar"/>
              </w:rPr>
              <w:t>5</w:t>
            </w:r>
            <w:r>
              <w:rPr>
                <w:color w:val="auto"/>
                <w:sz w:val="24"/>
                <w:lang w:bidi="ar"/>
              </w:rPr>
              <w:t>230mg/L、SS300mg/L、氨氮36mg/L、TN50mg/L、TP5.0mg/L</w:t>
            </w:r>
            <w:r>
              <w:rPr>
                <w:rFonts w:hint="eastAsia"/>
                <w:color w:val="auto"/>
                <w:sz w:val="24"/>
                <w:lang w:bidi="ar"/>
              </w:rPr>
              <w:t>”</w:t>
            </w:r>
            <w:r>
              <w:rPr>
                <w:color w:val="auto"/>
                <w:sz w:val="24"/>
                <w:lang w:bidi="ar"/>
              </w:rPr>
              <w:t>，提标改造后污水处理工艺为：预处理（初沉池增设除臭）+五段Bardenpho（AAO模式，改造）+二沉池（现状利用）+高效沉淀池（设粉末活性炭应急投加）+V型滤池+次氯酸钠消毒，提标改造后污水处理厂尾水水质达到《西安市城镇污水处理厂再生水化提标改造和加盖除臭工程三年行动方案（2018-2020年）》（市政办发</w:t>
            </w:r>
            <w:r>
              <w:rPr>
                <w:rFonts w:hint="eastAsia"/>
                <w:color w:val="auto"/>
                <w:sz w:val="24"/>
                <w:lang w:bidi="ar"/>
              </w:rPr>
              <w:t>〔2018〕100号</w:t>
            </w:r>
            <w:r>
              <w:rPr>
                <w:color w:val="auto"/>
                <w:sz w:val="24"/>
                <w:lang w:bidi="ar"/>
              </w:rPr>
              <w:t>）地表水准Ⅳ类水质标准后排入太平河，汇入皂河</w:t>
            </w:r>
            <w:r>
              <w:rPr>
                <w:rFonts w:hint="eastAsia"/>
                <w:color w:val="auto"/>
                <w:sz w:val="24"/>
                <w:lang w:eastAsia="zh-CN" w:bidi="ar"/>
              </w:rPr>
              <w:t>。</w:t>
            </w:r>
            <w:r>
              <w:rPr>
                <w:rFonts w:hint="eastAsia"/>
                <w:color w:val="auto"/>
                <w:sz w:val="24"/>
                <w:lang w:bidi="ar"/>
              </w:rPr>
              <w:t>西安净水处理有限责任公司第六再生水厂</w:t>
            </w:r>
            <w:r>
              <w:rPr>
                <w:color w:val="auto"/>
                <w:sz w:val="24"/>
                <w:lang w:bidi="ar"/>
              </w:rPr>
              <w:t>服务范围包括：绕城高速-太平河沿线以东，西三环-皂河沿线以西，西户铁路以北，渭河以南的围合区域；并且包括西安市老城区三桥地区及福银高速以东部分地区。其中：属于沣东新城规划区域内建设区域服务面积约35.4km</w:t>
            </w:r>
            <w:r>
              <w:rPr>
                <w:color w:val="auto"/>
                <w:sz w:val="24"/>
                <w:vertAlign w:val="superscript"/>
                <w:lang w:bidi="ar"/>
              </w:rPr>
              <w:t>2</w:t>
            </w:r>
            <w:r>
              <w:rPr>
                <w:color w:val="auto"/>
                <w:sz w:val="24"/>
                <w:lang w:bidi="ar"/>
              </w:rPr>
              <w:t>，规划区外西安市老城区三桥地区服务面积5.1km</w:t>
            </w:r>
            <w:r>
              <w:rPr>
                <w:color w:val="auto"/>
                <w:sz w:val="24"/>
                <w:vertAlign w:val="superscript"/>
                <w:lang w:bidi="ar"/>
              </w:rPr>
              <w:t>2</w:t>
            </w:r>
            <w:r>
              <w:rPr>
                <w:color w:val="auto"/>
                <w:sz w:val="24"/>
                <w:lang w:bidi="ar"/>
              </w:rPr>
              <w:t>，福银高速以东部分地区服务面积2.2km</w:t>
            </w:r>
            <w:r>
              <w:rPr>
                <w:color w:val="auto"/>
                <w:sz w:val="24"/>
                <w:vertAlign w:val="superscript"/>
                <w:lang w:bidi="ar"/>
              </w:rPr>
              <w:t>2</w:t>
            </w:r>
            <w:r>
              <w:rPr>
                <w:color w:val="auto"/>
                <w:sz w:val="24"/>
                <w:lang w:bidi="ar"/>
              </w:rPr>
              <w:t>，污水处理厂总服务面积约42.7km</w:t>
            </w:r>
            <w:r>
              <w:rPr>
                <w:color w:val="auto"/>
                <w:sz w:val="24"/>
                <w:vertAlign w:val="superscript"/>
                <w:lang w:bidi="ar"/>
              </w:rPr>
              <w:t>2</w:t>
            </w:r>
            <w:r>
              <w:rPr>
                <w:color w:val="auto"/>
                <w:sz w:val="24"/>
                <w:lang w:bidi="ar"/>
              </w:rPr>
              <w:t>。</w:t>
            </w:r>
            <w:r>
              <w:rPr>
                <w:rFonts w:hint="eastAsia"/>
                <w:color w:val="auto"/>
                <w:sz w:val="24"/>
                <w:lang w:eastAsia="zh-CN" w:bidi="ar"/>
              </w:rPr>
              <w:t>本项目在</w:t>
            </w:r>
            <w:r>
              <w:rPr>
                <w:rFonts w:hint="eastAsia"/>
                <w:color w:val="auto"/>
                <w:sz w:val="24"/>
                <w:lang w:bidi="ar"/>
              </w:rPr>
              <w:t>西安净水处理有限责任公司第六再生水厂</w:t>
            </w:r>
            <w:r>
              <w:rPr>
                <w:rFonts w:hint="eastAsia"/>
                <w:color w:val="auto"/>
                <w:sz w:val="24"/>
                <w:lang w:eastAsia="zh-CN" w:bidi="ar"/>
              </w:rPr>
              <w:t>的收水范围之内，故项目产生的废水处理依托西安净水处理有限责任公司第六再生水厂处理可行</w:t>
            </w:r>
            <w:r>
              <w:rPr>
                <w:color w:val="auto"/>
                <w:sz w:val="24"/>
                <w:lang w:bidi="ar"/>
              </w:rPr>
              <w:t>。</w:t>
            </w:r>
          </w:p>
          <w:p w14:paraId="32A11601">
            <w:pPr>
              <w:pStyle w:val="6"/>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Cs w:val="24"/>
              </w:rPr>
            </w:pPr>
            <w:r>
              <w:rPr>
                <w:rFonts w:hint="eastAsia"/>
                <w:color w:val="auto"/>
                <w:szCs w:val="24"/>
              </w:rPr>
              <w:t>（4）自行监测要求</w:t>
            </w:r>
          </w:p>
          <w:p w14:paraId="013697DF">
            <w:pPr>
              <w:pStyle w:val="6"/>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rPr>
            </w:pPr>
            <w:r>
              <w:rPr>
                <w:rFonts w:hint="eastAsia" w:ascii="Times New Roman" w:hAnsi="Times New Roman" w:eastAsia="宋体" w:cs="Times New Roman"/>
                <w:color w:val="auto"/>
                <w:lang w:val="en-US" w:eastAsia="zh-CN"/>
              </w:rPr>
              <w:t>根据</w:t>
            </w:r>
            <w:r>
              <w:rPr>
                <w:rFonts w:hint="eastAsia" w:ascii="Times New Roman" w:hAnsi="Times New Roman" w:eastAsia="宋体" w:cs="Times New Roman"/>
                <w:color w:val="auto"/>
              </w:rPr>
              <w:t>《排污许可证申请与核发技术规范</w:t>
            </w:r>
            <w:r>
              <w:rPr>
                <w:rFonts w:hint="eastAsia" w:ascii="Times New Roman" w:hAnsi="Times New Roman" w:eastAsia="宋体" w:cs="Times New Roman"/>
                <w:color w:val="auto"/>
                <w:lang w:val="en-US" w:eastAsia="zh-CN"/>
              </w:rPr>
              <w:t xml:space="preserve"> 总则</w:t>
            </w:r>
            <w:r>
              <w:rPr>
                <w:rFonts w:hint="eastAsia" w:ascii="Times New Roman" w:hAnsi="Times New Roman" w:eastAsia="宋体" w:cs="Times New Roman"/>
                <w:color w:val="auto"/>
              </w:rPr>
              <w:t>》（HJ</w:t>
            </w:r>
            <w:r>
              <w:rPr>
                <w:rFonts w:hint="eastAsia" w:ascii="Times New Roman" w:hAnsi="Times New Roman" w:eastAsia="宋体" w:cs="Times New Roman"/>
                <w:color w:val="auto"/>
                <w:lang w:val="en-US" w:eastAsia="zh-CN"/>
              </w:rPr>
              <w:t xml:space="preserve"> 942</w:t>
            </w:r>
            <w:r>
              <w:rPr>
                <w:rFonts w:hint="eastAsia" w:ascii="Times New Roman" w:hAnsi="Times New Roman" w:eastAsia="宋体" w:cs="Times New Roman"/>
                <w:color w:val="auto"/>
              </w:rPr>
              <w:t>-2018）</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rPr>
              <w:t>《排污单位自行监测技术指南 总则》（HJ</w:t>
            </w:r>
            <w:r>
              <w:rPr>
                <w:rFonts w:hint="eastAsia" w:ascii="Times New Roman" w:hAnsi="Times New Roman" w:eastAsia="宋体" w:cs="Times New Roman"/>
                <w:color w:val="auto"/>
                <w:lang w:val="en-US" w:eastAsia="zh-CN"/>
              </w:rPr>
              <w:t xml:space="preserve"> </w:t>
            </w:r>
            <w:r>
              <w:rPr>
                <w:rFonts w:hint="eastAsia" w:ascii="Times New Roman" w:hAnsi="Times New Roman" w:eastAsia="宋体" w:cs="Times New Roman"/>
                <w:color w:val="auto"/>
              </w:rPr>
              <w:t>819-2017）</w:t>
            </w:r>
            <w:r>
              <w:rPr>
                <w:rFonts w:hint="eastAsia" w:ascii="Times New Roman" w:hAnsi="Times New Roman" w:eastAsia="宋体" w:cs="Times New Roman"/>
                <w:color w:val="auto"/>
                <w:lang w:eastAsia="zh-CN"/>
              </w:rPr>
              <w:t>及</w:t>
            </w:r>
            <w:r>
              <w:rPr>
                <w:rFonts w:hint="eastAsia" w:ascii="Times New Roman" w:hAnsi="Times New Roman" w:eastAsia="宋体" w:cs="Times New Roman"/>
                <w:color w:val="auto"/>
              </w:rPr>
              <w:t xml:space="preserve">《排污单位自行监测技术指南 </w:t>
            </w:r>
            <w:r>
              <w:rPr>
                <w:rFonts w:hint="eastAsia" w:ascii="Times New Roman" w:hAnsi="Times New Roman" w:eastAsia="宋体" w:cs="Times New Roman"/>
                <w:color w:val="auto"/>
                <w:lang w:eastAsia="zh-CN"/>
              </w:rPr>
              <w:t>涂装</w:t>
            </w:r>
            <w:r>
              <w:rPr>
                <w:rFonts w:hint="eastAsia" w:ascii="Times New Roman" w:hAnsi="Times New Roman" w:eastAsia="宋体" w:cs="Times New Roman"/>
                <w:color w:val="auto"/>
              </w:rPr>
              <w:t>》（HJ</w:t>
            </w:r>
            <w:r>
              <w:rPr>
                <w:rFonts w:hint="eastAsia" w:ascii="Times New Roman" w:hAnsi="Times New Roman" w:eastAsia="宋体" w:cs="Times New Roman"/>
                <w:color w:val="auto"/>
                <w:lang w:val="en-US" w:eastAsia="zh-CN"/>
              </w:rPr>
              <w:t xml:space="preserve"> 1086</w:t>
            </w:r>
            <w:r>
              <w:rPr>
                <w:rFonts w:hint="eastAsia" w:ascii="Times New Roman" w:hAnsi="Times New Roman" w:eastAsia="宋体" w:cs="Times New Roman"/>
                <w:color w:val="auto"/>
              </w:rPr>
              <w:t>-20</w:t>
            </w:r>
            <w:r>
              <w:rPr>
                <w:rFonts w:hint="eastAsia" w:ascii="Times New Roman" w:hAnsi="Times New Roman" w:eastAsia="宋体" w:cs="Times New Roman"/>
                <w:color w:val="auto"/>
                <w:lang w:val="en-US" w:eastAsia="zh-CN"/>
              </w:rPr>
              <w:t>20</w:t>
            </w:r>
            <w:r>
              <w:rPr>
                <w:rFonts w:hint="eastAsia" w:ascii="Times New Roman" w:hAnsi="Times New Roman" w:eastAsia="宋体" w:cs="Times New Roman"/>
                <w:color w:val="auto"/>
              </w:rPr>
              <w:t>），本项目废</w:t>
            </w:r>
            <w:r>
              <w:rPr>
                <w:rFonts w:hint="eastAsia" w:ascii="Times New Roman" w:hAnsi="Times New Roman" w:eastAsia="宋体" w:cs="Times New Roman"/>
                <w:color w:val="auto"/>
                <w:lang w:eastAsia="zh-CN"/>
              </w:rPr>
              <w:t>水</w:t>
            </w:r>
            <w:r>
              <w:rPr>
                <w:rFonts w:hint="eastAsia" w:ascii="Times New Roman" w:hAnsi="Times New Roman" w:eastAsia="宋体" w:cs="Times New Roman"/>
                <w:color w:val="auto"/>
              </w:rPr>
              <w:t>监测要求见下表：</w:t>
            </w:r>
          </w:p>
          <w:p w14:paraId="20236F07">
            <w:pPr>
              <w:tabs>
                <w:tab w:val="left" w:pos="3870"/>
              </w:tabs>
              <w:jc w:val="center"/>
              <w:rPr>
                <w:rFonts w:ascii="Times New Roman" w:hAnsi="Times New Roman" w:eastAsia="宋体" w:cs="Times New Roman"/>
                <w:b/>
                <w:color w:val="auto"/>
                <w:sz w:val="24"/>
              </w:rPr>
            </w:pPr>
            <w:r>
              <w:rPr>
                <w:rFonts w:ascii="Times New Roman" w:hAnsi="Times New Roman" w:eastAsia="宋体" w:cs="Times New Roman"/>
                <w:b/>
                <w:color w:val="auto"/>
                <w:sz w:val="24"/>
              </w:rPr>
              <w:t>表4-</w:t>
            </w:r>
            <w:r>
              <w:rPr>
                <w:rFonts w:hint="eastAsia" w:cs="Times New Roman"/>
                <w:b/>
                <w:color w:val="auto"/>
                <w:sz w:val="24"/>
                <w:lang w:val="en-US" w:eastAsia="zh-CN"/>
              </w:rPr>
              <w:t>9</w:t>
            </w:r>
            <w:r>
              <w:rPr>
                <w:rFonts w:ascii="Times New Roman" w:hAnsi="Times New Roman" w:eastAsia="宋体" w:cs="Times New Roman"/>
                <w:b/>
                <w:color w:val="auto"/>
                <w:sz w:val="24"/>
              </w:rPr>
              <w:t xml:space="preserve">  项目废</w:t>
            </w:r>
            <w:r>
              <w:rPr>
                <w:rFonts w:hint="eastAsia" w:ascii="Times New Roman" w:hAnsi="Times New Roman" w:eastAsia="宋体" w:cs="Times New Roman"/>
                <w:b/>
                <w:color w:val="auto"/>
                <w:sz w:val="24"/>
                <w:lang w:eastAsia="zh-CN"/>
              </w:rPr>
              <w:t>水</w:t>
            </w:r>
            <w:r>
              <w:rPr>
                <w:rFonts w:hint="eastAsia" w:ascii="Times New Roman" w:hAnsi="Times New Roman" w:eastAsia="宋体" w:cs="Times New Roman"/>
                <w:b/>
                <w:color w:val="auto"/>
                <w:sz w:val="24"/>
              </w:rPr>
              <w:t>自行</w:t>
            </w:r>
            <w:r>
              <w:rPr>
                <w:rFonts w:ascii="Times New Roman" w:hAnsi="Times New Roman" w:eastAsia="宋体" w:cs="Times New Roman"/>
                <w:b/>
                <w:color w:val="auto"/>
                <w:sz w:val="24"/>
              </w:rPr>
              <w:t>监测要求</w:t>
            </w:r>
          </w:p>
          <w:tbl>
            <w:tblPr>
              <w:tblStyle w:val="25"/>
              <w:tblW w:w="802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19"/>
              <w:gridCol w:w="2227"/>
              <w:gridCol w:w="1411"/>
              <w:gridCol w:w="3268"/>
            </w:tblGrid>
            <w:tr w14:paraId="5AC3C9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97" w:type="pct"/>
                  <w:tcBorders>
                    <w:tl2br w:val="nil"/>
                    <w:tr2bl w:val="nil"/>
                  </w:tcBorders>
                  <w:noWrap w:val="0"/>
                  <w:vAlign w:val="center"/>
                </w:tcPr>
                <w:p w14:paraId="5573C306">
                  <w:pPr>
                    <w:autoSpaceDE w:val="0"/>
                    <w:autoSpaceDN w:val="0"/>
                    <w:adjustRightInd w:val="0"/>
                    <w:jc w:val="center"/>
                    <w:rPr>
                      <w:b/>
                      <w:bCs/>
                      <w:color w:val="auto"/>
                      <w:sz w:val="21"/>
                      <w:szCs w:val="21"/>
                    </w:rPr>
                  </w:pPr>
                  <w:r>
                    <w:rPr>
                      <w:b/>
                      <w:bCs/>
                      <w:color w:val="auto"/>
                      <w:sz w:val="21"/>
                      <w:szCs w:val="21"/>
                    </w:rPr>
                    <w:t>监测点位</w:t>
                  </w:r>
                </w:p>
              </w:tc>
              <w:tc>
                <w:tcPr>
                  <w:tcW w:w="1387" w:type="pct"/>
                  <w:tcBorders>
                    <w:tl2br w:val="nil"/>
                    <w:tr2bl w:val="nil"/>
                  </w:tcBorders>
                  <w:noWrap w:val="0"/>
                  <w:vAlign w:val="center"/>
                </w:tcPr>
                <w:p w14:paraId="7FF802F6">
                  <w:pPr>
                    <w:autoSpaceDE w:val="0"/>
                    <w:autoSpaceDN w:val="0"/>
                    <w:adjustRightInd w:val="0"/>
                    <w:jc w:val="center"/>
                    <w:rPr>
                      <w:b/>
                      <w:bCs/>
                      <w:color w:val="auto"/>
                      <w:sz w:val="21"/>
                      <w:szCs w:val="21"/>
                    </w:rPr>
                  </w:pPr>
                  <w:r>
                    <w:rPr>
                      <w:b/>
                      <w:bCs/>
                      <w:color w:val="auto"/>
                      <w:sz w:val="21"/>
                      <w:szCs w:val="21"/>
                    </w:rPr>
                    <w:t>监测因子</w:t>
                  </w:r>
                </w:p>
              </w:tc>
              <w:tc>
                <w:tcPr>
                  <w:tcW w:w="879" w:type="pct"/>
                  <w:tcBorders>
                    <w:tl2br w:val="nil"/>
                    <w:tr2bl w:val="nil"/>
                  </w:tcBorders>
                  <w:noWrap w:val="0"/>
                  <w:vAlign w:val="center"/>
                </w:tcPr>
                <w:p w14:paraId="06F9AE47">
                  <w:pPr>
                    <w:autoSpaceDE w:val="0"/>
                    <w:autoSpaceDN w:val="0"/>
                    <w:adjustRightInd w:val="0"/>
                    <w:jc w:val="center"/>
                    <w:rPr>
                      <w:b/>
                      <w:bCs/>
                      <w:color w:val="auto"/>
                      <w:sz w:val="21"/>
                      <w:szCs w:val="21"/>
                    </w:rPr>
                  </w:pPr>
                  <w:r>
                    <w:rPr>
                      <w:b/>
                      <w:bCs/>
                      <w:color w:val="auto"/>
                      <w:sz w:val="21"/>
                      <w:szCs w:val="21"/>
                    </w:rPr>
                    <w:t>监测频次</w:t>
                  </w:r>
                </w:p>
              </w:tc>
              <w:tc>
                <w:tcPr>
                  <w:tcW w:w="2036" w:type="pct"/>
                  <w:tcBorders>
                    <w:tl2br w:val="nil"/>
                    <w:tr2bl w:val="nil"/>
                  </w:tcBorders>
                  <w:noWrap w:val="0"/>
                  <w:vAlign w:val="center"/>
                </w:tcPr>
                <w:p w14:paraId="0B98602F">
                  <w:pPr>
                    <w:autoSpaceDE w:val="0"/>
                    <w:autoSpaceDN w:val="0"/>
                    <w:adjustRightInd w:val="0"/>
                    <w:jc w:val="center"/>
                    <w:rPr>
                      <w:rFonts w:hint="default" w:eastAsia="宋体"/>
                      <w:b/>
                      <w:bCs/>
                      <w:color w:val="auto"/>
                      <w:sz w:val="21"/>
                      <w:szCs w:val="21"/>
                      <w:lang w:val="en-US" w:eastAsia="zh-CN"/>
                    </w:rPr>
                  </w:pPr>
                  <w:r>
                    <w:rPr>
                      <w:rFonts w:hint="eastAsia"/>
                      <w:b/>
                      <w:bCs/>
                      <w:color w:val="auto"/>
                      <w:sz w:val="21"/>
                      <w:szCs w:val="21"/>
                      <w:lang w:val="en-US" w:eastAsia="zh-CN"/>
                    </w:rPr>
                    <w:t>依据</w:t>
                  </w:r>
                </w:p>
              </w:tc>
            </w:tr>
            <w:tr w14:paraId="2DB938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97" w:type="pct"/>
                  <w:vMerge w:val="restart"/>
                  <w:tcBorders>
                    <w:tl2br w:val="nil"/>
                    <w:tr2bl w:val="nil"/>
                  </w:tcBorders>
                  <w:noWrap w:val="0"/>
                  <w:vAlign w:val="center"/>
                </w:tcPr>
                <w:p w14:paraId="315274EB">
                  <w:pPr>
                    <w:autoSpaceDE w:val="0"/>
                    <w:autoSpaceDN w:val="0"/>
                    <w:adjustRightInd w:val="0"/>
                    <w:jc w:val="center"/>
                    <w:rPr>
                      <w:color w:val="auto"/>
                      <w:sz w:val="21"/>
                      <w:szCs w:val="21"/>
                    </w:rPr>
                  </w:pPr>
                  <w:r>
                    <w:rPr>
                      <w:color w:val="auto"/>
                      <w:sz w:val="21"/>
                      <w:szCs w:val="21"/>
                    </w:rPr>
                    <w:t>企业</w:t>
                  </w:r>
                  <w:r>
                    <w:rPr>
                      <w:rFonts w:hint="eastAsia"/>
                      <w:color w:val="auto"/>
                      <w:sz w:val="21"/>
                      <w:szCs w:val="21"/>
                    </w:rPr>
                    <w:t>废水总</w:t>
                  </w:r>
                  <w:r>
                    <w:rPr>
                      <w:color w:val="auto"/>
                      <w:sz w:val="21"/>
                      <w:szCs w:val="21"/>
                    </w:rPr>
                    <w:t>排口</w:t>
                  </w:r>
                </w:p>
              </w:tc>
              <w:tc>
                <w:tcPr>
                  <w:tcW w:w="1387" w:type="pct"/>
                  <w:tcBorders>
                    <w:tl2br w:val="nil"/>
                    <w:tr2bl w:val="nil"/>
                  </w:tcBorders>
                  <w:noWrap w:val="0"/>
                  <w:vAlign w:val="center"/>
                </w:tcPr>
                <w:p w14:paraId="673E0E44">
                  <w:pPr>
                    <w:autoSpaceDE w:val="0"/>
                    <w:autoSpaceDN w:val="0"/>
                    <w:adjustRightInd w:val="0"/>
                    <w:jc w:val="center"/>
                    <w:rPr>
                      <w:rFonts w:hint="eastAsia" w:eastAsia="宋体"/>
                      <w:color w:val="auto"/>
                      <w:sz w:val="21"/>
                      <w:szCs w:val="21"/>
                      <w:lang w:eastAsia="zh-CN"/>
                    </w:rPr>
                  </w:pPr>
                  <w:r>
                    <w:rPr>
                      <w:rFonts w:hint="eastAsia"/>
                      <w:color w:val="auto"/>
                      <w:sz w:val="21"/>
                      <w:szCs w:val="21"/>
                      <w:lang w:val="en-US" w:eastAsia="zh-CN"/>
                    </w:rPr>
                    <w:t>pH、</w:t>
                  </w:r>
                  <w:r>
                    <w:rPr>
                      <w:color w:val="auto"/>
                      <w:sz w:val="21"/>
                      <w:szCs w:val="21"/>
                    </w:rPr>
                    <w:t>COD、NH</w:t>
                  </w:r>
                  <w:r>
                    <w:rPr>
                      <w:color w:val="auto"/>
                      <w:sz w:val="21"/>
                      <w:szCs w:val="21"/>
                      <w:vertAlign w:val="subscript"/>
                    </w:rPr>
                    <w:t>3</w:t>
                  </w:r>
                  <w:r>
                    <w:rPr>
                      <w:color w:val="auto"/>
                      <w:sz w:val="21"/>
                      <w:szCs w:val="21"/>
                    </w:rPr>
                    <w:t>-N、S</w:t>
                  </w:r>
                  <w:r>
                    <w:rPr>
                      <w:rFonts w:hint="eastAsia" w:ascii="Times New Roman" w:hAnsi="Times New Roman" w:eastAsia="宋体" w:cs="Times New Roman"/>
                      <w:color w:val="auto"/>
                      <w:sz w:val="21"/>
                      <w:szCs w:val="21"/>
                      <w:lang w:eastAsia="zh-CN"/>
                    </w:rPr>
                    <w:t>S、</w:t>
                  </w:r>
                  <w:r>
                    <w:rPr>
                      <w:rFonts w:hint="eastAsia" w:ascii="Times New Roman" w:hAnsi="Times New Roman" w:eastAsia="宋体" w:cs="Times New Roman"/>
                      <w:color w:val="auto"/>
                      <w:sz w:val="21"/>
                      <w:szCs w:val="21"/>
                      <w:lang w:val="en-US" w:eastAsia="zh-CN"/>
                    </w:rPr>
                    <w:t>总磷、总氮</w:t>
                  </w:r>
                </w:p>
              </w:tc>
              <w:tc>
                <w:tcPr>
                  <w:tcW w:w="879" w:type="pct"/>
                  <w:tcBorders>
                    <w:tl2br w:val="nil"/>
                    <w:tr2bl w:val="nil"/>
                  </w:tcBorders>
                  <w:noWrap w:val="0"/>
                  <w:vAlign w:val="center"/>
                </w:tcPr>
                <w:p w14:paraId="2172AB03">
                  <w:pPr>
                    <w:autoSpaceDE w:val="0"/>
                    <w:autoSpaceDN w:val="0"/>
                    <w:adjustRightInd w:val="0"/>
                    <w:jc w:val="center"/>
                    <w:rPr>
                      <w:color w:val="auto"/>
                      <w:sz w:val="21"/>
                      <w:szCs w:val="21"/>
                    </w:rPr>
                  </w:pPr>
                  <w:r>
                    <w:rPr>
                      <w:color w:val="auto"/>
                      <w:sz w:val="21"/>
                      <w:szCs w:val="21"/>
                    </w:rPr>
                    <w:t>1次/半年</w:t>
                  </w:r>
                </w:p>
              </w:tc>
              <w:tc>
                <w:tcPr>
                  <w:tcW w:w="2036" w:type="pct"/>
                  <w:tcBorders>
                    <w:tl2br w:val="nil"/>
                    <w:tr2bl w:val="nil"/>
                  </w:tcBorders>
                  <w:noWrap w:val="0"/>
                  <w:vAlign w:val="center"/>
                </w:tcPr>
                <w:p w14:paraId="29802369">
                  <w:pPr>
                    <w:autoSpaceDE w:val="0"/>
                    <w:autoSpaceDN w:val="0"/>
                    <w:adjustRightInd w:val="0"/>
                    <w:jc w:val="center"/>
                    <w:rPr>
                      <w:color w:val="auto"/>
                      <w:sz w:val="21"/>
                      <w:szCs w:val="21"/>
                    </w:rPr>
                  </w:pPr>
                  <w:r>
                    <w:rPr>
                      <w:rFonts w:hint="eastAsia"/>
                      <w:color w:val="auto"/>
                      <w:sz w:val="21"/>
                      <w:szCs w:val="21"/>
                    </w:rPr>
                    <w:t xml:space="preserve">《排污单位自行监测技术指南 </w:t>
                  </w:r>
                  <w:r>
                    <w:rPr>
                      <w:rFonts w:hint="eastAsia"/>
                      <w:color w:val="auto"/>
                      <w:sz w:val="21"/>
                      <w:szCs w:val="21"/>
                      <w:lang w:eastAsia="zh-CN"/>
                    </w:rPr>
                    <w:t>涂装</w:t>
                  </w:r>
                  <w:r>
                    <w:rPr>
                      <w:rFonts w:hint="eastAsia"/>
                      <w:color w:val="auto"/>
                      <w:sz w:val="21"/>
                      <w:szCs w:val="21"/>
                    </w:rPr>
                    <w:t>》（HJ</w:t>
                  </w:r>
                  <w:r>
                    <w:rPr>
                      <w:rFonts w:hint="eastAsia"/>
                      <w:color w:val="auto"/>
                      <w:sz w:val="21"/>
                      <w:szCs w:val="21"/>
                      <w:lang w:val="en-US" w:eastAsia="zh-CN"/>
                    </w:rPr>
                    <w:t xml:space="preserve"> 1086</w:t>
                  </w:r>
                  <w:r>
                    <w:rPr>
                      <w:rFonts w:hint="eastAsia"/>
                      <w:color w:val="auto"/>
                      <w:sz w:val="21"/>
                      <w:szCs w:val="21"/>
                    </w:rPr>
                    <w:t>-20</w:t>
                  </w:r>
                  <w:r>
                    <w:rPr>
                      <w:rFonts w:hint="eastAsia"/>
                      <w:color w:val="auto"/>
                      <w:sz w:val="21"/>
                      <w:szCs w:val="21"/>
                      <w:lang w:val="en-US" w:eastAsia="zh-CN"/>
                    </w:rPr>
                    <w:t>20</w:t>
                  </w:r>
                  <w:r>
                    <w:rPr>
                      <w:rFonts w:hint="eastAsia"/>
                      <w:color w:val="auto"/>
                      <w:sz w:val="21"/>
                      <w:szCs w:val="21"/>
                    </w:rPr>
                    <w:t>）</w:t>
                  </w:r>
                </w:p>
              </w:tc>
            </w:tr>
            <w:tr w14:paraId="370A11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97" w:type="pct"/>
                  <w:vMerge w:val="continue"/>
                  <w:tcBorders>
                    <w:tl2br w:val="nil"/>
                    <w:tr2bl w:val="nil"/>
                  </w:tcBorders>
                  <w:noWrap w:val="0"/>
                  <w:vAlign w:val="center"/>
                </w:tcPr>
                <w:p w14:paraId="2017C04A">
                  <w:pPr>
                    <w:autoSpaceDE w:val="0"/>
                    <w:autoSpaceDN w:val="0"/>
                    <w:adjustRightInd w:val="0"/>
                    <w:jc w:val="center"/>
                    <w:rPr>
                      <w:color w:val="auto"/>
                      <w:sz w:val="21"/>
                      <w:szCs w:val="21"/>
                    </w:rPr>
                  </w:pPr>
                </w:p>
              </w:tc>
              <w:tc>
                <w:tcPr>
                  <w:tcW w:w="1387" w:type="pct"/>
                  <w:tcBorders>
                    <w:tl2br w:val="nil"/>
                    <w:tr2bl w:val="nil"/>
                  </w:tcBorders>
                  <w:noWrap w:val="0"/>
                  <w:vAlign w:val="center"/>
                </w:tcPr>
                <w:p w14:paraId="22E7650E">
                  <w:pPr>
                    <w:autoSpaceDE w:val="0"/>
                    <w:autoSpaceDN w:val="0"/>
                    <w:adjustRightInd w:val="0"/>
                    <w:jc w:val="center"/>
                    <w:rPr>
                      <w:color w:val="auto"/>
                      <w:sz w:val="21"/>
                      <w:szCs w:val="21"/>
                    </w:rPr>
                  </w:pPr>
                  <w:r>
                    <w:rPr>
                      <w:color w:val="auto"/>
                      <w:sz w:val="21"/>
                      <w:szCs w:val="21"/>
                    </w:rPr>
                    <w:t>BOD</w:t>
                  </w:r>
                  <w:r>
                    <w:rPr>
                      <w:color w:val="auto"/>
                      <w:sz w:val="21"/>
                      <w:szCs w:val="21"/>
                      <w:vertAlign w:val="subscript"/>
                    </w:rPr>
                    <w:t>5</w:t>
                  </w:r>
                  <w:r>
                    <w:rPr>
                      <w:color w:val="auto"/>
                      <w:sz w:val="21"/>
                      <w:szCs w:val="21"/>
                    </w:rPr>
                    <w:t>、</w:t>
                  </w:r>
                  <w:r>
                    <w:rPr>
                      <w:rFonts w:hint="eastAsia"/>
                      <w:color w:val="auto"/>
                      <w:sz w:val="21"/>
                      <w:szCs w:val="21"/>
                    </w:rPr>
                    <w:t>LAS</w:t>
                  </w:r>
                  <w:r>
                    <w:rPr>
                      <w:rFonts w:hint="eastAsia"/>
                      <w:color w:val="auto"/>
                      <w:sz w:val="21"/>
                      <w:szCs w:val="21"/>
                      <w:lang w:eastAsia="zh-CN"/>
                    </w:rPr>
                    <w:t>、石油类</w:t>
                  </w:r>
                </w:p>
              </w:tc>
              <w:tc>
                <w:tcPr>
                  <w:tcW w:w="879" w:type="pct"/>
                  <w:tcBorders>
                    <w:tl2br w:val="nil"/>
                    <w:tr2bl w:val="nil"/>
                  </w:tcBorders>
                  <w:noWrap w:val="0"/>
                  <w:vAlign w:val="center"/>
                </w:tcPr>
                <w:p w14:paraId="0525DED0">
                  <w:pPr>
                    <w:autoSpaceDE w:val="0"/>
                    <w:autoSpaceDN w:val="0"/>
                    <w:adjustRightInd w:val="0"/>
                    <w:jc w:val="center"/>
                    <w:rPr>
                      <w:color w:val="auto"/>
                      <w:sz w:val="21"/>
                      <w:szCs w:val="21"/>
                    </w:rPr>
                  </w:pPr>
                  <w:r>
                    <w:rPr>
                      <w:color w:val="auto"/>
                      <w:sz w:val="21"/>
                      <w:szCs w:val="21"/>
                    </w:rPr>
                    <w:t>1次/年</w:t>
                  </w:r>
                </w:p>
              </w:tc>
              <w:tc>
                <w:tcPr>
                  <w:tcW w:w="2036" w:type="pct"/>
                  <w:tcBorders>
                    <w:tl2br w:val="nil"/>
                    <w:tr2bl w:val="nil"/>
                  </w:tcBorders>
                  <w:noWrap w:val="0"/>
                  <w:vAlign w:val="center"/>
                </w:tcPr>
                <w:p w14:paraId="21A54BAF">
                  <w:pPr>
                    <w:autoSpaceDE w:val="0"/>
                    <w:autoSpaceDN w:val="0"/>
                    <w:adjustRightInd w:val="0"/>
                    <w:jc w:val="center"/>
                    <w:rPr>
                      <w:color w:val="auto"/>
                      <w:sz w:val="21"/>
                      <w:szCs w:val="21"/>
                    </w:rPr>
                  </w:pPr>
                  <w:r>
                    <w:rPr>
                      <w:rFonts w:hint="eastAsia"/>
                      <w:color w:val="auto"/>
                      <w:sz w:val="21"/>
                      <w:szCs w:val="21"/>
                    </w:rPr>
                    <w:t>《排污单位自行监测技术指南 总则》（HJ</w:t>
                  </w:r>
                  <w:r>
                    <w:rPr>
                      <w:rFonts w:hint="eastAsia"/>
                      <w:color w:val="auto"/>
                      <w:sz w:val="21"/>
                      <w:szCs w:val="21"/>
                      <w:lang w:val="en-US" w:eastAsia="zh-CN"/>
                    </w:rPr>
                    <w:t xml:space="preserve"> </w:t>
                  </w:r>
                  <w:r>
                    <w:rPr>
                      <w:rFonts w:hint="eastAsia"/>
                      <w:color w:val="auto"/>
                      <w:sz w:val="21"/>
                      <w:szCs w:val="21"/>
                    </w:rPr>
                    <w:t>819-2017）</w:t>
                  </w:r>
                </w:p>
              </w:tc>
            </w:tr>
          </w:tbl>
          <w:p w14:paraId="3C0A4916">
            <w:pPr>
              <w:pStyle w:val="6"/>
              <w:keepNext w:val="0"/>
              <w:keepLines w:val="0"/>
              <w:pageBreakBefore w:val="0"/>
              <w:widowControl w:val="0"/>
              <w:kinsoku/>
              <w:wordWrap/>
              <w:overflowPunct/>
              <w:topLinePunct w:val="0"/>
              <w:autoSpaceDE/>
              <w:autoSpaceDN/>
              <w:bidi w:val="0"/>
              <w:adjustRightInd/>
              <w:snapToGrid/>
              <w:spacing w:before="157" w:beforeLines="50" w:line="360" w:lineRule="auto"/>
              <w:ind w:firstLine="482" w:firstLineChars="200"/>
              <w:textAlignment w:val="auto"/>
              <w:rPr>
                <w:b/>
                <w:bCs/>
                <w:color w:val="auto"/>
                <w:szCs w:val="24"/>
              </w:rPr>
            </w:pPr>
            <w:r>
              <w:rPr>
                <w:rFonts w:hint="eastAsia"/>
                <w:b/>
                <w:bCs/>
                <w:color w:val="auto"/>
                <w:szCs w:val="24"/>
              </w:rPr>
              <w:t>3、噪声</w:t>
            </w:r>
          </w:p>
          <w:p w14:paraId="35B3894D">
            <w:pPr>
              <w:pStyle w:val="6"/>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Cs w:val="24"/>
              </w:rPr>
            </w:pPr>
            <w:r>
              <w:rPr>
                <w:rFonts w:hint="eastAsia"/>
                <w:color w:val="auto"/>
                <w:szCs w:val="24"/>
              </w:rPr>
              <w:t>（1）噪声源</w:t>
            </w:r>
          </w:p>
          <w:p w14:paraId="189A0979">
            <w:pPr>
              <w:pStyle w:val="6"/>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auto"/>
                <w:szCs w:val="24"/>
                <w:lang w:val="en-US" w:eastAsia="zh-CN"/>
              </w:rPr>
            </w:pPr>
            <w:r>
              <w:rPr>
                <w:rFonts w:hint="eastAsia"/>
                <w:color w:val="auto"/>
                <w:szCs w:val="24"/>
                <w:lang w:val="en-US" w:eastAsia="zh-CN"/>
              </w:rPr>
              <w:t>本项目委托陕西秦研检测技术有限公司对项目厂界噪声现状进行了监测，运行期主要生产设备及环保设备噪声见下表，监测期间维修中心设备均正常运行。</w:t>
            </w:r>
          </w:p>
          <w:p w14:paraId="796C5D0C">
            <w:pPr>
              <w:tabs>
                <w:tab w:val="left" w:pos="3870"/>
              </w:tabs>
              <w:jc w:val="center"/>
              <w:rPr>
                <w:rFonts w:hint="eastAsia"/>
                <w:b/>
                <w:color w:val="auto"/>
                <w:sz w:val="24"/>
              </w:rPr>
            </w:pPr>
            <w:r>
              <w:rPr>
                <w:b/>
                <w:color w:val="auto"/>
                <w:sz w:val="24"/>
              </w:rPr>
              <w:t>表</w:t>
            </w:r>
            <w:r>
              <w:rPr>
                <w:rFonts w:hint="eastAsia"/>
                <w:b/>
                <w:color w:val="auto"/>
                <w:sz w:val="24"/>
              </w:rPr>
              <w:t>4-</w:t>
            </w:r>
            <w:r>
              <w:rPr>
                <w:rFonts w:hint="eastAsia"/>
                <w:b/>
                <w:color w:val="auto"/>
                <w:sz w:val="24"/>
                <w:lang w:val="en-US" w:eastAsia="zh-CN"/>
              </w:rPr>
              <w:t>10</w:t>
            </w:r>
            <w:r>
              <w:rPr>
                <w:b/>
                <w:color w:val="auto"/>
                <w:sz w:val="24"/>
              </w:rPr>
              <w:t xml:space="preserve"> </w:t>
            </w:r>
            <w:r>
              <w:rPr>
                <w:rFonts w:hint="eastAsia"/>
                <w:b/>
                <w:color w:val="auto"/>
                <w:sz w:val="24"/>
              </w:rPr>
              <w:t xml:space="preserve"> </w:t>
            </w:r>
            <w:r>
              <w:rPr>
                <w:b/>
                <w:bCs/>
                <w:color w:val="auto"/>
                <w:sz w:val="24"/>
              </w:rPr>
              <w:t>项目运营期噪声源</w:t>
            </w:r>
            <w:r>
              <w:rPr>
                <w:rFonts w:hint="eastAsia"/>
                <w:b/>
                <w:bCs/>
                <w:color w:val="auto"/>
                <w:sz w:val="24"/>
              </w:rPr>
              <w:t>调查清单</w:t>
            </w:r>
            <w:r>
              <w:rPr>
                <w:rFonts w:hint="eastAsia"/>
                <w:b/>
                <w:color w:val="auto"/>
                <w:sz w:val="24"/>
              </w:rPr>
              <w:t>（室内声源）</w:t>
            </w:r>
          </w:p>
          <w:tbl>
            <w:tblPr>
              <w:tblStyle w:val="25"/>
              <w:tblW w:w="504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56"/>
              <w:gridCol w:w="624"/>
              <w:gridCol w:w="711"/>
              <w:gridCol w:w="1093"/>
              <w:gridCol w:w="782"/>
              <w:gridCol w:w="1043"/>
              <w:gridCol w:w="743"/>
              <w:gridCol w:w="568"/>
              <w:gridCol w:w="509"/>
              <w:gridCol w:w="465"/>
              <w:gridCol w:w="831"/>
            </w:tblGrid>
            <w:tr w14:paraId="5B2AE5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08" w:type="pct"/>
                  <w:vMerge w:val="restart"/>
                  <w:noWrap w:val="0"/>
                  <w:vAlign w:val="center"/>
                </w:tcPr>
                <w:p w14:paraId="400D3D62">
                  <w:pPr>
                    <w:jc w:val="center"/>
                    <w:rPr>
                      <w:b/>
                      <w:bCs/>
                      <w:color w:val="auto"/>
                      <w:szCs w:val="21"/>
                    </w:rPr>
                  </w:pPr>
                  <w:r>
                    <w:rPr>
                      <w:b/>
                      <w:bCs/>
                      <w:color w:val="auto"/>
                      <w:szCs w:val="21"/>
                    </w:rPr>
                    <w:t>声源</w:t>
                  </w:r>
                  <w:r>
                    <w:rPr>
                      <w:rFonts w:hint="eastAsia"/>
                      <w:b/>
                      <w:bCs/>
                      <w:color w:val="auto"/>
                      <w:szCs w:val="21"/>
                    </w:rPr>
                    <w:t>名称</w:t>
                  </w:r>
                </w:p>
              </w:tc>
              <w:tc>
                <w:tcPr>
                  <w:tcW w:w="388" w:type="pct"/>
                  <w:vMerge w:val="restart"/>
                  <w:noWrap w:val="0"/>
                  <w:vAlign w:val="center"/>
                </w:tcPr>
                <w:p w14:paraId="1AFF0832">
                  <w:pPr>
                    <w:adjustRightInd w:val="0"/>
                    <w:snapToGrid w:val="0"/>
                    <w:jc w:val="center"/>
                    <w:rPr>
                      <w:rFonts w:eastAsia="Times New Roman"/>
                      <w:b/>
                      <w:bCs/>
                      <w:color w:val="auto"/>
                      <w:szCs w:val="21"/>
                      <w:lang w:val="zh-CN" w:bidi="zh-CN"/>
                    </w:rPr>
                  </w:pPr>
                  <w:r>
                    <w:rPr>
                      <w:rFonts w:eastAsia="Times New Roman"/>
                      <w:b/>
                      <w:bCs/>
                      <w:color w:val="auto"/>
                      <w:szCs w:val="21"/>
                      <w:lang w:val="zh-CN" w:bidi="zh-CN"/>
                    </w:rPr>
                    <w:t>数量</w:t>
                  </w:r>
                </w:p>
              </w:tc>
              <w:tc>
                <w:tcPr>
                  <w:tcW w:w="442" w:type="pct"/>
                  <w:vMerge w:val="restart"/>
                  <w:noWrap w:val="0"/>
                  <w:vAlign w:val="center"/>
                </w:tcPr>
                <w:p w14:paraId="283278A6">
                  <w:pPr>
                    <w:jc w:val="center"/>
                    <w:rPr>
                      <w:b/>
                      <w:bCs/>
                      <w:color w:val="auto"/>
                      <w:szCs w:val="21"/>
                    </w:rPr>
                  </w:pPr>
                  <w:r>
                    <w:rPr>
                      <w:rFonts w:hint="eastAsia"/>
                      <w:b/>
                      <w:bCs/>
                      <w:color w:val="auto"/>
                      <w:szCs w:val="21"/>
                    </w:rPr>
                    <w:t>设备声源源强</w:t>
                  </w:r>
                  <w:r>
                    <w:rPr>
                      <w:b/>
                      <w:bCs/>
                      <w:color w:val="auto"/>
                      <w:szCs w:val="21"/>
                    </w:rPr>
                    <w:t>dB（A）</w:t>
                  </w:r>
                </w:p>
              </w:tc>
              <w:tc>
                <w:tcPr>
                  <w:tcW w:w="1168" w:type="pct"/>
                  <w:gridSpan w:val="2"/>
                  <w:noWrap w:val="0"/>
                  <w:vAlign w:val="center"/>
                </w:tcPr>
                <w:p w14:paraId="15E523BD">
                  <w:pPr>
                    <w:jc w:val="center"/>
                    <w:rPr>
                      <w:rFonts w:hint="eastAsia"/>
                      <w:b/>
                      <w:bCs/>
                      <w:color w:val="auto"/>
                      <w:szCs w:val="21"/>
                    </w:rPr>
                  </w:pPr>
                  <w:r>
                    <w:rPr>
                      <w:rFonts w:hint="eastAsia"/>
                      <w:b/>
                      <w:bCs/>
                      <w:color w:val="auto"/>
                      <w:szCs w:val="21"/>
                    </w:rPr>
                    <w:t>降噪措施</w:t>
                  </w:r>
                </w:p>
              </w:tc>
              <w:tc>
                <w:tcPr>
                  <w:tcW w:w="649" w:type="pct"/>
                  <w:vMerge w:val="restart"/>
                  <w:noWrap w:val="0"/>
                  <w:vAlign w:val="center"/>
                </w:tcPr>
                <w:p w14:paraId="1C8023B8">
                  <w:pPr>
                    <w:jc w:val="center"/>
                    <w:rPr>
                      <w:rFonts w:hint="eastAsia"/>
                      <w:b/>
                      <w:bCs/>
                      <w:color w:val="auto"/>
                      <w:szCs w:val="21"/>
                    </w:rPr>
                  </w:pPr>
                  <w:r>
                    <w:rPr>
                      <w:rFonts w:hint="eastAsia"/>
                      <w:b/>
                      <w:bCs/>
                      <w:color w:val="auto"/>
                      <w:szCs w:val="21"/>
                    </w:rPr>
                    <w:t>降噪后声源源强dB（A）</w:t>
                  </w:r>
                </w:p>
              </w:tc>
              <w:tc>
                <w:tcPr>
                  <w:tcW w:w="1133" w:type="pct"/>
                  <w:gridSpan w:val="3"/>
                  <w:noWrap w:val="0"/>
                  <w:vAlign w:val="center"/>
                </w:tcPr>
                <w:p w14:paraId="5D213F9D">
                  <w:pPr>
                    <w:jc w:val="center"/>
                    <w:rPr>
                      <w:rFonts w:hint="eastAsia"/>
                      <w:b/>
                      <w:bCs/>
                      <w:color w:val="auto"/>
                      <w:szCs w:val="21"/>
                    </w:rPr>
                  </w:pPr>
                  <w:r>
                    <w:rPr>
                      <w:rFonts w:hint="eastAsia"/>
                      <w:b/>
                      <w:bCs/>
                      <w:color w:val="auto"/>
                      <w:szCs w:val="21"/>
                    </w:rPr>
                    <w:t>空间相对位置/m</w:t>
                  </w:r>
                </w:p>
              </w:tc>
              <w:tc>
                <w:tcPr>
                  <w:tcW w:w="289" w:type="pct"/>
                  <w:vMerge w:val="restart"/>
                  <w:noWrap w:val="0"/>
                  <w:vAlign w:val="center"/>
                </w:tcPr>
                <w:p w14:paraId="2F54C5D9">
                  <w:pPr>
                    <w:adjustRightInd w:val="0"/>
                    <w:snapToGrid w:val="0"/>
                    <w:jc w:val="center"/>
                    <w:rPr>
                      <w:b/>
                      <w:bCs/>
                      <w:color w:val="auto"/>
                      <w:szCs w:val="21"/>
                      <w:lang w:val="zh-CN" w:bidi="zh-CN"/>
                    </w:rPr>
                  </w:pPr>
                  <w:r>
                    <w:rPr>
                      <w:rFonts w:eastAsia="Times New Roman"/>
                      <w:b/>
                      <w:bCs/>
                      <w:color w:val="auto"/>
                      <w:szCs w:val="21"/>
                      <w:lang w:bidi="zh-CN"/>
                    </w:rPr>
                    <w:t>运行时</w:t>
                  </w:r>
                  <w:r>
                    <w:rPr>
                      <w:rFonts w:hint="eastAsia" w:eastAsia="Times New Roman"/>
                      <w:b/>
                      <w:bCs/>
                      <w:color w:val="auto"/>
                      <w:szCs w:val="21"/>
                      <w:lang w:bidi="zh-CN"/>
                    </w:rPr>
                    <w:t>段</w:t>
                  </w:r>
                </w:p>
              </w:tc>
              <w:tc>
                <w:tcPr>
                  <w:tcW w:w="517" w:type="pct"/>
                  <w:vMerge w:val="restart"/>
                  <w:noWrap w:val="0"/>
                  <w:vAlign w:val="center"/>
                </w:tcPr>
                <w:p w14:paraId="5E80002E">
                  <w:pPr>
                    <w:adjustRightInd w:val="0"/>
                    <w:snapToGrid w:val="0"/>
                    <w:jc w:val="center"/>
                    <w:rPr>
                      <w:rFonts w:eastAsia="Times New Roman"/>
                      <w:b/>
                      <w:bCs/>
                      <w:color w:val="auto"/>
                      <w:szCs w:val="21"/>
                      <w:lang w:bidi="zh-CN"/>
                    </w:rPr>
                  </w:pPr>
                  <w:r>
                    <w:rPr>
                      <w:b/>
                      <w:bCs/>
                      <w:color w:val="auto"/>
                      <w:szCs w:val="21"/>
                      <w:lang w:val="zh-CN" w:bidi="zh-CN"/>
                    </w:rPr>
                    <w:t>建筑物插入损失/dB(A)</w:t>
                  </w:r>
                </w:p>
              </w:tc>
            </w:tr>
            <w:tr w14:paraId="1771F1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408" w:type="pct"/>
                  <w:vMerge w:val="continue"/>
                  <w:noWrap w:val="0"/>
                  <w:vAlign w:val="center"/>
                </w:tcPr>
                <w:p w14:paraId="4601777E">
                  <w:pPr>
                    <w:adjustRightInd w:val="0"/>
                    <w:snapToGrid w:val="0"/>
                    <w:jc w:val="center"/>
                    <w:rPr>
                      <w:rFonts w:eastAsia="Times New Roman"/>
                      <w:color w:val="auto"/>
                      <w:szCs w:val="21"/>
                      <w:lang w:val="zh-CN" w:bidi="zh-CN"/>
                    </w:rPr>
                  </w:pPr>
                </w:p>
              </w:tc>
              <w:tc>
                <w:tcPr>
                  <w:tcW w:w="388" w:type="pct"/>
                  <w:vMerge w:val="continue"/>
                  <w:noWrap w:val="0"/>
                  <w:vAlign w:val="center"/>
                </w:tcPr>
                <w:p w14:paraId="528A9786">
                  <w:pPr>
                    <w:adjustRightInd w:val="0"/>
                    <w:snapToGrid w:val="0"/>
                    <w:jc w:val="center"/>
                    <w:rPr>
                      <w:rFonts w:eastAsia="Times New Roman"/>
                      <w:color w:val="auto"/>
                      <w:szCs w:val="21"/>
                      <w:lang w:val="zh-CN" w:bidi="zh-CN"/>
                    </w:rPr>
                  </w:pPr>
                </w:p>
              </w:tc>
              <w:tc>
                <w:tcPr>
                  <w:tcW w:w="442" w:type="pct"/>
                  <w:vMerge w:val="continue"/>
                  <w:noWrap w:val="0"/>
                  <w:vAlign w:val="center"/>
                </w:tcPr>
                <w:p w14:paraId="06955D72">
                  <w:pPr>
                    <w:jc w:val="center"/>
                    <w:rPr>
                      <w:rFonts w:eastAsia="Times New Roman"/>
                      <w:color w:val="auto"/>
                      <w:szCs w:val="21"/>
                      <w:lang w:bidi="zh-CN"/>
                    </w:rPr>
                  </w:pPr>
                </w:p>
              </w:tc>
              <w:tc>
                <w:tcPr>
                  <w:tcW w:w="680" w:type="pct"/>
                  <w:vMerge w:val="restart"/>
                  <w:noWrap w:val="0"/>
                  <w:vAlign w:val="center"/>
                </w:tcPr>
                <w:p w14:paraId="507926BA">
                  <w:pPr>
                    <w:adjustRightInd w:val="0"/>
                    <w:snapToGrid w:val="0"/>
                    <w:jc w:val="center"/>
                    <w:rPr>
                      <w:rFonts w:eastAsia="Times New Roman"/>
                      <w:color w:val="auto"/>
                      <w:szCs w:val="21"/>
                      <w:lang w:bidi="zh-CN"/>
                    </w:rPr>
                  </w:pPr>
                  <w:r>
                    <w:rPr>
                      <w:rFonts w:hint="eastAsia"/>
                      <w:b/>
                      <w:bCs/>
                      <w:color w:val="auto"/>
                      <w:szCs w:val="21"/>
                    </w:rPr>
                    <w:t>声源控制</w:t>
                  </w:r>
                  <w:r>
                    <w:rPr>
                      <w:b/>
                      <w:bCs/>
                      <w:color w:val="auto"/>
                      <w:szCs w:val="21"/>
                    </w:rPr>
                    <w:t>措施</w:t>
                  </w:r>
                </w:p>
              </w:tc>
              <w:tc>
                <w:tcPr>
                  <w:tcW w:w="487" w:type="pct"/>
                  <w:vMerge w:val="restart"/>
                  <w:noWrap w:val="0"/>
                  <w:vAlign w:val="center"/>
                </w:tcPr>
                <w:p w14:paraId="6F30B79D">
                  <w:pPr>
                    <w:adjustRightInd w:val="0"/>
                    <w:snapToGrid w:val="0"/>
                    <w:jc w:val="center"/>
                    <w:rPr>
                      <w:rFonts w:eastAsia="Times New Roman"/>
                      <w:color w:val="auto"/>
                      <w:szCs w:val="21"/>
                      <w:lang w:bidi="zh-CN"/>
                    </w:rPr>
                  </w:pPr>
                  <w:r>
                    <w:rPr>
                      <w:rFonts w:hint="eastAsia" w:eastAsia="Times New Roman"/>
                      <w:b/>
                      <w:bCs/>
                      <w:color w:val="auto"/>
                      <w:szCs w:val="21"/>
                      <w:lang w:bidi="zh-CN"/>
                    </w:rPr>
                    <w:t>降噪效果</w:t>
                  </w:r>
                </w:p>
              </w:tc>
              <w:tc>
                <w:tcPr>
                  <w:tcW w:w="649" w:type="pct"/>
                  <w:vMerge w:val="continue"/>
                  <w:noWrap w:val="0"/>
                  <w:vAlign w:val="center"/>
                </w:tcPr>
                <w:p w14:paraId="6918CBAC">
                  <w:pPr>
                    <w:adjustRightInd w:val="0"/>
                    <w:snapToGrid w:val="0"/>
                    <w:jc w:val="center"/>
                    <w:rPr>
                      <w:rFonts w:hint="eastAsia" w:eastAsia="Times New Roman"/>
                      <w:color w:val="auto"/>
                      <w:szCs w:val="21"/>
                      <w:lang w:bidi="zh-CN"/>
                    </w:rPr>
                  </w:pPr>
                </w:p>
              </w:tc>
              <w:tc>
                <w:tcPr>
                  <w:tcW w:w="462" w:type="pct"/>
                  <w:vMerge w:val="restart"/>
                  <w:noWrap w:val="0"/>
                  <w:vAlign w:val="center"/>
                </w:tcPr>
                <w:p w14:paraId="1BB154BE">
                  <w:pPr>
                    <w:adjustRightInd w:val="0"/>
                    <w:snapToGrid w:val="0"/>
                    <w:jc w:val="center"/>
                    <w:rPr>
                      <w:rFonts w:eastAsia="Times New Roman"/>
                      <w:b/>
                      <w:bCs/>
                      <w:color w:val="auto"/>
                      <w:szCs w:val="21"/>
                      <w:lang w:bidi="zh-CN"/>
                    </w:rPr>
                  </w:pPr>
                  <w:r>
                    <w:rPr>
                      <w:rFonts w:hint="eastAsia" w:eastAsia="Times New Roman"/>
                      <w:b/>
                      <w:bCs/>
                      <w:color w:val="auto"/>
                      <w:szCs w:val="21"/>
                      <w:lang w:bidi="zh-CN"/>
                    </w:rPr>
                    <w:t>X</w:t>
                  </w:r>
                </w:p>
              </w:tc>
              <w:tc>
                <w:tcPr>
                  <w:tcW w:w="353" w:type="pct"/>
                  <w:vMerge w:val="restart"/>
                  <w:noWrap w:val="0"/>
                  <w:vAlign w:val="center"/>
                </w:tcPr>
                <w:p w14:paraId="41663964">
                  <w:pPr>
                    <w:adjustRightInd w:val="0"/>
                    <w:snapToGrid w:val="0"/>
                    <w:jc w:val="center"/>
                    <w:rPr>
                      <w:rFonts w:eastAsia="Times New Roman"/>
                      <w:b/>
                      <w:bCs/>
                      <w:color w:val="auto"/>
                      <w:szCs w:val="21"/>
                      <w:lang w:bidi="zh-CN"/>
                    </w:rPr>
                  </w:pPr>
                  <w:r>
                    <w:rPr>
                      <w:rFonts w:hint="eastAsia" w:eastAsia="Times New Roman"/>
                      <w:b/>
                      <w:bCs/>
                      <w:color w:val="auto"/>
                      <w:szCs w:val="21"/>
                      <w:lang w:bidi="zh-CN"/>
                    </w:rPr>
                    <w:t>Y</w:t>
                  </w:r>
                </w:p>
              </w:tc>
              <w:tc>
                <w:tcPr>
                  <w:tcW w:w="317" w:type="pct"/>
                  <w:vMerge w:val="restart"/>
                  <w:noWrap w:val="0"/>
                  <w:vAlign w:val="center"/>
                </w:tcPr>
                <w:p w14:paraId="64FEB38C">
                  <w:pPr>
                    <w:adjustRightInd w:val="0"/>
                    <w:snapToGrid w:val="0"/>
                    <w:jc w:val="center"/>
                    <w:rPr>
                      <w:rFonts w:eastAsia="Times New Roman"/>
                      <w:b/>
                      <w:bCs/>
                      <w:color w:val="auto"/>
                      <w:szCs w:val="21"/>
                      <w:lang w:bidi="zh-CN"/>
                    </w:rPr>
                  </w:pPr>
                  <w:r>
                    <w:rPr>
                      <w:rFonts w:hint="eastAsia" w:eastAsia="Times New Roman"/>
                      <w:b/>
                      <w:bCs/>
                      <w:color w:val="auto"/>
                      <w:szCs w:val="21"/>
                      <w:lang w:bidi="zh-CN"/>
                    </w:rPr>
                    <w:t>Z</w:t>
                  </w:r>
                </w:p>
              </w:tc>
              <w:tc>
                <w:tcPr>
                  <w:tcW w:w="289" w:type="pct"/>
                  <w:vMerge w:val="continue"/>
                  <w:noWrap w:val="0"/>
                  <w:vAlign w:val="center"/>
                </w:tcPr>
                <w:p w14:paraId="51A9267F">
                  <w:pPr>
                    <w:adjustRightInd w:val="0"/>
                    <w:snapToGrid w:val="0"/>
                    <w:jc w:val="center"/>
                    <w:rPr>
                      <w:rFonts w:eastAsia="Times New Roman"/>
                      <w:color w:val="auto"/>
                      <w:szCs w:val="21"/>
                      <w:lang w:bidi="zh-CN"/>
                    </w:rPr>
                  </w:pPr>
                </w:p>
              </w:tc>
              <w:tc>
                <w:tcPr>
                  <w:tcW w:w="517" w:type="pct"/>
                  <w:vMerge w:val="continue"/>
                  <w:noWrap w:val="0"/>
                  <w:vAlign w:val="center"/>
                </w:tcPr>
                <w:p w14:paraId="126516D5">
                  <w:pPr>
                    <w:adjustRightInd w:val="0"/>
                    <w:snapToGrid w:val="0"/>
                    <w:jc w:val="center"/>
                    <w:rPr>
                      <w:rFonts w:eastAsia="Times New Roman"/>
                      <w:color w:val="auto"/>
                      <w:szCs w:val="21"/>
                      <w:lang w:bidi="zh-CN"/>
                    </w:rPr>
                  </w:pPr>
                </w:p>
              </w:tc>
            </w:tr>
            <w:tr w14:paraId="070799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74" w:hRule="atLeast"/>
                <w:jc w:val="center"/>
              </w:trPr>
              <w:tc>
                <w:tcPr>
                  <w:tcW w:w="408" w:type="pct"/>
                  <w:vMerge w:val="continue"/>
                  <w:noWrap w:val="0"/>
                  <w:vAlign w:val="center"/>
                </w:tcPr>
                <w:p w14:paraId="731D7E87">
                  <w:pPr>
                    <w:adjustRightInd w:val="0"/>
                    <w:snapToGrid w:val="0"/>
                    <w:jc w:val="center"/>
                    <w:rPr>
                      <w:color w:val="auto"/>
                    </w:rPr>
                  </w:pPr>
                </w:p>
              </w:tc>
              <w:tc>
                <w:tcPr>
                  <w:tcW w:w="388" w:type="pct"/>
                  <w:vMerge w:val="continue"/>
                  <w:noWrap w:val="0"/>
                  <w:vAlign w:val="center"/>
                </w:tcPr>
                <w:p w14:paraId="087511E4">
                  <w:pPr>
                    <w:adjustRightInd w:val="0"/>
                    <w:snapToGrid w:val="0"/>
                    <w:jc w:val="center"/>
                    <w:rPr>
                      <w:color w:val="auto"/>
                    </w:rPr>
                  </w:pPr>
                </w:p>
              </w:tc>
              <w:tc>
                <w:tcPr>
                  <w:tcW w:w="442" w:type="pct"/>
                  <w:vMerge w:val="continue"/>
                  <w:noWrap w:val="0"/>
                  <w:vAlign w:val="center"/>
                </w:tcPr>
                <w:p w14:paraId="4974767D">
                  <w:pPr>
                    <w:adjustRightInd w:val="0"/>
                    <w:snapToGrid w:val="0"/>
                    <w:jc w:val="center"/>
                    <w:rPr>
                      <w:color w:val="auto"/>
                    </w:rPr>
                  </w:pPr>
                </w:p>
              </w:tc>
              <w:tc>
                <w:tcPr>
                  <w:tcW w:w="680" w:type="pct"/>
                  <w:vMerge w:val="continue"/>
                  <w:noWrap w:val="0"/>
                  <w:vAlign w:val="center"/>
                </w:tcPr>
                <w:p w14:paraId="73A1E3FF">
                  <w:pPr>
                    <w:adjustRightInd w:val="0"/>
                    <w:snapToGrid w:val="0"/>
                    <w:jc w:val="center"/>
                    <w:rPr>
                      <w:color w:val="auto"/>
                    </w:rPr>
                  </w:pPr>
                </w:p>
              </w:tc>
              <w:tc>
                <w:tcPr>
                  <w:tcW w:w="487" w:type="pct"/>
                  <w:vMerge w:val="continue"/>
                  <w:noWrap w:val="0"/>
                  <w:vAlign w:val="center"/>
                </w:tcPr>
                <w:p w14:paraId="5E760742">
                  <w:pPr>
                    <w:adjustRightInd w:val="0"/>
                    <w:snapToGrid w:val="0"/>
                    <w:jc w:val="center"/>
                    <w:rPr>
                      <w:color w:val="auto"/>
                    </w:rPr>
                  </w:pPr>
                </w:p>
              </w:tc>
              <w:tc>
                <w:tcPr>
                  <w:tcW w:w="649" w:type="pct"/>
                  <w:vMerge w:val="continue"/>
                  <w:noWrap w:val="0"/>
                  <w:vAlign w:val="center"/>
                </w:tcPr>
                <w:p w14:paraId="16B7515C">
                  <w:pPr>
                    <w:adjustRightInd w:val="0"/>
                    <w:snapToGrid w:val="0"/>
                    <w:jc w:val="center"/>
                    <w:rPr>
                      <w:color w:val="auto"/>
                    </w:rPr>
                  </w:pPr>
                </w:p>
              </w:tc>
              <w:tc>
                <w:tcPr>
                  <w:tcW w:w="462" w:type="pct"/>
                  <w:vMerge w:val="continue"/>
                  <w:noWrap w:val="0"/>
                  <w:vAlign w:val="center"/>
                </w:tcPr>
                <w:p w14:paraId="52FF3B1A">
                  <w:pPr>
                    <w:adjustRightInd w:val="0"/>
                    <w:snapToGrid w:val="0"/>
                    <w:jc w:val="center"/>
                    <w:rPr>
                      <w:color w:val="auto"/>
                    </w:rPr>
                  </w:pPr>
                </w:p>
              </w:tc>
              <w:tc>
                <w:tcPr>
                  <w:tcW w:w="353" w:type="pct"/>
                  <w:vMerge w:val="continue"/>
                  <w:noWrap w:val="0"/>
                  <w:vAlign w:val="center"/>
                </w:tcPr>
                <w:p w14:paraId="522D37D8">
                  <w:pPr>
                    <w:adjustRightInd w:val="0"/>
                    <w:snapToGrid w:val="0"/>
                    <w:jc w:val="center"/>
                    <w:rPr>
                      <w:color w:val="auto"/>
                    </w:rPr>
                  </w:pPr>
                </w:p>
              </w:tc>
              <w:tc>
                <w:tcPr>
                  <w:tcW w:w="317" w:type="pct"/>
                  <w:vMerge w:val="continue"/>
                  <w:noWrap w:val="0"/>
                  <w:vAlign w:val="center"/>
                </w:tcPr>
                <w:p w14:paraId="3B5B6460">
                  <w:pPr>
                    <w:adjustRightInd w:val="0"/>
                    <w:snapToGrid w:val="0"/>
                    <w:jc w:val="center"/>
                    <w:rPr>
                      <w:color w:val="auto"/>
                    </w:rPr>
                  </w:pPr>
                </w:p>
              </w:tc>
              <w:tc>
                <w:tcPr>
                  <w:tcW w:w="289" w:type="pct"/>
                  <w:vMerge w:val="continue"/>
                  <w:noWrap w:val="0"/>
                  <w:vAlign w:val="center"/>
                </w:tcPr>
                <w:p w14:paraId="4E8E8D5E">
                  <w:pPr>
                    <w:adjustRightInd w:val="0"/>
                    <w:snapToGrid w:val="0"/>
                    <w:jc w:val="center"/>
                    <w:rPr>
                      <w:color w:val="auto"/>
                    </w:rPr>
                  </w:pPr>
                </w:p>
              </w:tc>
              <w:tc>
                <w:tcPr>
                  <w:tcW w:w="517" w:type="pct"/>
                  <w:vMerge w:val="continue"/>
                  <w:noWrap w:val="0"/>
                  <w:vAlign w:val="center"/>
                </w:tcPr>
                <w:p w14:paraId="52A44E31">
                  <w:pPr>
                    <w:adjustRightInd w:val="0"/>
                    <w:snapToGrid w:val="0"/>
                    <w:jc w:val="center"/>
                    <w:rPr>
                      <w:color w:val="auto"/>
                    </w:rPr>
                  </w:pPr>
                </w:p>
              </w:tc>
            </w:tr>
            <w:tr w14:paraId="4D8914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408" w:type="pct"/>
                  <w:vMerge w:val="restart"/>
                  <w:noWrap w:val="0"/>
                  <w:vAlign w:val="center"/>
                </w:tcPr>
                <w:p w14:paraId="48779117">
                  <w:pPr>
                    <w:pStyle w:val="16"/>
                    <w:jc w:val="center"/>
                    <w:rPr>
                      <w:rFonts w:hint="default"/>
                      <w:color w:val="auto"/>
                      <w:kern w:val="2"/>
                      <w:sz w:val="21"/>
                      <w:szCs w:val="21"/>
                      <w:lang w:val="en-US" w:eastAsia="zh-CN"/>
                    </w:rPr>
                  </w:pPr>
                  <w:r>
                    <w:rPr>
                      <w:rFonts w:hint="eastAsia"/>
                      <w:color w:val="auto"/>
                      <w:kern w:val="2"/>
                      <w:sz w:val="21"/>
                      <w:szCs w:val="21"/>
                      <w:lang w:val="en-US" w:eastAsia="zh-CN"/>
                    </w:rPr>
                    <w:t>龙门举升机</w:t>
                  </w:r>
                </w:p>
              </w:tc>
              <w:tc>
                <w:tcPr>
                  <w:tcW w:w="388" w:type="pct"/>
                  <w:vMerge w:val="restart"/>
                  <w:noWrap w:val="0"/>
                  <w:vAlign w:val="center"/>
                </w:tcPr>
                <w:p w14:paraId="5B6F964F">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14</w:t>
                  </w:r>
                </w:p>
              </w:tc>
              <w:tc>
                <w:tcPr>
                  <w:tcW w:w="442" w:type="pct"/>
                  <w:noWrap w:val="0"/>
                  <w:vAlign w:val="center"/>
                </w:tcPr>
                <w:p w14:paraId="40564220">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75</w:t>
                  </w:r>
                </w:p>
              </w:tc>
              <w:tc>
                <w:tcPr>
                  <w:tcW w:w="680" w:type="pct"/>
                  <w:vMerge w:val="restart"/>
                  <w:noWrap w:val="0"/>
                  <w:vAlign w:val="center"/>
                </w:tcPr>
                <w:p w14:paraId="473700CE">
                  <w:pPr>
                    <w:jc w:val="center"/>
                    <w:rPr>
                      <w:rFonts w:hint="eastAsia"/>
                      <w:color w:val="auto"/>
                      <w:szCs w:val="21"/>
                    </w:rPr>
                  </w:pPr>
                  <w:r>
                    <w:rPr>
                      <w:rFonts w:hint="eastAsia"/>
                      <w:color w:val="auto"/>
                      <w:szCs w:val="21"/>
                    </w:rPr>
                    <w:t>选用低噪声设备，</w:t>
                  </w:r>
                  <w:r>
                    <w:rPr>
                      <w:rFonts w:hint="eastAsia"/>
                      <w:color w:val="auto"/>
                      <w:szCs w:val="21"/>
                      <w:lang w:val="en-US" w:eastAsia="zh-CN"/>
                    </w:rPr>
                    <w:t>设置在厂房内</w:t>
                  </w:r>
                  <w:r>
                    <w:rPr>
                      <w:rFonts w:hint="eastAsia"/>
                      <w:color w:val="auto"/>
                      <w:szCs w:val="21"/>
                    </w:rPr>
                    <w:t>，采用合理布局</w:t>
                  </w:r>
                  <w:r>
                    <w:rPr>
                      <w:rFonts w:hint="eastAsia"/>
                      <w:color w:val="auto"/>
                      <w:szCs w:val="21"/>
                      <w:lang w:eastAsia="zh-CN"/>
                    </w:rPr>
                    <w:t>、</w:t>
                  </w:r>
                  <w:r>
                    <w:rPr>
                      <w:rFonts w:hint="eastAsia"/>
                      <w:color w:val="auto"/>
                      <w:szCs w:val="21"/>
                      <w:lang w:val="en-US" w:eastAsia="zh-CN"/>
                    </w:rPr>
                    <w:t>距离衰减</w:t>
                  </w:r>
                  <w:r>
                    <w:rPr>
                      <w:rFonts w:hint="eastAsia"/>
                      <w:color w:val="auto"/>
                      <w:szCs w:val="21"/>
                    </w:rPr>
                    <w:t>等降噪等措施</w:t>
                  </w:r>
                </w:p>
              </w:tc>
              <w:tc>
                <w:tcPr>
                  <w:tcW w:w="487" w:type="pct"/>
                  <w:noWrap w:val="0"/>
                  <w:vAlign w:val="center"/>
                </w:tcPr>
                <w:p w14:paraId="1F375242">
                  <w:pPr>
                    <w:jc w:val="center"/>
                    <w:rPr>
                      <w:rFonts w:hint="eastAsia"/>
                      <w:color w:val="auto"/>
                      <w:kern w:val="2"/>
                      <w:sz w:val="21"/>
                      <w:szCs w:val="21"/>
                      <w:lang w:val="en-US" w:eastAsia="zh-CN" w:bidi="ar-SA"/>
                    </w:rPr>
                  </w:pPr>
                  <w:r>
                    <w:rPr>
                      <w:rFonts w:hint="eastAsia"/>
                      <w:color w:val="auto"/>
                      <w:szCs w:val="21"/>
                    </w:rPr>
                    <w:t>10</w:t>
                  </w:r>
                </w:p>
              </w:tc>
              <w:tc>
                <w:tcPr>
                  <w:tcW w:w="649" w:type="pct"/>
                  <w:noWrap w:val="0"/>
                  <w:vAlign w:val="center"/>
                </w:tcPr>
                <w:p w14:paraId="14AC513A">
                  <w:pPr>
                    <w:jc w:val="center"/>
                    <w:rPr>
                      <w:rFonts w:hint="default"/>
                      <w:color w:val="auto"/>
                      <w:szCs w:val="21"/>
                      <w:lang w:val="en-US" w:eastAsia="zh-CN"/>
                    </w:rPr>
                  </w:pPr>
                  <w:r>
                    <w:rPr>
                      <w:rFonts w:hint="eastAsia"/>
                      <w:color w:val="auto"/>
                      <w:szCs w:val="21"/>
                      <w:lang w:val="en-US" w:eastAsia="zh-CN"/>
                    </w:rPr>
                    <w:t>65</w:t>
                  </w:r>
                </w:p>
              </w:tc>
              <w:tc>
                <w:tcPr>
                  <w:tcW w:w="462" w:type="pct"/>
                  <w:noWrap w:val="0"/>
                  <w:vAlign w:val="center"/>
                </w:tcPr>
                <w:p w14:paraId="0FE30028">
                  <w:pPr>
                    <w:jc w:val="center"/>
                    <w:rPr>
                      <w:rFonts w:hint="default" w:eastAsia="宋体"/>
                      <w:color w:val="auto"/>
                      <w:szCs w:val="21"/>
                      <w:lang w:val="en-US" w:eastAsia="zh-CN"/>
                    </w:rPr>
                  </w:pPr>
                  <w:r>
                    <w:rPr>
                      <w:rFonts w:hint="eastAsia"/>
                      <w:color w:val="auto"/>
                      <w:szCs w:val="21"/>
                      <w:lang w:val="en-US" w:eastAsia="zh-CN"/>
                    </w:rPr>
                    <w:t>10.42</w:t>
                  </w:r>
                </w:p>
              </w:tc>
              <w:tc>
                <w:tcPr>
                  <w:tcW w:w="353" w:type="pct"/>
                  <w:noWrap w:val="0"/>
                  <w:vAlign w:val="center"/>
                </w:tcPr>
                <w:p w14:paraId="04FAE440">
                  <w:pPr>
                    <w:jc w:val="center"/>
                    <w:rPr>
                      <w:rFonts w:hint="default" w:eastAsia="宋体"/>
                      <w:color w:val="auto"/>
                      <w:szCs w:val="21"/>
                      <w:lang w:val="en-US" w:eastAsia="zh-CN"/>
                    </w:rPr>
                  </w:pPr>
                  <w:r>
                    <w:rPr>
                      <w:rFonts w:hint="eastAsia"/>
                      <w:color w:val="auto"/>
                      <w:szCs w:val="21"/>
                      <w:lang w:val="en-US" w:eastAsia="zh-CN"/>
                    </w:rPr>
                    <w:t>-29.27</w:t>
                  </w:r>
                </w:p>
              </w:tc>
              <w:tc>
                <w:tcPr>
                  <w:tcW w:w="317" w:type="pct"/>
                  <w:noWrap w:val="0"/>
                  <w:vAlign w:val="center"/>
                </w:tcPr>
                <w:p w14:paraId="0ACB8918">
                  <w:pPr>
                    <w:jc w:val="center"/>
                    <w:rPr>
                      <w:rFonts w:hint="eastAsia"/>
                      <w:color w:val="auto"/>
                      <w:kern w:val="2"/>
                      <w:sz w:val="21"/>
                      <w:szCs w:val="21"/>
                      <w:lang w:val="en-US" w:eastAsia="zh-CN" w:bidi="ar-SA"/>
                    </w:rPr>
                  </w:pPr>
                  <w:r>
                    <w:rPr>
                      <w:rFonts w:hint="eastAsia"/>
                      <w:color w:val="auto"/>
                      <w:szCs w:val="21"/>
                    </w:rPr>
                    <w:t>1</w:t>
                  </w:r>
                </w:p>
              </w:tc>
              <w:tc>
                <w:tcPr>
                  <w:tcW w:w="289" w:type="pct"/>
                  <w:vMerge w:val="restart"/>
                  <w:noWrap w:val="0"/>
                  <w:vAlign w:val="center"/>
                </w:tcPr>
                <w:p w14:paraId="0F705185">
                  <w:pPr>
                    <w:jc w:val="center"/>
                    <w:rPr>
                      <w:rFonts w:hint="default" w:eastAsia="宋体"/>
                      <w:color w:val="auto"/>
                      <w:szCs w:val="21"/>
                      <w:lang w:val="en-US" w:eastAsia="zh-CN"/>
                    </w:rPr>
                  </w:pPr>
                  <w:r>
                    <w:rPr>
                      <w:rFonts w:hint="eastAsia"/>
                      <w:color w:val="auto"/>
                      <w:szCs w:val="21"/>
                      <w:lang w:val="en-US" w:eastAsia="zh-CN"/>
                    </w:rPr>
                    <w:t>昼间</w:t>
                  </w:r>
                </w:p>
              </w:tc>
              <w:tc>
                <w:tcPr>
                  <w:tcW w:w="517" w:type="pct"/>
                  <w:vMerge w:val="restart"/>
                  <w:noWrap w:val="0"/>
                  <w:vAlign w:val="center"/>
                </w:tcPr>
                <w:p w14:paraId="79A04184">
                  <w:pPr>
                    <w:jc w:val="center"/>
                    <w:rPr>
                      <w:rFonts w:hint="eastAsia"/>
                      <w:color w:val="auto"/>
                      <w:szCs w:val="21"/>
                    </w:rPr>
                  </w:pPr>
                  <w:r>
                    <w:rPr>
                      <w:rFonts w:hint="eastAsia"/>
                      <w:color w:val="auto"/>
                      <w:szCs w:val="21"/>
                    </w:rPr>
                    <w:t>2</w:t>
                  </w:r>
                  <w:r>
                    <w:rPr>
                      <w:rFonts w:hint="eastAsia"/>
                      <w:color w:val="auto"/>
                      <w:szCs w:val="21"/>
                      <w:lang w:val="en-US" w:eastAsia="zh-CN"/>
                    </w:rPr>
                    <w:t>0</w:t>
                  </w:r>
                </w:p>
              </w:tc>
            </w:tr>
            <w:tr w14:paraId="46FF43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408" w:type="pct"/>
                  <w:vMerge w:val="continue"/>
                  <w:noWrap w:val="0"/>
                  <w:vAlign w:val="center"/>
                </w:tcPr>
                <w:p w14:paraId="42A65384">
                  <w:pPr>
                    <w:pStyle w:val="16"/>
                    <w:jc w:val="center"/>
                    <w:rPr>
                      <w:rFonts w:hint="eastAsia"/>
                      <w:color w:val="auto"/>
                      <w:kern w:val="2"/>
                      <w:sz w:val="21"/>
                      <w:szCs w:val="21"/>
                      <w:lang w:val="en-US" w:eastAsia="zh-CN"/>
                    </w:rPr>
                  </w:pPr>
                </w:p>
              </w:tc>
              <w:tc>
                <w:tcPr>
                  <w:tcW w:w="388" w:type="pct"/>
                  <w:vMerge w:val="continue"/>
                  <w:noWrap w:val="0"/>
                  <w:vAlign w:val="center"/>
                </w:tcPr>
                <w:p w14:paraId="7388D9D4">
                  <w:pPr>
                    <w:pStyle w:val="57"/>
                    <w:spacing w:before="48" w:after="48"/>
                    <w:rPr>
                      <w:rFonts w:hint="eastAsia" w:ascii="Times New Roman" w:hAnsi="Times New Roman"/>
                      <w:color w:val="auto"/>
                      <w:szCs w:val="21"/>
                      <w:lang w:val="en-US" w:eastAsia="zh-CN"/>
                    </w:rPr>
                  </w:pPr>
                </w:p>
              </w:tc>
              <w:tc>
                <w:tcPr>
                  <w:tcW w:w="442" w:type="pct"/>
                  <w:noWrap w:val="0"/>
                  <w:vAlign w:val="center"/>
                </w:tcPr>
                <w:p w14:paraId="50EF67E0">
                  <w:pPr>
                    <w:pStyle w:val="57"/>
                    <w:spacing w:before="48" w:after="48"/>
                    <w:rPr>
                      <w:rFonts w:hint="eastAsia" w:ascii="Times New Roman" w:hAnsi="Times New Roman" w:cs="宋体"/>
                      <w:color w:val="auto"/>
                      <w:kern w:val="2"/>
                      <w:sz w:val="21"/>
                      <w:szCs w:val="21"/>
                      <w:lang w:val="en-US" w:eastAsia="zh-CN" w:bidi="ar-SA"/>
                    </w:rPr>
                  </w:pPr>
                  <w:r>
                    <w:rPr>
                      <w:rFonts w:hint="eastAsia" w:ascii="Times New Roman" w:hAnsi="Times New Roman"/>
                      <w:color w:val="auto"/>
                      <w:szCs w:val="21"/>
                      <w:lang w:val="en-US" w:eastAsia="zh-CN"/>
                    </w:rPr>
                    <w:t>75</w:t>
                  </w:r>
                </w:p>
              </w:tc>
              <w:tc>
                <w:tcPr>
                  <w:tcW w:w="680" w:type="pct"/>
                  <w:vMerge w:val="continue"/>
                  <w:noWrap w:val="0"/>
                  <w:vAlign w:val="center"/>
                </w:tcPr>
                <w:p w14:paraId="5C32EDAF">
                  <w:pPr>
                    <w:jc w:val="center"/>
                    <w:rPr>
                      <w:rFonts w:hint="eastAsia"/>
                      <w:color w:val="auto"/>
                      <w:kern w:val="2"/>
                      <w:sz w:val="21"/>
                      <w:szCs w:val="21"/>
                      <w:lang w:val="en-US" w:eastAsia="zh-CN" w:bidi="ar-SA"/>
                    </w:rPr>
                  </w:pPr>
                </w:p>
              </w:tc>
              <w:tc>
                <w:tcPr>
                  <w:tcW w:w="487" w:type="pct"/>
                  <w:noWrap w:val="0"/>
                  <w:vAlign w:val="center"/>
                </w:tcPr>
                <w:p w14:paraId="40C20828">
                  <w:pPr>
                    <w:jc w:val="center"/>
                    <w:rPr>
                      <w:rFonts w:hint="eastAsia"/>
                      <w:color w:val="auto"/>
                      <w:kern w:val="2"/>
                      <w:sz w:val="21"/>
                      <w:szCs w:val="21"/>
                      <w:lang w:val="en-US" w:eastAsia="zh-CN" w:bidi="ar-SA"/>
                    </w:rPr>
                  </w:pPr>
                  <w:r>
                    <w:rPr>
                      <w:rFonts w:hint="eastAsia"/>
                      <w:color w:val="auto"/>
                      <w:szCs w:val="21"/>
                    </w:rPr>
                    <w:t>10</w:t>
                  </w:r>
                </w:p>
              </w:tc>
              <w:tc>
                <w:tcPr>
                  <w:tcW w:w="649" w:type="pct"/>
                  <w:noWrap w:val="0"/>
                  <w:vAlign w:val="center"/>
                </w:tcPr>
                <w:p w14:paraId="525AD64D">
                  <w:pPr>
                    <w:jc w:val="center"/>
                    <w:rPr>
                      <w:rFonts w:hint="eastAsia"/>
                      <w:color w:val="auto"/>
                      <w:kern w:val="2"/>
                      <w:sz w:val="21"/>
                      <w:szCs w:val="21"/>
                      <w:lang w:val="en-US" w:eastAsia="zh-CN" w:bidi="ar-SA"/>
                    </w:rPr>
                  </w:pPr>
                  <w:r>
                    <w:rPr>
                      <w:rFonts w:hint="eastAsia"/>
                      <w:color w:val="auto"/>
                      <w:szCs w:val="21"/>
                      <w:lang w:val="en-US" w:eastAsia="zh-CN"/>
                    </w:rPr>
                    <w:t>65</w:t>
                  </w:r>
                </w:p>
              </w:tc>
              <w:tc>
                <w:tcPr>
                  <w:tcW w:w="462" w:type="pct"/>
                  <w:noWrap w:val="0"/>
                  <w:vAlign w:val="center"/>
                </w:tcPr>
                <w:p w14:paraId="1089EAA8">
                  <w:pPr>
                    <w:jc w:val="center"/>
                    <w:rPr>
                      <w:rFonts w:hint="eastAsia" w:eastAsia="宋体"/>
                      <w:color w:val="auto"/>
                      <w:kern w:val="2"/>
                      <w:sz w:val="21"/>
                      <w:szCs w:val="21"/>
                      <w:lang w:val="en-US" w:eastAsia="zh-CN" w:bidi="ar-SA"/>
                    </w:rPr>
                  </w:pPr>
                  <w:r>
                    <w:rPr>
                      <w:rFonts w:hint="eastAsia"/>
                      <w:color w:val="auto"/>
                      <w:szCs w:val="21"/>
                      <w:lang w:val="en-US" w:eastAsia="zh-CN"/>
                    </w:rPr>
                    <w:t>6.73</w:t>
                  </w:r>
                </w:p>
              </w:tc>
              <w:tc>
                <w:tcPr>
                  <w:tcW w:w="353" w:type="pct"/>
                  <w:noWrap w:val="0"/>
                  <w:vAlign w:val="center"/>
                </w:tcPr>
                <w:p w14:paraId="57BB4672">
                  <w:pPr>
                    <w:jc w:val="center"/>
                    <w:rPr>
                      <w:rFonts w:hint="eastAsia" w:eastAsia="宋体"/>
                      <w:color w:val="auto"/>
                      <w:kern w:val="2"/>
                      <w:sz w:val="21"/>
                      <w:szCs w:val="21"/>
                      <w:lang w:val="en-US" w:eastAsia="zh-CN" w:bidi="ar-SA"/>
                    </w:rPr>
                  </w:pPr>
                  <w:r>
                    <w:rPr>
                      <w:rFonts w:hint="eastAsia"/>
                      <w:color w:val="auto"/>
                      <w:szCs w:val="21"/>
                      <w:lang w:val="en-US" w:eastAsia="zh-CN"/>
                    </w:rPr>
                    <w:t>-29.24</w:t>
                  </w:r>
                </w:p>
              </w:tc>
              <w:tc>
                <w:tcPr>
                  <w:tcW w:w="317" w:type="pct"/>
                  <w:noWrap w:val="0"/>
                  <w:vAlign w:val="center"/>
                </w:tcPr>
                <w:p w14:paraId="2CD4FE7C">
                  <w:pPr>
                    <w:jc w:val="center"/>
                    <w:rPr>
                      <w:rFonts w:hint="eastAsia" w:eastAsia="宋体"/>
                      <w:color w:val="auto"/>
                      <w:kern w:val="2"/>
                      <w:sz w:val="21"/>
                      <w:szCs w:val="21"/>
                      <w:lang w:val="en-US" w:eastAsia="zh-CN" w:bidi="ar-SA"/>
                    </w:rPr>
                  </w:pPr>
                  <w:r>
                    <w:rPr>
                      <w:rFonts w:hint="eastAsia"/>
                      <w:color w:val="auto"/>
                      <w:szCs w:val="21"/>
                      <w:lang w:val="en-US" w:eastAsia="zh-CN"/>
                    </w:rPr>
                    <w:t>1</w:t>
                  </w:r>
                </w:p>
              </w:tc>
              <w:tc>
                <w:tcPr>
                  <w:tcW w:w="289" w:type="pct"/>
                  <w:vMerge w:val="continue"/>
                  <w:noWrap w:val="0"/>
                  <w:vAlign w:val="center"/>
                </w:tcPr>
                <w:p w14:paraId="260F2EF4">
                  <w:pPr>
                    <w:jc w:val="center"/>
                    <w:rPr>
                      <w:rFonts w:hint="eastAsia"/>
                      <w:color w:val="auto"/>
                      <w:szCs w:val="21"/>
                    </w:rPr>
                  </w:pPr>
                </w:p>
              </w:tc>
              <w:tc>
                <w:tcPr>
                  <w:tcW w:w="517" w:type="pct"/>
                  <w:vMerge w:val="continue"/>
                  <w:noWrap w:val="0"/>
                  <w:vAlign w:val="center"/>
                </w:tcPr>
                <w:p w14:paraId="70576EDE">
                  <w:pPr>
                    <w:jc w:val="center"/>
                    <w:rPr>
                      <w:rFonts w:hint="eastAsia"/>
                      <w:color w:val="auto"/>
                      <w:szCs w:val="21"/>
                    </w:rPr>
                  </w:pPr>
                </w:p>
              </w:tc>
            </w:tr>
            <w:tr w14:paraId="796AA3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408" w:type="pct"/>
                  <w:vMerge w:val="continue"/>
                  <w:noWrap w:val="0"/>
                  <w:vAlign w:val="center"/>
                </w:tcPr>
                <w:p w14:paraId="2DE59CC9">
                  <w:pPr>
                    <w:pStyle w:val="16"/>
                    <w:jc w:val="center"/>
                    <w:rPr>
                      <w:rFonts w:hint="eastAsia"/>
                      <w:color w:val="auto"/>
                      <w:kern w:val="2"/>
                      <w:sz w:val="21"/>
                      <w:szCs w:val="21"/>
                      <w:lang w:val="en-US" w:eastAsia="zh-CN"/>
                    </w:rPr>
                  </w:pPr>
                </w:p>
              </w:tc>
              <w:tc>
                <w:tcPr>
                  <w:tcW w:w="388" w:type="pct"/>
                  <w:vMerge w:val="continue"/>
                  <w:noWrap w:val="0"/>
                  <w:vAlign w:val="center"/>
                </w:tcPr>
                <w:p w14:paraId="09BCB802">
                  <w:pPr>
                    <w:pStyle w:val="57"/>
                    <w:spacing w:before="48" w:after="48"/>
                    <w:rPr>
                      <w:rFonts w:hint="eastAsia" w:ascii="Times New Roman" w:hAnsi="Times New Roman"/>
                      <w:color w:val="auto"/>
                      <w:szCs w:val="21"/>
                      <w:lang w:val="en-US" w:eastAsia="zh-CN"/>
                    </w:rPr>
                  </w:pPr>
                </w:p>
              </w:tc>
              <w:tc>
                <w:tcPr>
                  <w:tcW w:w="442" w:type="pct"/>
                  <w:noWrap w:val="0"/>
                  <w:vAlign w:val="center"/>
                </w:tcPr>
                <w:p w14:paraId="3DA5C103">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75</w:t>
                  </w:r>
                </w:p>
              </w:tc>
              <w:tc>
                <w:tcPr>
                  <w:tcW w:w="680" w:type="pct"/>
                  <w:vMerge w:val="continue"/>
                  <w:noWrap w:val="0"/>
                  <w:vAlign w:val="center"/>
                </w:tcPr>
                <w:p w14:paraId="42FD3EEF">
                  <w:pPr>
                    <w:jc w:val="center"/>
                    <w:rPr>
                      <w:rFonts w:hint="eastAsia"/>
                      <w:color w:val="auto"/>
                      <w:szCs w:val="21"/>
                    </w:rPr>
                  </w:pPr>
                </w:p>
              </w:tc>
              <w:tc>
                <w:tcPr>
                  <w:tcW w:w="487" w:type="pct"/>
                  <w:noWrap w:val="0"/>
                  <w:vAlign w:val="center"/>
                </w:tcPr>
                <w:p w14:paraId="704893C0">
                  <w:pPr>
                    <w:jc w:val="center"/>
                    <w:rPr>
                      <w:rFonts w:hint="eastAsia"/>
                      <w:color w:val="auto"/>
                      <w:kern w:val="2"/>
                      <w:sz w:val="21"/>
                      <w:szCs w:val="21"/>
                      <w:lang w:val="en-US" w:eastAsia="zh-CN" w:bidi="ar-SA"/>
                    </w:rPr>
                  </w:pPr>
                  <w:r>
                    <w:rPr>
                      <w:rFonts w:hint="eastAsia"/>
                      <w:color w:val="auto"/>
                      <w:szCs w:val="21"/>
                    </w:rPr>
                    <w:t>10</w:t>
                  </w:r>
                </w:p>
              </w:tc>
              <w:tc>
                <w:tcPr>
                  <w:tcW w:w="649" w:type="pct"/>
                  <w:noWrap w:val="0"/>
                  <w:vAlign w:val="center"/>
                </w:tcPr>
                <w:p w14:paraId="76550A77">
                  <w:pPr>
                    <w:jc w:val="center"/>
                    <w:rPr>
                      <w:rFonts w:hint="default"/>
                      <w:color w:val="auto"/>
                      <w:szCs w:val="21"/>
                      <w:lang w:val="en-US" w:eastAsia="zh-CN"/>
                    </w:rPr>
                  </w:pPr>
                  <w:r>
                    <w:rPr>
                      <w:rFonts w:hint="eastAsia"/>
                      <w:color w:val="auto"/>
                      <w:szCs w:val="21"/>
                      <w:lang w:val="en-US" w:eastAsia="zh-CN"/>
                    </w:rPr>
                    <w:t>65</w:t>
                  </w:r>
                </w:p>
              </w:tc>
              <w:tc>
                <w:tcPr>
                  <w:tcW w:w="462" w:type="pct"/>
                  <w:noWrap w:val="0"/>
                  <w:vAlign w:val="center"/>
                </w:tcPr>
                <w:p w14:paraId="18152D40">
                  <w:pPr>
                    <w:jc w:val="center"/>
                    <w:rPr>
                      <w:rFonts w:hint="default" w:eastAsia="宋体"/>
                      <w:color w:val="auto"/>
                      <w:szCs w:val="21"/>
                      <w:lang w:val="en-US" w:eastAsia="zh-CN"/>
                    </w:rPr>
                  </w:pPr>
                  <w:r>
                    <w:rPr>
                      <w:rFonts w:hint="eastAsia"/>
                      <w:color w:val="auto"/>
                      <w:szCs w:val="21"/>
                      <w:lang w:val="en-US" w:eastAsia="zh-CN"/>
                    </w:rPr>
                    <w:t>14.36</w:t>
                  </w:r>
                </w:p>
              </w:tc>
              <w:tc>
                <w:tcPr>
                  <w:tcW w:w="353" w:type="pct"/>
                  <w:noWrap w:val="0"/>
                  <w:vAlign w:val="center"/>
                </w:tcPr>
                <w:p w14:paraId="69AC95AB">
                  <w:pPr>
                    <w:jc w:val="center"/>
                    <w:rPr>
                      <w:rFonts w:hint="default" w:eastAsia="宋体"/>
                      <w:color w:val="auto"/>
                      <w:szCs w:val="21"/>
                      <w:lang w:val="en-US" w:eastAsia="zh-CN"/>
                    </w:rPr>
                  </w:pPr>
                  <w:r>
                    <w:rPr>
                      <w:rFonts w:hint="eastAsia"/>
                      <w:color w:val="auto"/>
                      <w:szCs w:val="21"/>
                      <w:lang w:val="en-US" w:eastAsia="zh-CN"/>
                    </w:rPr>
                    <w:t>-29.17</w:t>
                  </w:r>
                </w:p>
              </w:tc>
              <w:tc>
                <w:tcPr>
                  <w:tcW w:w="317" w:type="pct"/>
                  <w:noWrap w:val="0"/>
                  <w:vAlign w:val="center"/>
                </w:tcPr>
                <w:p w14:paraId="65E1881C">
                  <w:pPr>
                    <w:jc w:val="center"/>
                    <w:rPr>
                      <w:rFonts w:hint="eastAsia" w:eastAsia="宋体"/>
                      <w:color w:val="auto"/>
                      <w:kern w:val="2"/>
                      <w:sz w:val="21"/>
                      <w:szCs w:val="21"/>
                      <w:lang w:val="en-US" w:eastAsia="zh-CN" w:bidi="ar-SA"/>
                    </w:rPr>
                  </w:pPr>
                  <w:r>
                    <w:rPr>
                      <w:rFonts w:hint="eastAsia"/>
                      <w:color w:val="auto"/>
                      <w:szCs w:val="21"/>
                      <w:lang w:val="en-US" w:eastAsia="zh-CN"/>
                    </w:rPr>
                    <w:t>1</w:t>
                  </w:r>
                </w:p>
              </w:tc>
              <w:tc>
                <w:tcPr>
                  <w:tcW w:w="289" w:type="pct"/>
                  <w:vMerge w:val="continue"/>
                  <w:noWrap w:val="0"/>
                  <w:vAlign w:val="center"/>
                </w:tcPr>
                <w:p w14:paraId="19CC5E4E">
                  <w:pPr>
                    <w:jc w:val="center"/>
                    <w:rPr>
                      <w:rFonts w:hint="eastAsia"/>
                      <w:color w:val="auto"/>
                      <w:szCs w:val="21"/>
                    </w:rPr>
                  </w:pPr>
                </w:p>
              </w:tc>
              <w:tc>
                <w:tcPr>
                  <w:tcW w:w="517" w:type="pct"/>
                  <w:vMerge w:val="continue"/>
                  <w:noWrap w:val="0"/>
                  <w:vAlign w:val="center"/>
                </w:tcPr>
                <w:p w14:paraId="56907AA2">
                  <w:pPr>
                    <w:jc w:val="center"/>
                    <w:rPr>
                      <w:rFonts w:hint="eastAsia"/>
                      <w:color w:val="auto"/>
                      <w:szCs w:val="21"/>
                    </w:rPr>
                  </w:pPr>
                </w:p>
              </w:tc>
            </w:tr>
            <w:tr w14:paraId="0C7F84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408" w:type="pct"/>
                  <w:vMerge w:val="continue"/>
                  <w:noWrap w:val="0"/>
                  <w:vAlign w:val="center"/>
                </w:tcPr>
                <w:p w14:paraId="6BCEE5CD">
                  <w:pPr>
                    <w:pStyle w:val="16"/>
                    <w:jc w:val="center"/>
                    <w:rPr>
                      <w:rFonts w:hint="eastAsia"/>
                      <w:color w:val="auto"/>
                      <w:kern w:val="2"/>
                      <w:sz w:val="21"/>
                      <w:szCs w:val="21"/>
                      <w:lang w:val="en-US" w:eastAsia="zh-CN"/>
                    </w:rPr>
                  </w:pPr>
                </w:p>
              </w:tc>
              <w:tc>
                <w:tcPr>
                  <w:tcW w:w="388" w:type="pct"/>
                  <w:vMerge w:val="continue"/>
                  <w:noWrap w:val="0"/>
                  <w:vAlign w:val="center"/>
                </w:tcPr>
                <w:p w14:paraId="78A6619E">
                  <w:pPr>
                    <w:pStyle w:val="57"/>
                    <w:spacing w:before="48" w:after="48"/>
                    <w:rPr>
                      <w:rFonts w:hint="eastAsia" w:ascii="Times New Roman" w:hAnsi="Times New Roman"/>
                      <w:color w:val="auto"/>
                      <w:szCs w:val="21"/>
                      <w:lang w:val="en-US" w:eastAsia="zh-CN"/>
                    </w:rPr>
                  </w:pPr>
                </w:p>
              </w:tc>
              <w:tc>
                <w:tcPr>
                  <w:tcW w:w="442" w:type="pct"/>
                  <w:noWrap w:val="0"/>
                  <w:vAlign w:val="center"/>
                </w:tcPr>
                <w:p w14:paraId="45A621B4">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75</w:t>
                  </w:r>
                </w:p>
              </w:tc>
              <w:tc>
                <w:tcPr>
                  <w:tcW w:w="680" w:type="pct"/>
                  <w:vMerge w:val="continue"/>
                  <w:noWrap w:val="0"/>
                  <w:vAlign w:val="center"/>
                </w:tcPr>
                <w:p w14:paraId="26D5DF78">
                  <w:pPr>
                    <w:jc w:val="center"/>
                    <w:rPr>
                      <w:rFonts w:hint="eastAsia"/>
                      <w:color w:val="auto"/>
                      <w:szCs w:val="21"/>
                    </w:rPr>
                  </w:pPr>
                </w:p>
              </w:tc>
              <w:tc>
                <w:tcPr>
                  <w:tcW w:w="487" w:type="pct"/>
                  <w:noWrap w:val="0"/>
                  <w:vAlign w:val="center"/>
                </w:tcPr>
                <w:p w14:paraId="2E563344">
                  <w:pPr>
                    <w:jc w:val="center"/>
                    <w:rPr>
                      <w:rFonts w:hint="eastAsia"/>
                      <w:color w:val="auto"/>
                      <w:kern w:val="2"/>
                      <w:sz w:val="21"/>
                      <w:szCs w:val="21"/>
                      <w:lang w:val="en-US" w:eastAsia="zh-CN" w:bidi="ar-SA"/>
                    </w:rPr>
                  </w:pPr>
                  <w:r>
                    <w:rPr>
                      <w:rFonts w:hint="eastAsia"/>
                      <w:color w:val="auto"/>
                      <w:szCs w:val="21"/>
                    </w:rPr>
                    <w:t>10</w:t>
                  </w:r>
                </w:p>
              </w:tc>
              <w:tc>
                <w:tcPr>
                  <w:tcW w:w="649" w:type="pct"/>
                  <w:noWrap w:val="0"/>
                  <w:vAlign w:val="center"/>
                </w:tcPr>
                <w:p w14:paraId="097CD3F9">
                  <w:pPr>
                    <w:jc w:val="center"/>
                    <w:rPr>
                      <w:rFonts w:hint="default"/>
                      <w:color w:val="auto"/>
                      <w:szCs w:val="21"/>
                      <w:lang w:val="en-US" w:eastAsia="zh-CN"/>
                    </w:rPr>
                  </w:pPr>
                  <w:r>
                    <w:rPr>
                      <w:rFonts w:hint="eastAsia"/>
                      <w:color w:val="auto"/>
                      <w:szCs w:val="21"/>
                      <w:lang w:val="en-US" w:eastAsia="zh-CN"/>
                    </w:rPr>
                    <w:t>65</w:t>
                  </w:r>
                </w:p>
              </w:tc>
              <w:tc>
                <w:tcPr>
                  <w:tcW w:w="462" w:type="pct"/>
                  <w:noWrap w:val="0"/>
                  <w:vAlign w:val="center"/>
                </w:tcPr>
                <w:p w14:paraId="0BBB6D58">
                  <w:pPr>
                    <w:jc w:val="center"/>
                    <w:rPr>
                      <w:rFonts w:hint="default" w:eastAsia="宋体"/>
                      <w:color w:val="auto"/>
                      <w:szCs w:val="21"/>
                      <w:lang w:val="en-US" w:eastAsia="zh-CN"/>
                    </w:rPr>
                  </w:pPr>
                  <w:r>
                    <w:rPr>
                      <w:rFonts w:hint="eastAsia"/>
                      <w:color w:val="auto"/>
                      <w:szCs w:val="21"/>
                      <w:lang w:val="en-US" w:eastAsia="zh-CN"/>
                    </w:rPr>
                    <w:t>18.62</w:t>
                  </w:r>
                </w:p>
              </w:tc>
              <w:tc>
                <w:tcPr>
                  <w:tcW w:w="353" w:type="pct"/>
                  <w:noWrap w:val="0"/>
                  <w:vAlign w:val="center"/>
                </w:tcPr>
                <w:p w14:paraId="4D01A8A0">
                  <w:pPr>
                    <w:jc w:val="center"/>
                    <w:rPr>
                      <w:rFonts w:hint="default" w:eastAsia="宋体"/>
                      <w:color w:val="auto"/>
                      <w:szCs w:val="21"/>
                      <w:lang w:val="en-US" w:eastAsia="zh-CN"/>
                    </w:rPr>
                  </w:pPr>
                  <w:r>
                    <w:rPr>
                      <w:rFonts w:hint="eastAsia"/>
                      <w:color w:val="auto"/>
                      <w:szCs w:val="21"/>
                      <w:lang w:val="en-US" w:eastAsia="zh-CN"/>
                    </w:rPr>
                    <w:t>-29.04</w:t>
                  </w:r>
                </w:p>
              </w:tc>
              <w:tc>
                <w:tcPr>
                  <w:tcW w:w="317" w:type="pct"/>
                  <w:noWrap w:val="0"/>
                  <w:vAlign w:val="center"/>
                </w:tcPr>
                <w:p w14:paraId="1AFD4C38">
                  <w:pPr>
                    <w:jc w:val="center"/>
                    <w:rPr>
                      <w:rFonts w:hint="eastAsia" w:eastAsia="宋体"/>
                      <w:color w:val="auto"/>
                      <w:kern w:val="2"/>
                      <w:sz w:val="21"/>
                      <w:szCs w:val="21"/>
                      <w:lang w:val="en-US" w:eastAsia="zh-CN" w:bidi="ar-SA"/>
                    </w:rPr>
                  </w:pPr>
                  <w:r>
                    <w:rPr>
                      <w:rFonts w:hint="eastAsia"/>
                      <w:color w:val="auto"/>
                      <w:szCs w:val="21"/>
                      <w:lang w:val="en-US" w:eastAsia="zh-CN"/>
                    </w:rPr>
                    <w:t>1</w:t>
                  </w:r>
                </w:p>
              </w:tc>
              <w:tc>
                <w:tcPr>
                  <w:tcW w:w="289" w:type="pct"/>
                  <w:vMerge w:val="continue"/>
                  <w:noWrap w:val="0"/>
                  <w:vAlign w:val="center"/>
                </w:tcPr>
                <w:p w14:paraId="14F9F4D5">
                  <w:pPr>
                    <w:jc w:val="center"/>
                    <w:rPr>
                      <w:rFonts w:hint="eastAsia"/>
                      <w:color w:val="auto"/>
                      <w:szCs w:val="21"/>
                    </w:rPr>
                  </w:pPr>
                </w:p>
              </w:tc>
              <w:tc>
                <w:tcPr>
                  <w:tcW w:w="517" w:type="pct"/>
                  <w:vMerge w:val="continue"/>
                  <w:noWrap w:val="0"/>
                  <w:vAlign w:val="center"/>
                </w:tcPr>
                <w:p w14:paraId="7CE851AC">
                  <w:pPr>
                    <w:jc w:val="center"/>
                    <w:rPr>
                      <w:rFonts w:hint="eastAsia"/>
                      <w:color w:val="auto"/>
                      <w:szCs w:val="21"/>
                    </w:rPr>
                  </w:pPr>
                </w:p>
              </w:tc>
            </w:tr>
            <w:tr w14:paraId="666264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408" w:type="pct"/>
                  <w:vMerge w:val="continue"/>
                  <w:noWrap w:val="0"/>
                  <w:vAlign w:val="center"/>
                </w:tcPr>
                <w:p w14:paraId="274CCE13">
                  <w:pPr>
                    <w:pStyle w:val="16"/>
                    <w:jc w:val="center"/>
                    <w:rPr>
                      <w:rFonts w:hint="eastAsia"/>
                      <w:color w:val="auto"/>
                      <w:kern w:val="2"/>
                      <w:sz w:val="21"/>
                      <w:szCs w:val="21"/>
                      <w:lang w:val="en-US" w:eastAsia="zh-CN"/>
                    </w:rPr>
                  </w:pPr>
                </w:p>
              </w:tc>
              <w:tc>
                <w:tcPr>
                  <w:tcW w:w="388" w:type="pct"/>
                  <w:vMerge w:val="continue"/>
                  <w:noWrap w:val="0"/>
                  <w:vAlign w:val="center"/>
                </w:tcPr>
                <w:p w14:paraId="7D7ACD29">
                  <w:pPr>
                    <w:pStyle w:val="57"/>
                    <w:spacing w:before="48" w:after="48"/>
                    <w:rPr>
                      <w:rFonts w:hint="eastAsia" w:ascii="Times New Roman" w:hAnsi="Times New Roman"/>
                      <w:color w:val="auto"/>
                      <w:szCs w:val="21"/>
                      <w:lang w:val="en-US" w:eastAsia="zh-CN"/>
                    </w:rPr>
                  </w:pPr>
                </w:p>
              </w:tc>
              <w:tc>
                <w:tcPr>
                  <w:tcW w:w="442" w:type="pct"/>
                  <w:noWrap w:val="0"/>
                  <w:vAlign w:val="center"/>
                </w:tcPr>
                <w:p w14:paraId="4BB0B918">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75</w:t>
                  </w:r>
                </w:p>
              </w:tc>
              <w:tc>
                <w:tcPr>
                  <w:tcW w:w="680" w:type="pct"/>
                  <w:vMerge w:val="continue"/>
                  <w:noWrap w:val="0"/>
                  <w:vAlign w:val="center"/>
                </w:tcPr>
                <w:p w14:paraId="0E56A2B0">
                  <w:pPr>
                    <w:jc w:val="center"/>
                    <w:rPr>
                      <w:rFonts w:hint="eastAsia"/>
                      <w:color w:val="auto"/>
                      <w:szCs w:val="21"/>
                    </w:rPr>
                  </w:pPr>
                </w:p>
              </w:tc>
              <w:tc>
                <w:tcPr>
                  <w:tcW w:w="487" w:type="pct"/>
                  <w:noWrap w:val="0"/>
                  <w:vAlign w:val="center"/>
                </w:tcPr>
                <w:p w14:paraId="3A6F9621">
                  <w:pPr>
                    <w:jc w:val="center"/>
                    <w:rPr>
                      <w:rFonts w:hint="eastAsia"/>
                      <w:color w:val="auto"/>
                      <w:kern w:val="2"/>
                      <w:sz w:val="21"/>
                      <w:szCs w:val="21"/>
                      <w:lang w:val="en-US" w:eastAsia="zh-CN" w:bidi="ar-SA"/>
                    </w:rPr>
                  </w:pPr>
                  <w:r>
                    <w:rPr>
                      <w:rFonts w:hint="eastAsia"/>
                      <w:color w:val="auto"/>
                      <w:szCs w:val="21"/>
                    </w:rPr>
                    <w:t>10</w:t>
                  </w:r>
                </w:p>
              </w:tc>
              <w:tc>
                <w:tcPr>
                  <w:tcW w:w="649" w:type="pct"/>
                  <w:noWrap w:val="0"/>
                  <w:vAlign w:val="center"/>
                </w:tcPr>
                <w:p w14:paraId="47B9936A">
                  <w:pPr>
                    <w:jc w:val="center"/>
                    <w:rPr>
                      <w:rFonts w:hint="eastAsia"/>
                      <w:color w:val="auto"/>
                      <w:kern w:val="2"/>
                      <w:sz w:val="21"/>
                      <w:szCs w:val="21"/>
                      <w:lang w:val="en-US" w:eastAsia="zh-CN" w:bidi="ar-SA"/>
                    </w:rPr>
                  </w:pPr>
                  <w:r>
                    <w:rPr>
                      <w:rFonts w:hint="eastAsia"/>
                      <w:color w:val="auto"/>
                      <w:szCs w:val="21"/>
                      <w:lang w:val="en-US" w:eastAsia="zh-CN"/>
                    </w:rPr>
                    <w:t>65</w:t>
                  </w:r>
                </w:p>
              </w:tc>
              <w:tc>
                <w:tcPr>
                  <w:tcW w:w="462" w:type="pct"/>
                  <w:noWrap w:val="0"/>
                  <w:vAlign w:val="center"/>
                </w:tcPr>
                <w:p w14:paraId="6794B759">
                  <w:pPr>
                    <w:jc w:val="center"/>
                    <w:rPr>
                      <w:rFonts w:hint="default" w:eastAsia="宋体"/>
                      <w:color w:val="auto"/>
                      <w:szCs w:val="21"/>
                      <w:lang w:val="en-US" w:eastAsia="zh-CN"/>
                    </w:rPr>
                  </w:pPr>
                  <w:r>
                    <w:rPr>
                      <w:rFonts w:hint="eastAsia"/>
                      <w:color w:val="auto"/>
                      <w:szCs w:val="21"/>
                      <w:lang w:val="en-US" w:eastAsia="zh-CN"/>
                    </w:rPr>
                    <w:t>23.68</w:t>
                  </w:r>
                </w:p>
              </w:tc>
              <w:tc>
                <w:tcPr>
                  <w:tcW w:w="353" w:type="pct"/>
                  <w:noWrap w:val="0"/>
                  <w:vAlign w:val="center"/>
                </w:tcPr>
                <w:p w14:paraId="082F258B">
                  <w:pPr>
                    <w:jc w:val="center"/>
                    <w:rPr>
                      <w:rFonts w:hint="default" w:eastAsia="宋体"/>
                      <w:color w:val="auto"/>
                      <w:szCs w:val="21"/>
                      <w:lang w:val="en-US" w:eastAsia="zh-CN"/>
                    </w:rPr>
                  </w:pPr>
                  <w:r>
                    <w:rPr>
                      <w:rFonts w:hint="eastAsia"/>
                      <w:color w:val="auto"/>
                      <w:szCs w:val="21"/>
                      <w:lang w:val="en-US" w:eastAsia="zh-CN"/>
                    </w:rPr>
                    <w:t>-29.11</w:t>
                  </w:r>
                </w:p>
              </w:tc>
              <w:tc>
                <w:tcPr>
                  <w:tcW w:w="317" w:type="pct"/>
                  <w:noWrap w:val="0"/>
                  <w:vAlign w:val="center"/>
                </w:tcPr>
                <w:p w14:paraId="768C17D5">
                  <w:pPr>
                    <w:jc w:val="center"/>
                    <w:rPr>
                      <w:rFonts w:hint="eastAsia"/>
                      <w:color w:val="auto"/>
                      <w:kern w:val="2"/>
                      <w:sz w:val="21"/>
                      <w:szCs w:val="21"/>
                      <w:lang w:val="en-US" w:eastAsia="zh-CN" w:bidi="ar-SA"/>
                    </w:rPr>
                  </w:pPr>
                  <w:r>
                    <w:rPr>
                      <w:rFonts w:hint="eastAsia"/>
                      <w:color w:val="auto"/>
                      <w:szCs w:val="21"/>
                    </w:rPr>
                    <w:t>1</w:t>
                  </w:r>
                </w:p>
              </w:tc>
              <w:tc>
                <w:tcPr>
                  <w:tcW w:w="289" w:type="pct"/>
                  <w:vMerge w:val="continue"/>
                  <w:noWrap w:val="0"/>
                  <w:vAlign w:val="center"/>
                </w:tcPr>
                <w:p w14:paraId="1942EE77">
                  <w:pPr>
                    <w:jc w:val="center"/>
                    <w:rPr>
                      <w:rFonts w:hint="eastAsia"/>
                      <w:color w:val="auto"/>
                      <w:szCs w:val="21"/>
                    </w:rPr>
                  </w:pPr>
                </w:p>
              </w:tc>
              <w:tc>
                <w:tcPr>
                  <w:tcW w:w="517" w:type="pct"/>
                  <w:vMerge w:val="continue"/>
                  <w:noWrap w:val="0"/>
                  <w:vAlign w:val="center"/>
                </w:tcPr>
                <w:p w14:paraId="08B6D186">
                  <w:pPr>
                    <w:jc w:val="center"/>
                    <w:rPr>
                      <w:rFonts w:hint="eastAsia"/>
                      <w:color w:val="auto"/>
                      <w:szCs w:val="21"/>
                    </w:rPr>
                  </w:pPr>
                </w:p>
              </w:tc>
            </w:tr>
            <w:tr w14:paraId="351005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408" w:type="pct"/>
                  <w:vMerge w:val="continue"/>
                  <w:noWrap w:val="0"/>
                  <w:vAlign w:val="center"/>
                </w:tcPr>
                <w:p w14:paraId="16C09BEB">
                  <w:pPr>
                    <w:pStyle w:val="16"/>
                    <w:jc w:val="center"/>
                    <w:rPr>
                      <w:rFonts w:hint="eastAsia"/>
                      <w:color w:val="auto"/>
                      <w:kern w:val="2"/>
                      <w:sz w:val="21"/>
                      <w:szCs w:val="21"/>
                      <w:lang w:val="en-US" w:eastAsia="zh-CN"/>
                    </w:rPr>
                  </w:pPr>
                </w:p>
              </w:tc>
              <w:tc>
                <w:tcPr>
                  <w:tcW w:w="388" w:type="pct"/>
                  <w:vMerge w:val="continue"/>
                  <w:noWrap w:val="0"/>
                  <w:vAlign w:val="center"/>
                </w:tcPr>
                <w:p w14:paraId="726BC2FA">
                  <w:pPr>
                    <w:pStyle w:val="57"/>
                    <w:spacing w:before="48" w:after="48"/>
                    <w:rPr>
                      <w:rFonts w:hint="eastAsia" w:ascii="Times New Roman" w:hAnsi="Times New Roman"/>
                      <w:color w:val="auto"/>
                      <w:szCs w:val="21"/>
                      <w:lang w:val="en-US" w:eastAsia="zh-CN"/>
                    </w:rPr>
                  </w:pPr>
                </w:p>
              </w:tc>
              <w:tc>
                <w:tcPr>
                  <w:tcW w:w="442" w:type="pct"/>
                  <w:noWrap w:val="0"/>
                  <w:vAlign w:val="center"/>
                </w:tcPr>
                <w:p w14:paraId="18DEE89F">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75</w:t>
                  </w:r>
                </w:p>
              </w:tc>
              <w:tc>
                <w:tcPr>
                  <w:tcW w:w="680" w:type="pct"/>
                  <w:vMerge w:val="continue"/>
                  <w:noWrap w:val="0"/>
                  <w:vAlign w:val="center"/>
                </w:tcPr>
                <w:p w14:paraId="42F5C536">
                  <w:pPr>
                    <w:jc w:val="center"/>
                    <w:rPr>
                      <w:rFonts w:hint="eastAsia"/>
                      <w:color w:val="auto"/>
                      <w:szCs w:val="21"/>
                    </w:rPr>
                  </w:pPr>
                </w:p>
              </w:tc>
              <w:tc>
                <w:tcPr>
                  <w:tcW w:w="487" w:type="pct"/>
                  <w:noWrap w:val="0"/>
                  <w:vAlign w:val="center"/>
                </w:tcPr>
                <w:p w14:paraId="0D130FB0">
                  <w:pPr>
                    <w:jc w:val="center"/>
                    <w:rPr>
                      <w:rFonts w:hint="eastAsia"/>
                      <w:color w:val="auto"/>
                      <w:kern w:val="2"/>
                      <w:sz w:val="21"/>
                      <w:szCs w:val="21"/>
                      <w:lang w:val="en-US" w:eastAsia="zh-CN" w:bidi="ar-SA"/>
                    </w:rPr>
                  </w:pPr>
                  <w:r>
                    <w:rPr>
                      <w:rFonts w:hint="eastAsia"/>
                      <w:color w:val="auto"/>
                      <w:szCs w:val="21"/>
                    </w:rPr>
                    <w:t>10</w:t>
                  </w:r>
                </w:p>
              </w:tc>
              <w:tc>
                <w:tcPr>
                  <w:tcW w:w="649" w:type="pct"/>
                  <w:noWrap w:val="0"/>
                  <w:vAlign w:val="center"/>
                </w:tcPr>
                <w:p w14:paraId="153A5EC5">
                  <w:pPr>
                    <w:jc w:val="center"/>
                    <w:rPr>
                      <w:rFonts w:hint="eastAsia"/>
                      <w:color w:val="auto"/>
                      <w:kern w:val="2"/>
                      <w:sz w:val="21"/>
                      <w:szCs w:val="21"/>
                      <w:lang w:val="en-US" w:eastAsia="zh-CN" w:bidi="ar-SA"/>
                    </w:rPr>
                  </w:pPr>
                  <w:r>
                    <w:rPr>
                      <w:rFonts w:hint="eastAsia"/>
                      <w:color w:val="auto"/>
                      <w:szCs w:val="21"/>
                      <w:lang w:val="en-US" w:eastAsia="zh-CN"/>
                    </w:rPr>
                    <w:t>65</w:t>
                  </w:r>
                </w:p>
              </w:tc>
              <w:tc>
                <w:tcPr>
                  <w:tcW w:w="462" w:type="pct"/>
                  <w:noWrap w:val="0"/>
                  <w:vAlign w:val="center"/>
                </w:tcPr>
                <w:p w14:paraId="14CF90FA">
                  <w:pPr>
                    <w:jc w:val="center"/>
                    <w:rPr>
                      <w:rFonts w:hint="default" w:eastAsia="宋体"/>
                      <w:color w:val="auto"/>
                      <w:szCs w:val="21"/>
                      <w:lang w:val="en-US" w:eastAsia="zh-CN"/>
                    </w:rPr>
                  </w:pPr>
                  <w:r>
                    <w:rPr>
                      <w:rFonts w:hint="eastAsia"/>
                      <w:color w:val="auto"/>
                      <w:szCs w:val="21"/>
                      <w:lang w:val="en-US" w:eastAsia="zh-CN"/>
                    </w:rPr>
                    <w:t>27.93</w:t>
                  </w:r>
                </w:p>
              </w:tc>
              <w:tc>
                <w:tcPr>
                  <w:tcW w:w="353" w:type="pct"/>
                  <w:noWrap w:val="0"/>
                  <w:vAlign w:val="center"/>
                </w:tcPr>
                <w:p w14:paraId="2C535A28">
                  <w:pPr>
                    <w:jc w:val="center"/>
                    <w:rPr>
                      <w:rFonts w:hint="default" w:eastAsia="宋体"/>
                      <w:color w:val="auto"/>
                      <w:szCs w:val="21"/>
                      <w:lang w:val="en-US" w:eastAsia="zh-CN"/>
                    </w:rPr>
                  </w:pPr>
                  <w:r>
                    <w:rPr>
                      <w:rFonts w:hint="eastAsia"/>
                      <w:color w:val="auto"/>
                      <w:szCs w:val="21"/>
                      <w:lang w:val="en-US" w:eastAsia="zh-CN"/>
                    </w:rPr>
                    <w:t>-29.11</w:t>
                  </w:r>
                </w:p>
              </w:tc>
              <w:tc>
                <w:tcPr>
                  <w:tcW w:w="317" w:type="pct"/>
                  <w:noWrap w:val="0"/>
                  <w:vAlign w:val="center"/>
                </w:tcPr>
                <w:p w14:paraId="1796345A">
                  <w:pPr>
                    <w:jc w:val="center"/>
                    <w:rPr>
                      <w:rFonts w:hint="eastAsia"/>
                      <w:color w:val="auto"/>
                      <w:kern w:val="2"/>
                      <w:sz w:val="21"/>
                      <w:szCs w:val="21"/>
                      <w:lang w:val="en-US" w:eastAsia="zh-CN" w:bidi="ar-SA"/>
                    </w:rPr>
                  </w:pPr>
                  <w:r>
                    <w:rPr>
                      <w:rFonts w:hint="eastAsia"/>
                      <w:color w:val="auto"/>
                      <w:szCs w:val="21"/>
                    </w:rPr>
                    <w:t>1</w:t>
                  </w:r>
                </w:p>
              </w:tc>
              <w:tc>
                <w:tcPr>
                  <w:tcW w:w="289" w:type="pct"/>
                  <w:vMerge w:val="continue"/>
                  <w:noWrap w:val="0"/>
                  <w:vAlign w:val="center"/>
                </w:tcPr>
                <w:p w14:paraId="27D8B796">
                  <w:pPr>
                    <w:jc w:val="center"/>
                    <w:rPr>
                      <w:rFonts w:hint="eastAsia"/>
                      <w:color w:val="auto"/>
                      <w:szCs w:val="21"/>
                    </w:rPr>
                  </w:pPr>
                </w:p>
              </w:tc>
              <w:tc>
                <w:tcPr>
                  <w:tcW w:w="517" w:type="pct"/>
                  <w:vMerge w:val="continue"/>
                  <w:noWrap w:val="0"/>
                  <w:vAlign w:val="center"/>
                </w:tcPr>
                <w:p w14:paraId="5E598BA0">
                  <w:pPr>
                    <w:jc w:val="center"/>
                    <w:rPr>
                      <w:rFonts w:hint="eastAsia"/>
                      <w:color w:val="auto"/>
                      <w:szCs w:val="21"/>
                    </w:rPr>
                  </w:pPr>
                </w:p>
              </w:tc>
            </w:tr>
            <w:tr w14:paraId="5018D4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408" w:type="pct"/>
                  <w:vMerge w:val="continue"/>
                  <w:noWrap w:val="0"/>
                  <w:vAlign w:val="center"/>
                </w:tcPr>
                <w:p w14:paraId="05989622">
                  <w:pPr>
                    <w:pStyle w:val="16"/>
                    <w:jc w:val="center"/>
                    <w:rPr>
                      <w:rFonts w:hint="eastAsia"/>
                      <w:color w:val="auto"/>
                      <w:kern w:val="2"/>
                      <w:sz w:val="21"/>
                      <w:szCs w:val="21"/>
                      <w:lang w:val="en-US" w:eastAsia="zh-CN"/>
                    </w:rPr>
                  </w:pPr>
                </w:p>
              </w:tc>
              <w:tc>
                <w:tcPr>
                  <w:tcW w:w="388" w:type="pct"/>
                  <w:vMerge w:val="continue"/>
                  <w:noWrap w:val="0"/>
                  <w:vAlign w:val="center"/>
                </w:tcPr>
                <w:p w14:paraId="7DEAF425">
                  <w:pPr>
                    <w:pStyle w:val="57"/>
                    <w:spacing w:before="48" w:after="48"/>
                    <w:rPr>
                      <w:rFonts w:hint="eastAsia" w:ascii="Times New Roman" w:hAnsi="Times New Roman"/>
                      <w:color w:val="auto"/>
                      <w:szCs w:val="21"/>
                      <w:lang w:val="en-US" w:eastAsia="zh-CN"/>
                    </w:rPr>
                  </w:pPr>
                </w:p>
              </w:tc>
              <w:tc>
                <w:tcPr>
                  <w:tcW w:w="442" w:type="pct"/>
                  <w:noWrap w:val="0"/>
                  <w:vAlign w:val="center"/>
                </w:tcPr>
                <w:p w14:paraId="20503A08">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75</w:t>
                  </w:r>
                </w:p>
              </w:tc>
              <w:tc>
                <w:tcPr>
                  <w:tcW w:w="680" w:type="pct"/>
                  <w:vMerge w:val="continue"/>
                  <w:noWrap w:val="0"/>
                  <w:vAlign w:val="center"/>
                </w:tcPr>
                <w:p w14:paraId="30B0172E">
                  <w:pPr>
                    <w:jc w:val="center"/>
                    <w:rPr>
                      <w:rFonts w:hint="eastAsia"/>
                      <w:color w:val="auto"/>
                      <w:szCs w:val="21"/>
                    </w:rPr>
                  </w:pPr>
                </w:p>
              </w:tc>
              <w:tc>
                <w:tcPr>
                  <w:tcW w:w="487" w:type="pct"/>
                  <w:noWrap w:val="0"/>
                  <w:vAlign w:val="center"/>
                </w:tcPr>
                <w:p w14:paraId="1859ADA3">
                  <w:pPr>
                    <w:jc w:val="center"/>
                    <w:rPr>
                      <w:rFonts w:hint="eastAsia"/>
                      <w:color w:val="auto"/>
                      <w:kern w:val="2"/>
                      <w:sz w:val="21"/>
                      <w:szCs w:val="21"/>
                      <w:lang w:val="en-US" w:eastAsia="zh-CN" w:bidi="ar-SA"/>
                    </w:rPr>
                  </w:pPr>
                  <w:r>
                    <w:rPr>
                      <w:rFonts w:hint="eastAsia"/>
                      <w:color w:val="auto"/>
                      <w:szCs w:val="21"/>
                    </w:rPr>
                    <w:t>10</w:t>
                  </w:r>
                </w:p>
              </w:tc>
              <w:tc>
                <w:tcPr>
                  <w:tcW w:w="649" w:type="pct"/>
                  <w:noWrap w:val="0"/>
                  <w:vAlign w:val="center"/>
                </w:tcPr>
                <w:p w14:paraId="4C1D5228">
                  <w:pPr>
                    <w:jc w:val="center"/>
                    <w:rPr>
                      <w:rFonts w:hint="eastAsia"/>
                      <w:color w:val="auto"/>
                      <w:kern w:val="2"/>
                      <w:sz w:val="21"/>
                      <w:szCs w:val="21"/>
                      <w:lang w:val="en-US" w:eastAsia="zh-CN" w:bidi="ar-SA"/>
                    </w:rPr>
                  </w:pPr>
                  <w:r>
                    <w:rPr>
                      <w:rFonts w:hint="eastAsia"/>
                      <w:color w:val="auto"/>
                      <w:szCs w:val="21"/>
                      <w:lang w:val="en-US" w:eastAsia="zh-CN"/>
                    </w:rPr>
                    <w:t>65</w:t>
                  </w:r>
                </w:p>
              </w:tc>
              <w:tc>
                <w:tcPr>
                  <w:tcW w:w="462" w:type="pct"/>
                  <w:noWrap w:val="0"/>
                  <w:vAlign w:val="center"/>
                </w:tcPr>
                <w:p w14:paraId="513DFADD">
                  <w:pPr>
                    <w:jc w:val="center"/>
                    <w:rPr>
                      <w:rFonts w:hint="default" w:eastAsia="宋体"/>
                      <w:color w:val="auto"/>
                      <w:szCs w:val="21"/>
                      <w:lang w:val="en-US" w:eastAsia="zh-CN"/>
                    </w:rPr>
                  </w:pPr>
                  <w:r>
                    <w:rPr>
                      <w:rFonts w:hint="eastAsia"/>
                      <w:color w:val="auto"/>
                      <w:szCs w:val="21"/>
                      <w:lang w:val="en-US" w:eastAsia="zh-CN"/>
                    </w:rPr>
                    <w:t>33.06</w:t>
                  </w:r>
                </w:p>
              </w:tc>
              <w:tc>
                <w:tcPr>
                  <w:tcW w:w="353" w:type="pct"/>
                  <w:noWrap w:val="0"/>
                  <w:vAlign w:val="center"/>
                </w:tcPr>
                <w:p w14:paraId="0B64647F">
                  <w:pPr>
                    <w:jc w:val="center"/>
                    <w:rPr>
                      <w:rFonts w:hint="default" w:eastAsia="宋体"/>
                      <w:color w:val="auto"/>
                      <w:szCs w:val="21"/>
                      <w:lang w:val="en-US" w:eastAsia="zh-CN"/>
                    </w:rPr>
                  </w:pPr>
                  <w:r>
                    <w:rPr>
                      <w:rFonts w:hint="eastAsia"/>
                      <w:color w:val="auto"/>
                      <w:szCs w:val="21"/>
                      <w:lang w:val="en-US" w:eastAsia="zh-CN"/>
                    </w:rPr>
                    <w:t>-29.17</w:t>
                  </w:r>
                </w:p>
              </w:tc>
              <w:tc>
                <w:tcPr>
                  <w:tcW w:w="317" w:type="pct"/>
                  <w:noWrap w:val="0"/>
                  <w:vAlign w:val="center"/>
                </w:tcPr>
                <w:p w14:paraId="5DB39FAC">
                  <w:pPr>
                    <w:jc w:val="center"/>
                    <w:rPr>
                      <w:rFonts w:hint="eastAsia"/>
                      <w:color w:val="auto"/>
                      <w:kern w:val="2"/>
                      <w:sz w:val="21"/>
                      <w:szCs w:val="21"/>
                      <w:lang w:val="en-US" w:eastAsia="zh-CN" w:bidi="ar-SA"/>
                    </w:rPr>
                  </w:pPr>
                  <w:r>
                    <w:rPr>
                      <w:rFonts w:hint="eastAsia"/>
                      <w:color w:val="auto"/>
                      <w:szCs w:val="21"/>
                    </w:rPr>
                    <w:t>1</w:t>
                  </w:r>
                </w:p>
              </w:tc>
              <w:tc>
                <w:tcPr>
                  <w:tcW w:w="289" w:type="pct"/>
                  <w:vMerge w:val="continue"/>
                  <w:noWrap w:val="0"/>
                  <w:vAlign w:val="center"/>
                </w:tcPr>
                <w:p w14:paraId="527DF08A">
                  <w:pPr>
                    <w:jc w:val="center"/>
                    <w:rPr>
                      <w:rFonts w:hint="eastAsia"/>
                      <w:color w:val="auto"/>
                      <w:szCs w:val="21"/>
                    </w:rPr>
                  </w:pPr>
                </w:p>
              </w:tc>
              <w:tc>
                <w:tcPr>
                  <w:tcW w:w="517" w:type="pct"/>
                  <w:vMerge w:val="continue"/>
                  <w:noWrap w:val="0"/>
                  <w:vAlign w:val="center"/>
                </w:tcPr>
                <w:p w14:paraId="399E356E">
                  <w:pPr>
                    <w:jc w:val="center"/>
                    <w:rPr>
                      <w:rFonts w:hint="eastAsia"/>
                      <w:color w:val="auto"/>
                      <w:szCs w:val="21"/>
                    </w:rPr>
                  </w:pPr>
                </w:p>
              </w:tc>
            </w:tr>
            <w:tr w14:paraId="244FFE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408" w:type="pct"/>
                  <w:vMerge w:val="continue"/>
                  <w:noWrap w:val="0"/>
                  <w:vAlign w:val="center"/>
                </w:tcPr>
                <w:p w14:paraId="41830707">
                  <w:pPr>
                    <w:pStyle w:val="16"/>
                    <w:jc w:val="center"/>
                    <w:rPr>
                      <w:rFonts w:hint="eastAsia"/>
                      <w:color w:val="auto"/>
                      <w:kern w:val="2"/>
                      <w:sz w:val="21"/>
                      <w:szCs w:val="21"/>
                      <w:lang w:val="en-US" w:eastAsia="zh-CN"/>
                    </w:rPr>
                  </w:pPr>
                </w:p>
              </w:tc>
              <w:tc>
                <w:tcPr>
                  <w:tcW w:w="388" w:type="pct"/>
                  <w:vMerge w:val="continue"/>
                  <w:noWrap w:val="0"/>
                  <w:vAlign w:val="center"/>
                </w:tcPr>
                <w:p w14:paraId="1FD2E433">
                  <w:pPr>
                    <w:pStyle w:val="57"/>
                    <w:spacing w:before="48" w:after="48"/>
                    <w:rPr>
                      <w:rFonts w:hint="eastAsia" w:ascii="Times New Roman" w:hAnsi="Times New Roman"/>
                      <w:color w:val="auto"/>
                      <w:szCs w:val="21"/>
                      <w:lang w:val="en-US" w:eastAsia="zh-CN"/>
                    </w:rPr>
                  </w:pPr>
                </w:p>
              </w:tc>
              <w:tc>
                <w:tcPr>
                  <w:tcW w:w="442" w:type="pct"/>
                  <w:noWrap w:val="0"/>
                  <w:vAlign w:val="center"/>
                </w:tcPr>
                <w:p w14:paraId="4407107E">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75</w:t>
                  </w:r>
                </w:p>
              </w:tc>
              <w:tc>
                <w:tcPr>
                  <w:tcW w:w="680" w:type="pct"/>
                  <w:vMerge w:val="continue"/>
                  <w:noWrap w:val="0"/>
                  <w:vAlign w:val="center"/>
                </w:tcPr>
                <w:p w14:paraId="17528BFA">
                  <w:pPr>
                    <w:jc w:val="center"/>
                    <w:rPr>
                      <w:rFonts w:hint="eastAsia"/>
                      <w:color w:val="auto"/>
                      <w:szCs w:val="21"/>
                    </w:rPr>
                  </w:pPr>
                </w:p>
              </w:tc>
              <w:tc>
                <w:tcPr>
                  <w:tcW w:w="487" w:type="pct"/>
                  <w:noWrap w:val="0"/>
                  <w:vAlign w:val="center"/>
                </w:tcPr>
                <w:p w14:paraId="7B12B78D">
                  <w:pPr>
                    <w:jc w:val="center"/>
                    <w:rPr>
                      <w:rFonts w:hint="eastAsia"/>
                      <w:color w:val="auto"/>
                      <w:kern w:val="2"/>
                      <w:sz w:val="21"/>
                      <w:szCs w:val="21"/>
                      <w:lang w:val="en-US" w:eastAsia="zh-CN" w:bidi="ar-SA"/>
                    </w:rPr>
                  </w:pPr>
                  <w:r>
                    <w:rPr>
                      <w:rFonts w:hint="eastAsia"/>
                      <w:color w:val="auto"/>
                      <w:szCs w:val="21"/>
                    </w:rPr>
                    <w:t>10</w:t>
                  </w:r>
                </w:p>
              </w:tc>
              <w:tc>
                <w:tcPr>
                  <w:tcW w:w="649" w:type="pct"/>
                  <w:noWrap w:val="0"/>
                  <w:vAlign w:val="center"/>
                </w:tcPr>
                <w:p w14:paraId="3AABA0B6">
                  <w:pPr>
                    <w:jc w:val="center"/>
                    <w:rPr>
                      <w:rFonts w:hint="eastAsia"/>
                      <w:color w:val="auto"/>
                      <w:kern w:val="2"/>
                      <w:sz w:val="21"/>
                      <w:szCs w:val="21"/>
                      <w:lang w:val="en-US" w:eastAsia="zh-CN" w:bidi="ar-SA"/>
                    </w:rPr>
                  </w:pPr>
                  <w:r>
                    <w:rPr>
                      <w:rFonts w:hint="eastAsia"/>
                      <w:color w:val="auto"/>
                      <w:szCs w:val="21"/>
                      <w:lang w:val="en-US" w:eastAsia="zh-CN"/>
                    </w:rPr>
                    <w:t>65</w:t>
                  </w:r>
                </w:p>
              </w:tc>
              <w:tc>
                <w:tcPr>
                  <w:tcW w:w="462" w:type="pct"/>
                  <w:noWrap w:val="0"/>
                  <w:vAlign w:val="center"/>
                </w:tcPr>
                <w:p w14:paraId="08137F03">
                  <w:pPr>
                    <w:jc w:val="center"/>
                    <w:rPr>
                      <w:rFonts w:hint="default" w:eastAsia="宋体"/>
                      <w:color w:val="auto"/>
                      <w:szCs w:val="21"/>
                      <w:lang w:val="en-US" w:eastAsia="zh-CN"/>
                    </w:rPr>
                  </w:pPr>
                  <w:r>
                    <w:rPr>
                      <w:rFonts w:hint="eastAsia"/>
                      <w:color w:val="auto"/>
                      <w:szCs w:val="21"/>
                      <w:lang w:val="en-US" w:eastAsia="zh-CN"/>
                    </w:rPr>
                    <w:t>10.24</w:t>
                  </w:r>
                </w:p>
              </w:tc>
              <w:tc>
                <w:tcPr>
                  <w:tcW w:w="353" w:type="pct"/>
                  <w:noWrap w:val="0"/>
                  <w:vAlign w:val="center"/>
                </w:tcPr>
                <w:p w14:paraId="585A13D8">
                  <w:pPr>
                    <w:jc w:val="center"/>
                    <w:rPr>
                      <w:rFonts w:hint="default" w:eastAsia="宋体"/>
                      <w:color w:val="auto"/>
                      <w:szCs w:val="21"/>
                      <w:lang w:val="en-US" w:eastAsia="zh-CN"/>
                    </w:rPr>
                  </w:pPr>
                  <w:r>
                    <w:rPr>
                      <w:rFonts w:hint="eastAsia"/>
                      <w:color w:val="auto"/>
                      <w:szCs w:val="21"/>
                      <w:lang w:val="en-US" w:eastAsia="zh-CN"/>
                    </w:rPr>
                    <w:t>-43.1</w:t>
                  </w:r>
                </w:p>
              </w:tc>
              <w:tc>
                <w:tcPr>
                  <w:tcW w:w="317" w:type="pct"/>
                  <w:noWrap w:val="0"/>
                  <w:vAlign w:val="center"/>
                </w:tcPr>
                <w:p w14:paraId="42CD18F6">
                  <w:pPr>
                    <w:jc w:val="center"/>
                    <w:rPr>
                      <w:rFonts w:hint="eastAsia" w:eastAsia="宋体"/>
                      <w:color w:val="auto"/>
                      <w:kern w:val="2"/>
                      <w:sz w:val="21"/>
                      <w:szCs w:val="21"/>
                      <w:lang w:val="en-US" w:eastAsia="zh-CN" w:bidi="ar-SA"/>
                    </w:rPr>
                  </w:pPr>
                  <w:r>
                    <w:rPr>
                      <w:rFonts w:hint="eastAsia"/>
                      <w:color w:val="auto"/>
                      <w:szCs w:val="21"/>
                      <w:lang w:val="en-US" w:eastAsia="zh-CN"/>
                    </w:rPr>
                    <w:t>1</w:t>
                  </w:r>
                </w:p>
              </w:tc>
              <w:tc>
                <w:tcPr>
                  <w:tcW w:w="289" w:type="pct"/>
                  <w:vMerge w:val="continue"/>
                  <w:noWrap w:val="0"/>
                  <w:vAlign w:val="center"/>
                </w:tcPr>
                <w:p w14:paraId="49961F58">
                  <w:pPr>
                    <w:jc w:val="center"/>
                    <w:rPr>
                      <w:rFonts w:hint="eastAsia"/>
                      <w:color w:val="auto"/>
                      <w:szCs w:val="21"/>
                    </w:rPr>
                  </w:pPr>
                </w:p>
              </w:tc>
              <w:tc>
                <w:tcPr>
                  <w:tcW w:w="517" w:type="pct"/>
                  <w:vMerge w:val="continue"/>
                  <w:noWrap w:val="0"/>
                  <w:vAlign w:val="center"/>
                </w:tcPr>
                <w:p w14:paraId="4756D43D">
                  <w:pPr>
                    <w:jc w:val="center"/>
                    <w:rPr>
                      <w:rFonts w:hint="eastAsia"/>
                      <w:color w:val="auto"/>
                      <w:szCs w:val="21"/>
                    </w:rPr>
                  </w:pPr>
                </w:p>
              </w:tc>
            </w:tr>
            <w:tr w14:paraId="64B0C8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408" w:type="pct"/>
                  <w:vMerge w:val="continue"/>
                  <w:noWrap w:val="0"/>
                  <w:vAlign w:val="center"/>
                </w:tcPr>
                <w:p w14:paraId="322B6131">
                  <w:pPr>
                    <w:pStyle w:val="16"/>
                    <w:jc w:val="center"/>
                    <w:rPr>
                      <w:rFonts w:hint="eastAsia"/>
                      <w:color w:val="auto"/>
                      <w:kern w:val="2"/>
                      <w:sz w:val="21"/>
                      <w:szCs w:val="21"/>
                      <w:lang w:val="en-US" w:eastAsia="zh-CN"/>
                    </w:rPr>
                  </w:pPr>
                </w:p>
              </w:tc>
              <w:tc>
                <w:tcPr>
                  <w:tcW w:w="388" w:type="pct"/>
                  <w:vMerge w:val="continue"/>
                  <w:noWrap w:val="0"/>
                  <w:vAlign w:val="center"/>
                </w:tcPr>
                <w:p w14:paraId="0E598F89">
                  <w:pPr>
                    <w:pStyle w:val="57"/>
                    <w:spacing w:before="48" w:after="48"/>
                    <w:rPr>
                      <w:rFonts w:hint="eastAsia" w:ascii="Times New Roman" w:hAnsi="Times New Roman"/>
                      <w:color w:val="auto"/>
                      <w:szCs w:val="21"/>
                      <w:lang w:val="en-US" w:eastAsia="zh-CN"/>
                    </w:rPr>
                  </w:pPr>
                </w:p>
              </w:tc>
              <w:tc>
                <w:tcPr>
                  <w:tcW w:w="442" w:type="pct"/>
                  <w:noWrap w:val="0"/>
                  <w:vAlign w:val="center"/>
                </w:tcPr>
                <w:p w14:paraId="687081EB">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75</w:t>
                  </w:r>
                </w:p>
              </w:tc>
              <w:tc>
                <w:tcPr>
                  <w:tcW w:w="680" w:type="pct"/>
                  <w:vMerge w:val="continue"/>
                  <w:noWrap w:val="0"/>
                  <w:vAlign w:val="center"/>
                </w:tcPr>
                <w:p w14:paraId="2DAA1A0C">
                  <w:pPr>
                    <w:jc w:val="center"/>
                    <w:rPr>
                      <w:rFonts w:hint="eastAsia"/>
                      <w:color w:val="auto"/>
                      <w:szCs w:val="21"/>
                    </w:rPr>
                  </w:pPr>
                </w:p>
              </w:tc>
              <w:tc>
                <w:tcPr>
                  <w:tcW w:w="487" w:type="pct"/>
                  <w:noWrap w:val="0"/>
                  <w:vAlign w:val="center"/>
                </w:tcPr>
                <w:p w14:paraId="4C23A06C">
                  <w:pPr>
                    <w:jc w:val="center"/>
                    <w:rPr>
                      <w:rFonts w:hint="eastAsia"/>
                      <w:color w:val="auto"/>
                      <w:kern w:val="2"/>
                      <w:sz w:val="21"/>
                      <w:szCs w:val="21"/>
                      <w:lang w:val="en-US" w:eastAsia="zh-CN" w:bidi="ar-SA"/>
                    </w:rPr>
                  </w:pPr>
                  <w:r>
                    <w:rPr>
                      <w:rFonts w:hint="eastAsia"/>
                      <w:color w:val="auto"/>
                      <w:szCs w:val="21"/>
                    </w:rPr>
                    <w:t>10</w:t>
                  </w:r>
                </w:p>
              </w:tc>
              <w:tc>
                <w:tcPr>
                  <w:tcW w:w="649" w:type="pct"/>
                  <w:noWrap w:val="0"/>
                  <w:vAlign w:val="center"/>
                </w:tcPr>
                <w:p w14:paraId="579E0132">
                  <w:pPr>
                    <w:jc w:val="center"/>
                    <w:rPr>
                      <w:rFonts w:hint="eastAsia"/>
                      <w:color w:val="auto"/>
                      <w:kern w:val="2"/>
                      <w:sz w:val="21"/>
                      <w:szCs w:val="21"/>
                      <w:lang w:val="en-US" w:eastAsia="zh-CN" w:bidi="ar-SA"/>
                    </w:rPr>
                  </w:pPr>
                  <w:r>
                    <w:rPr>
                      <w:rFonts w:hint="eastAsia"/>
                      <w:color w:val="auto"/>
                      <w:szCs w:val="21"/>
                      <w:lang w:val="en-US" w:eastAsia="zh-CN"/>
                    </w:rPr>
                    <w:t>65</w:t>
                  </w:r>
                </w:p>
              </w:tc>
              <w:tc>
                <w:tcPr>
                  <w:tcW w:w="462" w:type="pct"/>
                  <w:noWrap w:val="0"/>
                  <w:vAlign w:val="center"/>
                </w:tcPr>
                <w:p w14:paraId="05D61704">
                  <w:pPr>
                    <w:jc w:val="center"/>
                    <w:rPr>
                      <w:rFonts w:hint="default" w:eastAsia="宋体"/>
                      <w:color w:val="auto"/>
                      <w:szCs w:val="21"/>
                      <w:lang w:val="en-US" w:eastAsia="zh-CN"/>
                    </w:rPr>
                  </w:pPr>
                  <w:r>
                    <w:rPr>
                      <w:rFonts w:hint="eastAsia"/>
                      <w:color w:val="auto"/>
                      <w:szCs w:val="21"/>
                      <w:lang w:val="en-US" w:eastAsia="zh-CN"/>
                    </w:rPr>
                    <w:t>14.6</w:t>
                  </w:r>
                </w:p>
              </w:tc>
              <w:tc>
                <w:tcPr>
                  <w:tcW w:w="353" w:type="pct"/>
                  <w:noWrap w:val="0"/>
                  <w:vAlign w:val="center"/>
                </w:tcPr>
                <w:p w14:paraId="290146F9">
                  <w:pPr>
                    <w:jc w:val="center"/>
                    <w:rPr>
                      <w:rFonts w:hint="default" w:eastAsia="宋体"/>
                      <w:color w:val="auto"/>
                      <w:szCs w:val="21"/>
                      <w:lang w:val="en-US" w:eastAsia="zh-CN"/>
                    </w:rPr>
                  </w:pPr>
                  <w:r>
                    <w:rPr>
                      <w:rFonts w:hint="eastAsia"/>
                      <w:color w:val="auto"/>
                      <w:szCs w:val="21"/>
                      <w:lang w:val="en-US" w:eastAsia="zh-CN"/>
                    </w:rPr>
                    <w:t>-43.1</w:t>
                  </w:r>
                </w:p>
              </w:tc>
              <w:tc>
                <w:tcPr>
                  <w:tcW w:w="317" w:type="pct"/>
                  <w:noWrap w:val="0"/>
                  <w:vAlign w:val="center"/>
                </w:tcPr>
                <w:p w14:paraId="256F72D5">
                  <w:pPr>
                    <w:jc w:val="center"/>
                    <w:rPr>
                      <w:rFonts w:hint="eastAsia" w:eastAsia="宋体"/>
                      <w:color w:val="auto"/>
                      <w:kern w:val="2"/>
                      <w:sz w:val="21"/>
                      <w:szCs w:val="21"/>
                      <w:lang w:val="en-US" w:eastAsia="zh-CN" w:bidi="ar-SA"/>
                    </w:rPr>
                  </w:pPr>
                  <w:r>
                    <w:rPr>
                      <w:rFonts w:hint="eastAsia"/>
                      <w:color w:val="auto"/>
                      <w:szCs w:val="21"/>
                      <w:lang w:val="en-US" w:eastAsia="zh-CN"/>
                    </w:rPr>
                    <w:t>1</w:t>
                  </w:r>
                </w:p>
              </w:tc>
              <w:tc>
                <w:tcPr>
                  <w:tcW w:w="289" w:type="pct"/>
                  <w:vMerge w:val="continue"/>
                  <w:noWrap w:val="0"/>
                  <w:vAlign w:val="center"/>
                </w:tcPr>
                <w:p w14:paraId="70D8A428">
                  <w:pPr>
                    <w:jc w:val="center"/>
                    <w:rPr>
                      <w:rFonts w:hint="eastAsia"/>
                      <w:color w:val="auto"/>
                      <w:szCs w:val="21"/>
                    </w:rPr>
                  </w:pPr>
                </w:p>
              </w:tc>
              <w:tc>
                <w:tcPr>
                  <w:tcW w:w="517" w:type="pct"/>
                  <w:vMerge w:val="continue"/>
                  <w:noWrap w:val="0"/>
                  <w:vAlign w:val="center"/>
                </w:tcPr>
                <w:p w14:paraId="0EE9EDD0">
                  <w:pPr>
                    <w:jc w:val="center"/>
                    <w:rPr>
                      <w:rFonts w:hint="eastAsia"/>
                      <w:color w:val="auto"/>
                      <w:szCs w:val="21"/>
                    </w:rPr>
                  </w:pPr>
                </w:p>
              </w:tc>
            </w:tr>
            <w:tr w14:paraId="7B753D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408" w:type="pct"/>
                  <w:vMerge w:val="continue"/>
                  <w:noWrap w:val="0"/>
                  <w:vAlign w:val="center"/>
                </w:tcPr>
                <w:p w14:paraId="2A75C37A">
                  <w:pPr>
                    <w:pStyle w:val="16"/>
                    <w:jc w:val="center"/>
                    <w:rPr>
                      <w:rFonts w:hint="eastAsia"/>
                      <w:color w:val="auto"/>
                      <w:kern w:val="2"/>
                      <w:sz w:val="21"/>
                      <w:szCs w:val="21"/>
                      <w:lang w:val="en-US" w:eastAsia="zh-CN"/>
                    </w:rPr>
                  </w:pPr>
                </w:p>
              </w:tc>
              <w:tc>
                <w:tcPr>
                  <w:tcW w:w="388" w:type="pct"/>
                  <w:vMerge w:val="continue"/>
                  <w:noWrap w:val="0"/>
                  <w:vAlign w:val="center"/>
                </w:tcPr>
                <w:p w14:paraId="2D14D496">
                  <w:pPr>
                    <w:pStyle w:val="57"/>
                    <w:spacing w:before="48" w:after="48"/>
                    <w:rPr>
                      <w:rFonts w:hint="eastAsia" w:ascii="Times New Roman" w:hAnsi="Times New Roman"/>
                      <w:color w:val="auto"/>
                      <w:szCs w:val="21"/>
                      <w:lang w:val="en-US" w:eastAsia="zh-CN"/>
                    </w:rPr>
                  </w:pPr>
                </w:p>
              </w:tc>
              <w:tc>
                <w:tcPr>
                  <w:tcW w:w="442" w:type="pct"/>
                  <w:noWrap w:val="0"/>
                  <w:vAlign w:val="center"/>
                </w:tcPr>
                <w:p w14:paraId="5EE6E834">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75</w:t>
                  </w:r>
                </w:p>
              </w:tc>
              <w:tc>
                <w:tcPr>
                  <w:tcW w:w="680" w:type="pct"/>
                  <w:vMerge w:val="continue"/>
                  <w:noWrap w:val="0"/>
                  <w:vAlign w:val="center"/>
                </w:tcPr>
                <w:p w14:paraId="533A126A">
                  <w:pPr>
                    <w:jc w:val="center"/>
                    <w:rPr>
                      <w:rFonts w:hint="eastAsia"/>
                      <w:color w:val="auto"/>
                      <w:szCs w:val="21"/>
                    </w:rPr>
                  </w:pPr>
                </w:p>
              </w:tc>
              <w:tc>
                <w:tcPr>
                  <w:tcW w:w="487" w:type="pct"/>
                  <w:noWrap w:val="0"/>
                  <w:vAlign w:val="center"/>
                </w:tcPr>
                <w:p w14:paraId="0DFE1617">
                  <w:pPr>
                    <w:jc w:val="center"/>
                    <w:rPr>
                      <w:rFonts w:hint="eastAsia"/>
                      <w:color w:val="auto"/>
                      <w:kern w:val="2"/>
                      <w:sz w:val="21"/>
                      <w:szCs w:val="21"/>
                      <w:lang w:val="en-US" w:eastAsia="zh-CN" w:bidi="ar-SA"/>
                    </w:rPr>
                  </w:pPr>
                  <w:r>
                    <w:rPr>
                      <w:rFonts w:hint="eastAsia"/>
                      <w:color w:val="auto"/>
                      <w:szCs w:val="21"/>
                    </w:rPr>
                    <w:t>10</w:t>
                  </w:r>
                </w:p>
              </w:tc>
              <w:tc>
                <w:tcPr>
                  <w:tcW w:w="649" w:type="pct"/>
                  <w:noWrap w:val="0"/>
                  <w:vAlign w:val="center"/>
                </w:tcPr>
                <w:p w14:paraId="2B251733">
                  <w:pPr>
                    <w:jc w:val="center"/>
                    <w:rPr>
                      <w:rFonts w:hint="eastAsia"/>
                      <w:color w:val="auto"/>
                      <w:kern w:val="2"/>
                      <w:sz w:val="21"/>
                      <w:szCs w:val="21"/>
                      <w:lang w:val="en-US" w:eastAsia="zh-CN" w:bidi="ar-SA"/>
                    </w:rPr>
                  </w:pPr>
                  <w:r>
                    <w:rPr>
                      <w:rFonts w:hint="eastAsia"/>
                      <w:color w:val="auto"/>
                      <w:szCs w:val="21"/>
                      <w:lang w:val="en-US" w:eastAsia="zh-CN"/>
                    </w:rPr>
                    <w:t>65</w:t>
                  </w:r>
                </w:p>
              </w:tc>
              <w:tc>
                <w:tcPr>
                  <w:tcW w:w="462" w:type="pct"/>
                  <w:noWrap w:val="0"/>
                  <w:vAlign w:val="center"/>
                </w:tcPr>
                <w:p w14:paraId="5BE3C2FF">
                  <w:pPr>
                    <w:jc w:val="center"/>
                    <w:rPr>
                      <w:rFonts w:hint="default" w:eastAsia="宋体"/>
                      <w:color w:val="auto"/>
                      <w:szCs w:val="21"/>
                      <w:lang w:val="en-US" w:eastAsia="zh-CN"/>
                    </w:rPr>
                  </w:pPr>
                  <w:r>
                    <w:rPr>
                      <w:rFonts w:hint="eastAsia"/>
                      <w:color w:val="auto"/>
                      <w:szCs w:val="21"/>
                      <w:lang w:val="en-US" w:eastAsia="zh-CN"/>
                    </w:rPr>
                    <w:t>18.86</w:t>
                  </w:r>
                </w:p>
              </w:tc>
              <w:tc>
                <w:tcPr>
                  <w:tcW w:w="353" w:type="pct"/>
                  <w:noWrap w:val="0"/>
                  <w:vAlign w:val="center"/>
                </w:tcPr>
                <w:p w14:paraId="48293ED9">
                  <w:pPr>
                    <w:jc w:val="center"/>
                    <w:rPr>
                      <w:rFonts w:hint="default" w:eastAsia="宋体"/>
                      <w:color w:val="auto"/>
                      <w:szCs w:val="21"/>
                      <w:lang w:val="en-US" w:eastAsia="zh-CN"/>
                    </w:rPr>
                  </w:pPr>
                  <w:r>
                    <w:rPr>
                      <w:rFonts w:hint="eastAsia"/>
                      <w:color w:val="auto"/>
                      <w:szCs w:val="21"/>
                      <w:lang w:val="en-US" w:eastAsia="zh-CN"/>
                    </w:rPr>
                    <w:t>-43.05</w:t>
                  </w:r>
                </w:p>
              </w:tc>
              <w:tc>
                <w:tcPr>
                  <w:tcW w:w="317" w:type="pct"/>
                  <w:noWrap w:val="0"/>
                  <w:vAlign w:val="center"/>
                </w:tcPr>
                <w:p w14:paraId="3293E510">
                  <w:pPr>
                    <w:jc w:val="center"/>
                    <w:rPr>
                      <w:rFonts w:hint="eastAsia"/>
                      <w:color w:val="auto"/>
                      <w:kern w:val="2"/>
                      <w:sz w:val="21"/>
                      <w:szCs w:val="21"/>
                      <w:lang w:val="en-US" w:eastAsia="zh-CN" w:bidi="ar-SA"/>
                    </w:rPr>
                  </w:pPr>
                  <w:r>
                    <w:rPr>
                      <w:rFonts w:hint="eastAsia"/>
                      <w:color w:val="auto"/>
                      <w:szCs w:val="21"/>
                    </w:rPr>
                    <w:t>1</w:t>
                  </w:r>
                </w:p>
              </w:tc>
              <w:tc>
                <w:tcPr>
                  <w:tcW w:w="289" w:type="pct"/>
                  <w:vMerge w:val="continue"/>
                  <w:noWrap w:val="0"/>
                  <w:vAlign w:val="center"/>
                </w:tcPr>
                <w:p w14:paraId="700595B2">
                  <w:pPr>
                    <w:jc w:val="center"/>
                    <w:rPr>
                      <w:rFonts w:hint="eastAsia"/>
                      <w:color w:val="auto"/>
                      <w:szCs w:val="21"/>
                    </w:rPr>
                  </w:pPr>
                </w:p>
              </w:tc>
              <w:tc>
                <w:tcPr>
                  <w:tcW w:w="517" w:type="pct"/>
                  <w:vMerge w:val="continue"/>
                  <w:noWrap w:val="0"/>
                  <w:vAlign w:val="center"/>
                </w:tcPr>
                <w:p w14:paraId="124F7CFC">
                  <w:pPr>
                    <w:jc w:val="center"/>
                    <w:rPr>
                      <w:rFonts w:hint="eastAsia"/>
                      <w:color w:val="auto"/>
                      <w:szCs w:val="21"/>
                    </w:rPr>
                  </w:pPr>
                </w:p>
              </w:tc>
            </w:tr>
            <w:tr w14:paraId="3E5814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408" w:type="pct"/>
                  <w:vMerge w:val="continue"/>
                  <w:noWrap w:val="0"/>
                  <w:vAlign w:val="center"/>
                </w:tcPr>
                <w:p w14:paraId="0746271E">
                  <w:pPr>
                    <w:pStyle w:val="16"/>
                    <w:jc w:val="center"/>
                    <w:rPr>
                      <w:rFonts w:hint="eastAsia"/>
                      <w:color w:val="auto"/>
                      <w:kern w:val="2"/>
                      <w:sz w:val="21"/>
                      <w:szCs w:val="21"/>
                      <w:lang w:val="en-US" w:eastAsia="zh-CN"/>
                    </w:rPr>
                  </w:pPr>
                </w:p>
              </w:tc>
              <w:tc>
                <w:tcPr>
                  <w:tcW w:w="388" w:type="pct"/>
                  <w:vMerge w:val="continue"/>
                  <w:noWrap w:val="0"/>
                  <w:vAlign w:val="center"/>
                </w:tcPr>
                <w:p w14:paraId="4CC83254">
                  <w:pPr>
                    <w:pStyle w:val="57"/>
                    <w:spacing w:before="48" w:after="48"/>
                    <w:rPr>
                      <w:rFonts w:hint="eastAsia" w:ascii="Times New Roman" w:hAnsi="Times New Roman"/>
                      <w:color w:val="auto"/>
                      <w:szCs w:val="21"/>
                      <w:lang w:val="en-US" w:eastAsia="zh-CN"/>
                    </w:rPr>
                  </w:pPr>
                </w:p>
              </w:tc>
              <w:tc>
                <w:tcPr>
                  <w:tcW w:w="442" w:type="pct"/>
                  <w:noWrap w:val="0"/>
                  <w:vAlign w:val="center"/>
                </w:tcPr>
                <w:p w14:paraId="4247D512">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75</w:t>
                  </w:r>
                </w:p>
              </w:tc>
              <w:tc>
                <w:tcPr>
                  <w:tcW w:w="680" w:type="pct"/>
                  <w:vMerge w:val="continue"/>
                  <w:noWrap w:val="0"/>
                  <w:vAlign w:val="center"/>
                </w:tcPr>
                <w:p w14:paraId="7F2A2788">
                  <w:pPr>
                    <w:jc w:val="center"/>
                    <w:rPr>
                      <w:rFonts w:hint="eastAsia"/>
                      <w:color w:val="auto"/>
                      <w:szCs w:val="21"/>
                    </w:rPr>
                  </w:pPr>
                </w:p>
              </w:tc>
              <w:tc>
                <w:tcPr>
                  <w:tcW w:w="487" w:type="pct"/>
                  <w:noWrap w:val="0"/>
                  <w:vAlign w:val="center"/>
                </w:tcPr>
                <w:p w14:paraId="4BBA9851">
                  <w:pPr>
                    <w:jc w:val="center"/>
                    <w:rPr>
                      <w:rFonts w:hint="eastAsia"/>
                      <w:color w:val="auto"/>
                      <w:kern w:val="2"/>
                      <w:sz w:val="21"/>
                      <w:szCs w:val="21"/>
                      <w:lang w:val="en-US" w:eastAsia="zh-CN" w:bidi="ar-SA"/>
                    </w:rPr>
                  </w:pPr>
                  <w:r>
                    <w:rPr>
                      <w:rFonts w:hint="eastAsia"/>
                      <w:color w:val="auto"/>
                      <w:szCs w:val="21"/>
                    </w:rPr>
                    <w:t>10</w:t>
                  </w:r>
                </w:p>
              </w:tc>
              <w:tc>
                <w:tcPr>
                  <w:tcW w:w="649" w:type="pct"/>
                  <w:noWrap w:val="0"/>
                  <w:vAlign w:val="center"/>
                </w:tcPr>
                <w:p w14:paraId="200873D6">
                  <w:pPr>
                    <w:jc w:val="center"/>
                    <w:rPr>
                      <w:rFonts w:hint="eastAsia"/>
                      <w:color w:val="auto"/>
                      <w:kern w:val="2"/>
                      <w:sz w:val="21"/>
                      <w:szCs w:val="21"/>
                      <w:lang w:val="en-US" w:eastAsia="zh-CN" w:bidi="ar-SA"/>
                    </w:rPr>
                  </w:pPr>
                  <w:r>
                    <w:rPr>
                      <w:rFonts w:hint="eastAsia"/>
                      <w:color w:val="auto"/>
                      <w:szCs w:val="21"/>
                      <w:lang w:val="en-US" w:eastAsia="zh-CN"/>
                    </w:rPr>
                    <w:t>65</w:t>
                  </w:r>
                </w:p>
              </w:tc>
              <w:tc>
                <w:tcPr>
                  <w:tcW w:w="462" w:type="pct"/>
                  <w:noWrap w:val="0"/>
                  <w:vAlign w:val="center"/>
                </w:tcPr>
                <w:p w14:paraId="7DB6CE17">
                  <w:pPr>
                    <w:jc w:val="center"/>
                    <w:rPr>
                      <w:rFonts w:hint="default" w:eastAsia="宋体"/>
                      <w:color w:val="auto"/>
                      <w:szCs w:val="21"/>
                      <w:lang w:val="en-US" w:eastAsia="zh-CN"/>
                    </w:rPr>
                  </w:pPr>
                  <w:r>
                    <w:rPr>
                      <w:rFonts w:hint="eastAsia"/>
                      <w:color w:val="auto"/>
                      <w:szCs w:val="21"/>
                      <w:lang w:val="en-US" w:eastAsia="zh-CN"/>
                    </w:rPr>
                    <w:t>23.56</w:t>
                  </w:r>
                </w:p>
              </w:tc>
              <w:tc>
                <w:tcPr>
                  <w:tcW w:w="353" w:type="pct"/>
                  <w:noWrap w:val="0"/>
                  <w:vAlign w:val="center"/>
                </w:tcPr>
                <w:p w14:paraId="7061EBF4">
                  <w:pPr>
                    <w:jc w:val="center"/>
                    <w:rPr>
                      <w:rFonts w:hint="default" w:eastAsia="宋体"/>
                      <w:color w:val="auto"/>
                      <w:szCs w:val="21"/>
                      <w:lang w:val="en-US" w:eastAsia="zh-CN"/>
                    </w:rPr>
                  </w:pPr>
                  <w:r>
                    <w:rPr>
                      <w:rFonts w:hint="eastAsia"/>
                      <w:color w:val="auto"/>
                      <w:szCs w:val="21"/>
                      <w:lang w:val="en-US" w:eastAsia="zh-CN"/>
                    </w:rPr>
                    <w:t>-43.1</w:t>
                  </w:r>
                </w:p>
              </w:tc>
              <w:tc>
                <w:tcPr>
                  <w:tcW w:w="317" w:type="pct"/>
                  <w:noWrap w:val="0"/>
                  <w:vAlign w:val="center"/>
                </w:tcPr>
                <w:p w14:paraId="73FA3BF3">
                  <w:pPr>
                    <w:jc w:val="center"/>
                    <w:rPr>
                      <w:rFonts w:hint="eastAsia"/>
                      <w:color w:val="auto"/>
                      <w:kern w:val="2"/>
                      <w:sz w:val="21"/>
                      <w:szCs w:val="21"/>
                      <w:lang w:val="en-US" w:eastAsia="zh-CN" w:bidi="ar-SA"/>
                    </w:rPr>
                  </w:pPr>
                  <w:r>
                    <w:rPr>
                      <w:rFonts w:hint="eastAsia"/>
                      <w:color w:val="auto"/>
                      <w:szCs w:val="21"/>
                    </w:rPr>
                    <w:t>1</w:t>
                  </w:r>
                </w:p>
              </w:tc>
              <w:tc>
                <w:tcPr>
                  <w:tcW w:w="289" w:type="pct"/>
                  <w:vMerge w:val="continue"/>
                  <w:noWrap w:val="0"/>
                  <w:vAlign w:val="center"/>
                </w:tcPr>
                <w:p w14:paraId="5E2C2C99">
                  <w:pPr>
                    <w:jc w:val="center"/>
                    <w:rPr>
                      <w:rFonts w:hint="eastAsia"/>
                      <w:color w:val="auto"/>
                      <w:szCs w:val="21"/>
                    </w:rPr>
                  </w:pPr>
                </w:p>
              </w:tc>
              <w:tc>
                <w:tcPr>
                  <w:tcW w:w="517" w:type="pct"/>
                  <w:vMerge w:val="continue"/>
                  <w:noWrap w:val="0"/>
                  <w:vAlign w:val="center"/>
                </w:tcPr>
                <w:p w14:paraId="5189E32D">
                  <w:pPr>
                    <w:jc w:val="center"/>
                    <w:rPr>
                      <w:rFonts w:hint="eastAsia"/>
                      <w:color w:val="auto"/>
                      <w:szCs w:val="21"/>
                    </w:rPr>
                  </w:pPr>
                </w:p>
              </w:tc>
            </w:tr>
            <w:tr w14:paraId="55704F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408" w:type="pct"/>
                  <w:vMerge w:val="continue"/>
                  <w:noWrap w:val="0"/>
                  <w:vAlign w:val="center"/>
                </w:tcPr>
                <w:p w14:paraId="21C80E7A">
                  <w:pPr>
                    <w:pStyle w:val="16"/>
                    <w:jc w:val="center"/>
                    <w:rPr>
                      <w:rFonts w:hint="eastAsia"/>
                      <w:color w:val="auto"/>
                      <w:kern w:val="2"/>
                      <w:sz w:val="21"/>
                      <w:szCs w:val="21"/>
                      <w:lang w:val="en-US" w:eastAsia="zh-CN"/>
                    </w:rPr>
                  </w:pPr>
                </w:p>
              </w:tc>
              <w:tc>
                <w:tcPr>
                  <w:tcW w:w="388" w:type="pct"/>
                  <w:vMerge w:val="continue"/>
                  <w:noWrap w:val="0"/>
                  <w:vAlign w:val="center"/>
                </w:tcPr>
                <w:p w14:paraId="37B2ED8C">
                  <w:pPr>
                    <w:pStyle w:val="57"/>
                    <w:spacing w:before="48" w:after="48"/>
                    <w:rPr>
                      <w:rFonts w:hint="eastAsia" w:ascii="Times New Roman" w:hAnsi="Times New Roman"/>
                      <w:color w:val="auto"/>
                      <w:szCs w:val="21"/>
                      <w:lang w:val="en-US" w:eastAsia="zh-CN"/>
                    </w:rPr>
                  </w:pPr>
                </w:p>
              </w:tc>
              <w:tc>
                <w:tcPr>
                  <w:tcW w:w="442" w:type="pct"/>
                  <w:noWrap w:val="0"/>
                  <w:vAlign w:val="center"/>
                </w:tcPr>
                <w:p w14:paraId="0AB0B51E">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75</w:t>
                  </w:r>
                </w:p>
              </w:tc>
              <w:tc>
                <w:tcPr>
                  <w:tcW w:w="680" w:type="pct"/>
                  <w:vMerge w:val="continue"/>
                  <w:noWrap w:val="0"/>
                  <w:vAlign w:val="center"/>
                </w:tcPr>
                <w:p w14:paraId="77FE9438">
                  <w:pPr>
                    <w:jc w:val="center"/>
                    <w:rPr>
                      <w:rFonts w:hint="eastAsia"/>
                      <w:color w:val="auto"/>
                      <w:szCs w:val="21"/>
                    </w:rPr>
                  </w:pPr>
                </w:p>
              </w:tc>
              <w:tc>
                <w:tcPr>
                  <w:tcW w:w="487" w:type="pct"/>
                  <w:noWrap w:val="0"/>
                  <w:vAlign w:val="center"/>
                </w:tcPr>
                <w:p w14:paraId="7D58D194">
                  <w:pPr>
                    <w:jc w:val="center"/>
                    <w:rPr>
                      <w:rFonts w:hint="eastAsia"/>
                      <w:color w:val="auto"/>
                      <w:kern w:val="2"/>
                      <w:sz w:val="21"/>
                      <w:szCs w:val="21"/>
                      <w:lang w:val="en-US" w:eastAsia="zh-CN" w:bidi="ar-SA"/>
                    </w:rPr>
                  </w:pPr>
                  <w:r>
                    <w:rPr>
                      <w:rFonts w:hint="eastAsia"/>
                      <w:color w:val="auto"/>
                      <w:szCs w:val="21"/>
                    </w:rPr>
                    <w:t>10</w:t>
                  </w:r>
                </w:p>
              </w:tc>
              <w:tc>
                <w:tcPr>
                  <w:tcW w:w="649" w:type="pct"/>
                  <w:noWrap w:val="0"/>
                  <w:vAlign w:val="center"/>
                </w:tcPr>
                <w:p w14:paraId="32285264">
                  <w:pPr>
                    <w:jc w:val="center"/>
                    <w:rPr>
                      <w:rFonts w:hint="eastAsia"/>
                      <w:color w:val="auto"/>
                      <w:kern w:val="2"/>
                      <w:sz w:val="21"/>
                      <w:szCs w:val="21"/>
                      <w:lang w:val="en-US" w:eastAsia="zh-CN" w:bidi="ar-SA"/>
                    </w:rPr>
                  </w:pPr>
                  <w:r>
                    <w:rPr>
                      <w:rFonts w:hint="eastAsia"/>
                      <w:color w:val="auto"/>
                      <w:szCs w:val="21"/>
                      <w:lang w:val="en-US" w:eastAsia="zh-CN"/>
                    </w:rPr>
                    <w:t>65</w:t>
                  </w:r>
                </w:p>
              </w:tc>
              <w:tc>
                <w:tcPr>
                  <w:tcW w:w="462" w:type="pct"/>
                  <w:noWrap w:val="0"/>
                  <w:vAlign w:val="center"/>
                </w:tcPr>
                <w:p w14:paraId="37C74D00">
                  <w:pPr>
                    <w:jc w:val="center"/>
                    <w:rPr>
                      <w:rFonts w:hint="default" w:eastAsia="宋体"/>
                      <w:color w:val="auto"/>
                      <w:szCs w:val="21"/>
                      <w:lang w:val="en-US" w:eastAsia="zh-CN"/>
                    </w:rPr>
                  </w:pPr>
                  <w:r>
                    <w:rPr>
                      <w:rFonts w:hint="eastAsia"/>
                      <w:color w:val="auto"/>
                      <w:szCs w:val="21"/>
                      <w:lang w:val="en-US" w:eastAsia="zh-CN"/>
                    </w:rPr>
                    <w:t>28.3</w:t>
                  </w:r>
                </w:p>
              </w:tc>
              <w:tc>
                <w:tcPr>
                  <w:tcW w:w="353" w:type="pct"/>
                  <w:noWrap w:val="0"/>
                  <w:vAlign w:val="center"/>
                </w:tcPr>
                <w:p w14:paraId="1741C4C0">
                  <w:pPr>
                    <w:jc w:val="center"/>
                    <w:rPr>
                      <w:rFonts w:hint="default" w:eastAsia="宋体"/>
                      <w:color w:val="auto"/>
                      <w:szCs w:val="21"/>
                      <w:lang w:val="en-US" w:eastAsia="zh-CN"/>
                    </w:rPr>
                  </w:pPr>
                  <w:r>
                    <w:rPr>
                      <w:rFonts w:hint="eastAsia"/>
                      <w:color w:val="auto"/>
                      <w:szCs w:val="21"/>
                      <w:lang w:val="en-US" w:eastAsia="zh-CN"/>
                    </w:rPr>
                    <w:t>-43.1</w:t>
                  </w:r>
                </w:p>
              </w:tc>
              <w:tc>
                <w:tcPr>
                  <w:tcW w:w="317" w:type="pct"/>
                  <w:noWrap w:val="0"/>
                  <w:vAlign w:val="center"/>
                </w:tcPr>
                <w:p w14:paraId="2C042690">
                  <w:pPr>
                    <w:jc w:val="center"/>
                    <w:rPr>
                      <w:rFonts w:hint="eastAsia"/>
                      <w:color w:val="auto"/>
                      <w:kern w:val="2"/>
                      <w:sz w:val="21"/>
                      <w:szCs w:val="21"/>
                      <w:lang w:val="en-US" w:eastAsia="zh-CN" w:bidi="ar-SA"/>
                    </w:rPr>
                  </w:pPr>
                  <w:r>
                    <w:rPr>
                      <w:rFonts w:hint="eastAsia"/>
                      <w:color w:val="auto"/>
                      <w:szCs w:val="21"/>
                    </w:rPr>
                    <w:t>1</w:t>
                  </w:r>
                </w:p>
              </w:tc>
              <w:tc>
                <w:tcPr>
                  <w:tcW w:w="289" w:type="pct"/>
                  <w:vMerge w:val="continue"/>
                  <w:noWrap w:val="0"/>
                  <w:vAlign w:val="center"/>
                </w:tcPr>
                <w:p w14:paraId="79C55994">
                  <w:pPr>
                    <w:jc w:val="center"/>
                    <w:rPr>
                      <w:rFonts w:hint="eastAsia"/>
                      <w:color w:val="auto"/>
                      <w:szCs w:val="21"/>
                    </w:rPr>
                  </w:pPr>
                </w:p>
              </w:tc>
              <w:tc>
                <w:tcPr>
                  <w:tcW w:w="517" w:type="pct"/>
                  <w:vMerge w:val="continue"/>
                  <w:noWrap w:val="0"/>
                  <w:vAlign w:val="center"/>
                </w:tcPr>
                <w:p w14:paraId="4AFA2AE5">
                  <w:pPr>
                    <w:jc w:val="center"/>
                    <w:rPr>
                      <w:rFonts w:hint="eastAsia"/>
                      <w:color w:val="auto"/>
                      <w:szCs w:val="21"/>
                    </w:rPr>
                  </w:pPr>
                </w:p>
              </w:tc>
            </w:tr>
            <w:tr w14:paraId="3D47A9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408" w:type="pct"/>
                  <w:vMerge w:val="continue"/>
                  <w:noWrap w:val="0"/>
                  <w:vAlign w:val="center"/>
                </w:tcPr>
                <w:p w14:paraId="5B08515E">
                  <w:pPr>
                    <w:pStyle w:val="16"/>
                    <w:jc w:val="center"/>
                    <w:rPr>
                      <w:rFonts w:hint="eastAsia"/>
                      <w:color w:val="auto"/>
                      <w:kern w:val="2"/>
                      <w:sz w:val="21"/>
                      <w:szCs w:val="21"/>
                      <w:lang w:val="en-US" w:eastAsia="zh-CN"/>
                    </w:rPr>
                  </w:pPr>
                </w:p>
              </w:tc>
              <w:tc>
                <w:tcPr>
                  <w:tcW w:w="388" w:type="pct"/>
                  <w:vMerge w:val="continue"/>
                  <w:noWrap w:val="0"/>
                  <w:vAlign w:val="center"/>
                </w:tcPr>
                <w:p w14:paraId="0EE83923">
                  <w:pPr>
                    <w:pStyle w:val="57"/>
                    <w:spacing w:before="48" w:after="48"/>
                    <w:rPr>
                      <w:rFonts w:hint="eastAsia" w:ascii="Times New Roman" w:hAnsi="Times New Roman"/>
                      <w:color w:val="auto"/>
                      <w:szCs w:val="21"/>
                      <w:lang w:val="en-US" w:eastAsia="zh-CN"/>
                    </w:rPr>
                  </w:pPr>
                </w:p>
              </w:tc>
              <w:tc>
                <w:tcPr>
                  <w:tcW w:w="442" w:type="pct"/>
                  <w:noWrap w:val="0"/>
                  <w:vAlign w:val="center"/>
                </w:tcPr>
                <w:p w14:paraId="4A2E90B6">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75</w:t>
                  </w:r>
                </w:p>
              </w:tc>
              <w:tc>
                <w:tcPr>
                  <w:tcW w:w="680" w:type="pct"/>
                  <w:vMerge w:val="continue"/>
                  <w:noWrap w:val="0"/>
                  <w:vAlign w:val="center"/>
                </w:tcPr>
                <w:p w14:paraId="33DF6F35">
                  <w:pPr>
                    <w:jc w:val="center"/>
                    <w:rPr>
                      <w:rFonts w:hint="eastAsia"/>
                      <w:color w:val="auto"/>
                      <w:szCs w:val="21"/>
                    </w:rPr>
                  </w:pPr>
                </w:p>
              </w:tc>
              <w:tc>
                <w:tcPr>
                  <w:tcW w:w="487" w:type="pct"/>
                  <w:noWrap w:val="0"/>
                  <w:vAlign w:val="center"/>
                </w:tcPr>
                <w:p w14:paraId="7F5C8A0D">
                  <w:pPr>
                    <w:jc w:val="center"/>
                    <w:rPr>
                      <w:rFonts w:hint="eastAsia"/>
                      <w:color w:val="auto"/>
                      <w:kern w:val="2"/>
                      <w:sz w:val="21"/>
                      <w:szCs w:val="21"/>
                      <w:lang w:val="en-US" w:eastAsia="zh-CN" w:bidi="ar-SA"/>
                    </w:rPr>
                  </w:pPr>
                  <w:r>
                    <w:rPr>
                      <w:rFonts w:hint="eastAsia"/>
                      <w:color w:val="auto"/>
                      <w:szCs w:val="21"/>
                    </w:rPr>
                    <w:t>10</w:t>
                  </w:r>
                </w:p>
              </w:tc>
              <w:tc>
                <w:tcPr>
                  <w:tcW w:w="649" w:type="pct"/>
                  <w:noWrap w:val="0"/>
                  <w:vAlign w:val="center"/>
                </w:tcPr>
                <w:p w14:paraId="642D954E">
                  <w:pPr>
                    <w:jc w:val="center"/>
                    <w:rPr>
                      <w:rFonts w:hint="eastAsia"/>
                      <w:color w:val="auto"/>
                      <w:kern w:val="2"/>
                      <w:sz w:val="21"/>
                      <w:szCs w:val="21"/>
                      <w:lang w:val="en-US" w:eastAsia="zh-CN" w:bidi="ar-SA"/>
                    </w:rPr>
                  </w:pPr>
                  <w:r>
                    <w:rPr>
                      <w:rFonts w:hint="eastAsia"/>
                      <w:color w:val="auto"/>
                      <w:szCs w:val="21"/>
                      <w:lang w:val="en-US" w:eastAsia="zh-CN"/>
                    </w:rPr>
                    <w:t>65</w:t>
                  </w:r>
                </w:p>
              </w:tc>
              <w:tc>
                <w:tcPr>
                  <w:tcW w:w="462" w:type="pct"/>
                  <w:noWrap w:val="0"/>
                  <w:vAlign w:val="center"/>
                </w:tcPr>
                <w:p w14:paraId="28E9AD2D">
                  <w:pPr>
                    <w:jc w:val="center"/>
                    <w:rPr>
                      <w:rFonts w:hint="default" w:eastAsia="宋体"/>
                      <w:color w:val="auto"/>
                      <w:szCs w:val="21"/>
                      <w:lang w:val="en-US" w:eastAsia="zh-CN"/>
                    </w:rPr>
                  </w:pPr>
                  <w:r>
                    <w:rPr>
                      <w:rFonts w:hint="eastAsia"/>
                      <w:color w:val="auto"/>
                      <w:szCs w:val="21"/>
                      <w:lang w:val="en-US" w:eastAsia="zh-CN"/>
                    </w:rPr>
                    <w:t>7.42</w:t>
                  </w:r>
                </w:p>
              </w:tc>
              <w:tc>
                <w:tcPr>
                  <w:tcW w:w="353" w:type="pct"/>
                  <w:noWrap w:val="0"/>
                  <w:vAlign w:val="center"/>
                </w:tcPr>
                <w:p w14:paraId="56706FE5">
                  <w:pPr>
                    <w:jc w:val="center"/>
                    <w:rPr>
                      <w:rFonts w:hint="default" w:eastAsia="宋体"/>
                      <w:color w:val="auto"/>
                      <w:szCs w:val="21"/>
                      <w:lang w:val="en-US" w:eastAsia="zh-CN"/>
                    </w:rPr>
                  </w:pPr>
                  <w:r>
                    <w:rPr>
                      <w:rFonts w:hint="eastAsia"/>
                      <w:color w:val="auto"/>
                      <w:szCs w:val="21"/>
                      <w:lang w:val="en-US" w:eastAsia="zh-CN"/>
                    </w:rPr>
                    <w:t>-43.1</w:t>
                  </w:r>
                </w:p>
              </w:tc>
              <w:tc>
                <w:tcPr>
                  <w:tcW w:w="317" w:type="pct"/>
                  <w:noWrap w:val="0"/>
                  <w:vAlign w:val="center"/>
                </w:tcPr>
                <w:p w14:paraId="567102E7">
                  <w:pPr>
                    <w:jc w:val="center"/>
                    <w:rPr>
                      <w:rFonts w:hint="eastAsia" w:eastAsia="宋体"/>
                      <w:color w:val="auto"/>
                      <w:kern w:val="2"/>
                      <w:sz w:val="21"/>
                      <w:szCs w:val="21"/>
                      <w:lang w:val="en-US" w:eastAsia="zh-CN" w:bidi="ar-SA"/>
                    </w:rPr>
                  </w:pPr>
                  <w:r>
                    <w:rPr>
                      <w:rFonts w:hint="eastAsia"/>
                      <w:color w:val="auto"/>
                      <w:szCs w:val="21"/>
                      <w:lang w:val="en-US" w:eastAsia="zh-CN"/>
                    </w:rPr>
                    <w:t>1</w:t>
                  </w:r>
                </w:p>
              </w:tc>
              <w:tc>
                <w:tcPr>
                  <w:tcW w:w="289" w:type="pct"/>
                  <w:vMerge w:val="continue"/>
                  <w:noWrap w:val="0"/>
                  <w:vAlign w:val="center"/>
                </w:tcPr>
                <w:p w14:paraId="4F924BD5">
                  <w:pPr>
                    <w:jc w:val="center"/>
                    <w:rPr>
                      <w:rFonts w:hint="eastAsia"/>
                      <w:color w:val="auto"/>
                      <w:szCs w:val="21"/>
                    </w:rPr>
                  </w:pPr>
                </w:p>
              </w:tc>
              <w:tc>
                <w:tcPr>
                  <w:tcW w:w="517" w:type="pct"/>
                  <w:vMerge w:val="continue"/>
                  <w:noWrap w:val="0"/>
                  <w:vAlign w:val="center"/>
                </w:tcPr>
                <w:p w14:paraId="21E55177">
                  <w:pPr>
                    <w:jc w:val="center"/>
                    <w:rPr>
                      <w:rFonts w:hint="eastAsia"/>
                      <w:color w:val="auto"/>
                      <w:szCs w:val="21"/>
                    </w:rPr>
                  </w:pPr>
                </w:p>
              </w:tc>
            </w:tr>
            <w:tr w14:paraId="00F1F6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408" w:type="pct"/>
                  <w:vMerge w:val="continue"/>
                  <w:noWrap w:val="0"/>
                  <w:vAlign w:val="center"/>
                </w:tcPr>
                <w:p w14:paraId="26C87CB7">
                  <w:pPr>
                    <w:pStyle w:val="16"/>
                    <w:jc w:val="center"/>
                    <w:rPr>
                      <w:rFonts w:hint="eastAsia"/>
                      <w:color w:val="auto"/>
                      <w:kern w:val="2"/>
                      <w:sz w:val="21"/>
                      <w:szCs w:val="21"/>
                      <w:lang w:val="en-US" w:eastAsia="zh-CN"/>
                    </w:rPr>
                  </w:pPr>
                </w:p>
              </w:tc>
              <w:tc>
                <w:tcPr>
                  <w:tcW w:w="388" w:type="pct"/>
                  <w:vMerge w:val="continue"/>
                  <w:noWrap w:val="0"/>
                  <w:vAlign w:val="center"/>
                </w:tcPr>
                <w:p w14:paraId="798B5921">
                  <w:pPr>
                    <w:pStyle w:val="57"/>
                    <w:spacing w:before="48" w:after="48"/>
                    <w:rPr>
                      <w:rFonts w:hint="eastAsia" w:ascii="Times New Roman" w:hAnsi="Times New Roman"/>
                      <w:color w:val="auto"/>
                      <w:szCs w:val="21"/>
                      <w:lang w:val="en-US" w:eastAsia="zh-CN"/>
                    </w:rPr>
                  </w:pPr>
                </w:p>
              </w:tc>
              <w:tc>
                <w:tcPr>
                  <w:tcW w:w="442" w:type="pct"/>
                  <w:noWrap w:val="0"/>
                  <w:vAlign w:val="center"/>
                </w:tcPr>
                <w:p w14:paraId="15F91FB6">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75</w:t>
                  </w:r>
                </w:p>
              </w:tc>
              <w:tc>
                <w:tcPr>
                  <w:tcW w:w="680" w:type="pct"/>
                  <w:vMerge w:val="continue"/>
                  <w:noWrap w:val="0"/>
                  <w:vAlign w:val="center"/>
                </w:tcPr>
                <w:p w14:paraId="1954D209">
                  <w:pPr>
                    <w:jc w:val="center"/>
                    <w:rPr>
                      <w:rFonts w:hint="eastAsia"/>
                      <w:color w:val="auto"/>
                      <w:szCs w:val="21"/>
                    </w:rPr>
                  </w:pPr>
                </w:p>
              </w:tc>
              <w:tc>
                <w:tcPr>
                  <w:tcW w:w="487" w:type="pct"/>
                  <w:noWrap w:val="0"/>
                  <w:vAlign w:val="center"/>
                </w:tcPr>
                <w:p w14:paraId="02390D6D">
                  <w:pPr>
                    <w:jc w:val="center"/>
                    <w:rPr>
                      <w:rFonts w:hint="eastAsia"/>
                      <w:color w:val="auto"/>
                      <w:kern w:val="2"/>
                      <w:sz w:val="21"/>
                      <w:szCs w:val="21"/>
                      <w:lang w:val="en-US" w:eastAsia="zh-CN" w:bidi="ar-SA"/>
                    </w:rPr>
                  </w:pPr>
                  <w:r>
                    <w:rPr>
                      <w:rFonts w:hint="eastAsia"/>
                      <w:color w:val="auto"/>
                      <w:szCs w:val="21"/>
                    </w:rPr>
                    <w:t>10</w:t>
                  </w:r>
                </w:p>
              </w:tc>
              <w:tc>
                <w:tcPr>
                  <w:tcW w:w="649" w:type="pct"/>
                  <w:noWrap w:val="0"/>
                  <w:vAlign w:val="center"/>
                </w:tcPr>
                <w:p w14:paraId="463CB4C3">
                  <w:pPr>
                    <w:jc w:val="center"/>
                    <w:rPr>
                      <w:rFonts w:hint="eastAsia"/>
                      <w:color w:val="auto"/>
                      <w:kern w:val="2"/>
                      <w:sz w:val="21"/>
                      <w:szCs w:val="21"/>
                      <w:lang w:val="en-US" w:eastAsia="zh-CN" w:bidi="ar-SA"/>
                    </w:rPr>
                  </w:pPr>
                  <w:r>
                    <w:rPr>
                      <w:rFonts w:hint="eastAsia"/>
                      <w:color w:val="auto"/>
                      <w:szCs w:val="21"/>
                      <w:lang w:val="en-US" w:eastAsia="zh-CN"/>
                    </w:rPr>
                    <w:t>65</w:t>
                  </w:r>
                </w:p>
              </w:tc>
              <w:tc>
                <w:tcPr>
                  <w:tcW w:w="462" w:type="pct"/>
                  <w:noWrap w:val="0"/>
                  <w:vAlign w:val="center"/>
                </w:tcPr>
                <w:p w14:paraId="25AE3811">
                  <w:pPr>
                    <w:jc w:val="center"/>
                    <w:rPr>
                      <w:rFonts w:hint="default" w:eastAsia="宋体"/>
                      <w:color w:val="auto"/>
                      <w:szCs w:val="21"/>
                      <w:lang w:val="en-US" w:eastAsia="zh-CN"/>
                    </w:rPr>
                  </w:pPr>
                  <w:r>
                    <w:rPr>
                      <w:rFonts w:hint="eastAsia"/>
                      <w:color w:val="auto"/>
                      <w:szCs w:val="21"/>
                      <w:lang w:val="en-US" w:eastAsia="zh-CN"/>
                    </w:rPr>
                    <w:t>43.5</w:t>
                  </w:r>
                </w:p>
              </w:tc>
              <w:tc>
                <w:tcPr>
                  <w:tcW w:w="353" w:type="pct"/>
                  <w:noWrap w:val="0"/>
                  <w:vAlign w:val="center"/>
                </w:tcPr>
                <w:p w14:paraId="0ACB411A">
                  <w:pPr>
                    <w:jc w:val="center"/>
                    <w:rPr>
                      <w:rFonts w:hint="default" w:eastAsia="宋体"/>
                      <w:color w:val="auto"/>
                      <w:szCs w:val="21"/>
                      <w:lang w:val="en-US" w:eastAsia="zh-CN"/>
                    </w:rPr>
                  </w:pPr>
                  <w:r>
                    <w:rPr>
                      <w:rFonts w:hint="eastAsia"/>
                      <w:color w:val="auto"/>
                      <w:szCs w:val="21"/>
                      <w:lang w:val="en-US" w:eastAsia="zh-CN"/>
                    </w:rPr>
                    <w:t>-43.1</w:t>
                  </w:r>
                </w:p>
              </w:tc>
              <w:tc>
                <w:tcPr>
                  <w:tcW w:w="317" w:type="pct"/>
                  <w:noWrap w:val="0"/>
                  <w:vAlign w:val="center"/>
                </w:tcPr>
                <w:p w14:paraId="78EF7F92">
                  <w:pPr>
                    <w:jc w:val="center"/>
                    <w:rPr>
                      <w:rFonts w:hint="eastAsia"/>
                      <w:color w:val="auto"/>
                      <w:kern w:val="2"/>
                      <w:sz w:val="21"/>
                      <w:szCs w:val="21"/>
                      <w:lang w:val="en-US" w:eastAsia="zh-CN" w:bidi="ar-SA"/>
                    </w:rPr>
                  </w:pPr>
                  <w:r>
                    <w:rPr>
                      <w:rFonts w:hint="eastAsia"/>
                      <w:color w:val="auto"/>
                      <w:szCs w:val="21"/>
                    </w:rPr>
                    <w:t>1</w:t>
                  </w:r>
                </w:p>
              </w:tc>
              <w:tc>
                <w:tcPr>
                  <w:tcW w:w="289" w:type="pct"/>
                  <w:vMerge w:val="continue"/>
                  <w:noWrap w:val="0"/>
                  <w:vAlign w:val="center"/>
                </w:tcPr>
                <w:p w14:paraId="17C2F83F">
                  <w:pPr>
                    <w:jc w:val="center"/>
                    <w:rPr>
                      <w:rFonts w:hint="eastAsia"/>
                      <w:color w:val="auto"/>
                      <w:szCs w:val="21"/>
                    </w:rPr>
                  </w:pPr>
                </w:p>
              </w:tc>
              <w:tc>
                <w:tcPr>
                  <w:tcW w:w="517" w:type="pct"/>
                  <w:vMerge w:val="continue"/>
                  <w:noWrap w:val="0"/>
                  <w:vAlign w:val="center"/>
                </w:tcPr>
                <w:p w14:paraId="744382A2">
                  <w:pPr>
                    <w:jc w:val="center"/>
                    <w:rPr>
                      <w:rFonts w:hint="eastAsia"/>
                      <w:color w:val="auto"/>
                      <w:szCs w:val="21"/>
                    </w:rPr>
                  </w:pPr>
                </w:p>
              </w:tc>
            </w:tr>
            <w:tr w14:paraId="24D785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408" w:type="pct"/>
                  <w:noWrap w:val="0"/>
                  <w:vAlign w:val="center"/>
                </w:tcPr>
                <w:p w14:paraId="331CB447">
                  <w:pPr>
                    <w:pStyle w:val="16"/>
                    <w:jc w:val="center"/>
                    <w:rPr>
                      <w:rFonts w:hint="default"/>
                      <w:color w:val="auto"/>
                      <w:kern w:val="2"/>
                      <w:sz w:val="21"/>
                      <w:szCs w:val="21"/>
                      <w:lang w:val="en-US" w:eastAsia="zh-CN"/>
                    </w:rPr>
                  </w:pPr>
                  <w:r>
                    <w:rPr>
                      <w:rFonts w:hint="eastAsia"/>
                      <w:color w:val="auto"/>
                      <w:kern w:val="2"/>
                      <w:sz w:val="21"/>
                      <w:szCs w:val="21"/>
                      <w:lang w:val="en-US" w:eastAsia="zh-CN"/>
                    </w:rPr>
                    <w:t>双柱举升机</w:t>
                  </w:r>
                </w:p>
              </w:tc>
              <w:tc>
                <w:tcPr>
                  <w:tcW w:w="388" w:type="pct"/>
                  <w:noWrap w:val="0"/>
                  <w:vAlign w:val="center"/>
                </w:tcPr>
                <w:p w14:paraId="79F1746B">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1</w:t>
                  </w:r>
                </w:p>
              </w:tc>
              <w:tc>
                <w:tcPr>
                  <w:tcW w:w="442" w:type="pct"/>
                  <w:noWrap w:val="0"/>
                  <w:vAlign w:val="center"/>
                </w:tcPr>
                <w:p w14:paraId="3DFD6853">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75</w:t>
                  </w:r>
                </w:p>
              </w:tc>
              <w:tc>
                <w:tcPr>
                  <w:tcW w:w="680" w:type="pct"/>
                  <w:vMerge w:val="continue"/>
                  <w:noWrap w:val="0"/>
                  <w:vAlign w:val="center"/>
                </w:tcPr>
                <w:p w14:paraId="63B63D20">
                  <w:pPr>
                    <w:jc w:val="center"/>
                    <w:rPr>
                      <w:rFonts w:hint="eastAsia"/>
                      <w:color w:val="auto"/>
                      <w:szCs w:val="21"/>
                    </w:rPr>
                  </w:pPr>
                </w:p>
              </w:tc>
              <w:tc>
                <w:tcPr>
                  <w:tcW w:w="487" w:type="pct"/>
                  <w:noWrap w:val="0"/>
                  <w:vAlign w:val="center"/>
                </w:tcPr>
                <w:p w14:paraId="67591C6A">
                  <w:pPr>
                    <w:jc w:val="center"/>
                    <w:rPr>
                      <w:rFonts w:hint="default" w:eastAsia="宋体"/>
                      <w:color w:val="auto"/>
                      <w:szCs w:val="21"/>
                      <w:lang w:val="en-US" w:eastAsia="zh-CN"/>
                    </w:rPr>
                  </w:pPr>
                  <w:r>
                    <w:rPr>
                      <w:rFonts w:hint="eastAsia"/>
                      <w:color w:val="auto"/>
                      <w:szCs w:val="21"/>
                      <w:lang w:val="en-US" w:eastAsia="zh-CN"/>
                    </w:rPr>
                    <w:t>10</w:t>
                  </w:r>
                </w:p>
              </w:tc>
              <w:tc>
                <w:tcPr>
                  <w:tcW w:w="649" w:type="pct"/>
                  <w:noWrap w:val="0"/>
                  <w:vAlign w:val="center"/>
                </w:tcPr>
                <w:p w14:paraId="24087859">
                  <w:pPr>
                    <w:jc w:val="center"/>
                    <w:rPr>
                      <w:rFonts w:hint="eastAsia"/>
                      <w:color w:val="auto"/>
                      <w:kern w:val="2"/>
                      <w:sz w:val="21"/>
                      <w:szCs w:val="21"/>
                      <w:lang w:val="en-US" w:eastAsia="zh-CN" w:bidi="ar-SA"/>
                    </w:rPr>
                  </w:pPr>
                  <w:r>
                    <w:rPr>
                      <w:rFonts w:hint="eastAsia"/>
                      <w:color w:val="auto"/>
                      <w:szCs w:val="21"/>
                      <w:lang w:val="en-US" w:eastAsia="zh-CN"/>
                    </w:rPr>
                    <w:t>65</w:t>
                  </w:r>
                </w:p>
              </w:tc>
              <w:tc>
                <w:tcPr>
                  <w:tcW w:w="462" w:type="pct"/>
                  <w:noWrap w:val="0"/>
                  <w:vAlign w:val="center"/>
                </w:tcPr>
                <w:p w14:paraId="3B071F35">
                  <w:pPr>
                    <w:jc w:val="center"/>
                    <w:rPr>
                      <w:rFonts w:hint="default" w:eastAsia="宋体"/>
                      <w:color w:val="auto"/>
                      <w:szCs w:val="21"/>
                      <w:lang w:val="en-US" w:eastAsia="zh-CN"/>
                    </w:rPr>
                  </w:pPr>
                  <w:r>
                    <w:rPr>
                      <w:rFonts w:hint="eastAsia"/>
                      <w:color w:val="auto"/>
                      <w:szCs w:val="21"/>
                      <w:lang w:val="en-US" w:eastAsia="zh-CN"/>
                    </w:rPr>
                    <w:t>43.79</w:t>
                  </w:r>
                </w:p>
              </w:tc>
              <w:tc>
                <w:tcPr>
                  <w:tcW w:w="353" w:type="pct"/>
                  <w:noWrap w:val="0"/>
                  <w:vAlign w:val="center"/>
                </w:tcPr>
                <w:p w14:paraId="527B9E6E">
                  <w:pPr>
                    <w:jc w:val="center"/>
                    <w:rPr>
                      <w:rFonts w:hint="default" w:eastAsia="宋体"/>
                      <w:color w:val="auto"/>
                      <w:szCs w:val="21"/>
                      <w:lang w:val="en-US" w:eastAsia="zh-CN"/>
                    </w:rPr>
                  </w:pPr>
                  <w:r>
                    <w:rPr>
                      <w:rFonts w:hint="eastAsia"/>
                      <w:color w:val="auto"/>
                      <w:szCs w:val="21"/>
                      <w:lang w:val="en-US" w:eastAsia="zh-CN"/>
                    </w:rPr>
                    <w:t>-29.38</w:t>
                  </w:r>
                </w:p>
              </w:tc>
              <w:tc>
                <w:tcPr>
                  <w:tcW w:w="317" w:type="pct"/>
                  <w:noWrap w:val="0"/>
                  <w:vAlign w:val="center"/>
                </w:tcPr>
                <w:p w14:paraId="705EFDD5">
                  <w:pPr>
                    <w:jc w:val="center"/>
                    <w:rPr>
                      <w:rFonts w:hint="eastAsia"/>
                      <w:color w:val="auto"/>
                      <w:kern w:val="2"/>
                      <w:sz w:val="21"/>
                      <w:szCs w:val="21"/>
                      <w:lang w:val="en-US" w:eastAsia="zh-CN" w:bidi="ar-SA"/>
                    </w:rPr>
                  </w:pPr>
                  <w:r>
                    <w:rPr>
                      <w:rFonts w:hint="eastAsia"/>
                      <w:color w:val="auto"/>
                      <w:szCs w:val="21"/>
                    </w:rPr>
                    <w:t>1</w:t>
                  </w:r>
                </w:p>
              </w:tc>
              <w:tc>
                <w:tcPr>
                  <w:tcW w:w="289" w:type="pct"/>
                  <w:vMerge w:val="continue"/>
                  <w:noWrap w:val="0"/>
                  <w:vAlign w:val="center"/>
                </w:tcPr>
                <w:p w14:paraId="41C377E3">
                  <w:pPr>
                    <w:jc w:val="center"/>
                    <w:rPr>
                      <w:rFonts w:hint="eastAsia"/>
                      <w:color w:val="auto"/>
                      <w:szCs w:val="21"/>
                    </w:rPr>
                  </w:pPr>
                </w:p>
              </w:tc>
              <w:tc>
                <w:tcPr>
                  <w:tcW w:w="517" w:type="pct"/>
                  <w:vMerge w:val="continue"/>
                  <w:noWrap w:val="0"/>
                  <w:vAlign w:val="center"/>
                </w:tcPr>
                <w:p w14:paraId="4B6FA14B">
                  <w:pPr>
                    <w:jc w:val="center"/>
                    <w:rPr>
                      <w:rFonts w:hint="eastAsia"/>
                      <w:color w:val="auto"/>
                      <w:szCs w:val="21"/>
                    </w:rPr>
                  </w:pPr>
                </w:p>
              </w:tc>
            </w:tr>
            <w:tr w14:paraId="1D646C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408" w:type="pct"/>
                  <w:noWrap w:val="0"/>
                  <w:vAlign w:val="center"/>
                </w:tcPr>
                <w:p w14:paraId="2BE5C2C5">
                  <w:pPr>
                    <w:pStyle w:val="16"/>
                    <w:jc w:val="center"/>
                    <w:rPr>
                      <w:rFonts w:hint="default"/>
                      <w:color w:val="auto"/>
                      <w:kern w:val="2"/>
                      <w:sz w:val="21"/>
                      <w:szCs w:val="21"/>
                      <w:lang w:val="en-US" w:eastAsia="zh-CN"/>
                    </w:rPr>
                  </w:pPr>
                  <w:r>
                    <w:rPr>
                      <w:rFonts w:hint="eastAsia"/>
                      <w:color w:val="auto"/>
                      <w:kern w:val="2"/>
                      <w:sz w:val="21"/>
                      <w:szCs w:val="21"/>
                      <w:lang w:val="en-US" w:eastAsia="zh-CN"/>
                    </w:rPr>
                    <w:t>电池举升</w:t>
                  </w:r>
                </w:p>
              </w:tc>
              <w:tc>
                <w:tcPr>
                  <w:tcW w:w="388" w:type="pct"/>
                  <w:noWrap w:val="0"/>
                  <w:vAlign w:val="center"/>
                </w:tcPr>
                <w:p w14:paraId="032F71A8">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1</w:t>
                  </w:r>
                </w:p>
              </w:tc>
              <w:tc>
                <w:tcPr>
                  <w:tcW w:w="442" w:type="pct"/>
                  <w:noWrap w:val="0"/>
                  <w:vAlign w:val="center"/>
                </w:tcPr>
                <w:p w14:paraId="07CAF53E">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75</w:t>
                  </w:r>
                </w:p>
              </w:tc>
              <w:tc>
                <w:tcPr>
                  <w:tcW w:w="680" w:type="pct"/>
                  <w:vMerge w:val="continue"/>
                  <w:noWrap w:val="0"/>
                  <w:vAlign w:val="center"/>
                </w:tcPr>
                <w:p w14:paraId="43684ED3">
                  <w:pPr>
                    <w:jc w:val="center"/>
                    <w:rPr>
                      <w:rFonts w:hint="eastAsia"/>
                      <w:color w:val="auto"/>
                      <w:szCs w:val="21"/>
                    </w:rPr>
                  </w:pPr>
                </w:p>
              </w:tc>
              <w:tc>
                <w:tcPr>
                  <w:tcW w:w="487" w:type="pct"/>
                  <w:noWrap w:val="0"/>
                  <w:vAlign w:val="center"/>
                </w:tcPr>
                <w:p w14:paraId="0C28B0FD">
                  <w:pPr>
                    <w:jc w:val="center"/>
                    <w:rPr>
                      <w:rFonts w:hint="eastAsia"/>
                      <w:color w:val="auto"/>
                      <w:kern w:val="2"/>
                      <w:sz w:val="21"/>
                      <w:szCs w:val="21"/>
                      <w:lang w:val="en-US" w:eastAsia="zh-CN" w:bidi="ar-SA"/>
                    </w:rPr>
                  </w:pPr>
                  <w:r>
                    <w:rPr>
                      <w:rFonts w:hint="eastAsia"/>
                      <w:color w:val="auto"/>
                      <w:szCs w:val="21"/>
                    </w:rPr>
                    <w:t>10</w:t>
                  </w:r>
                </w:p>
              </w:tc>
              <w:tc>
                <w:tcPr>
                  <w:tcW w:w="649" w:type="pct"/>
                  <w:noWrap w:val="0"/>
                  <w:vAlign w:val="center"/>
                </w:tcPr>
                <w:p w14:paraId="72357696">
                  <w:pPr>
                    <w:jc w:val="center"/>
                    <w:rPr>
                      <w:rFonts w:hint="eastAsia"/>
                      <w:color w:val="auto"/>
                      <w:kern w:val="2"/>
                      <w:sz w:val="21"/>
                      <w:szCs w:val="21"/>
                      <w:lang w:val="en-US" w:eastAsia="zh-CN" w:bidi="ar-SA"/>
                    </w:rPr>
                  </w:pPr>
                  <w:r>
                    <w:rPr>
                      <w:rFonts w:hint="eastAsia"/>
                      <w:color w:val="auto"/>
                      <w:szCs w:val="21"/>
                      <w:lang w:val="en-US" w:eastAsia="zh-CN"/>
                    </w:rPr>
                    <w:t>65</w:t>
                  </w:r>
                </w:p>
              </w:tc>
              <w:tc>
                <w:tcPr>
                  <w:tcW w:w="462" w:type="pct"/>
                  <w:noWrap w:val="0"/>
                  <w:vAlign w:val="center"/>
                </w:tcPr>
                <w:p w14:paraId="68D67829">
                  <w:pPr>
                    <w:jc w:val="center"/>
                    <w:rPr>
                      <w:rFonts w:hint="default" w:eastAsia="宋体"/>
                      <w:color w:val="auto"/>
                      <w:szCs w:val="21"/>
                      <w:lang w:val="en-US" w:eastAsia="zh-CN"/>
                    </w:rPr>
                  </w:pPr>
                  <w:r>
                    <w:rPr>
                      <w:rFonts w:hint="eastAsia"/>
                      <w:color w:val="auto"/>
                      <w:szCs w:val="21"/>
                      <w:lang w:val="en-US" w:eastAsia="zh-CN"/>
                    </w:rPr>
                    <w:t>37.85</w:t>
                  </w:r>
                </w:p>
              </w:tc>
              <w:tc>
                <w:tcPr>
                  <w:tcW w:w="353" w:type="pct"/>
                  <w:noWrap w:val="0"/>
                  <w:vAlign w:val="center"/>
                </w:tcPr>
                <w:p w14:paraId="353B330C">
                  <w:pPr>
                    <w:jc w:val="center"/>
                    <w:rPr>
                      <w:rFonts w:hint="default" w:eastAsia="宋体"/>
                      <w:color w:val="auto"/>
                      <w:szCs w:val="21"/>
                      <w:lang w:val="en-US" w:eastAsia="zh-CN"/>
                    </w:rPr>
                  </w:pPr>
                  <w:r>
                    <w:rPr>
                      <w:rFonts w:hint="eastAsia"/>
                      <w:color w:val="auto"/>
                      <w:szCs w:val="21"/>
                      <w:lang w:val="en-US" w:eastAsia="zh-CN"/>
                    </w:rPr>
                    <w:t>-29.24</w:t>
                  </w:r>
                </w:p>
              </w:tc>
              <w:tc>
                <w:tcPr>
                  <w:tcW w:w="317" w:type="pct"/>
                  <w:noWrap w:val="0"/>
                  <w:vAlign w:val="center"/>
                </w:tcPr>
                <w:p w14:paraId="6204E303">
                  <w:pPr>
                    <w:jc w:val="center"/>
                    <w:rPr>
                      <w:rFonts w:hint="eastAsia" w:eastAsia="宋体"/>
                      <w:color w:val="auto"/>
                      <w:kern w:val="2"/>
                      <w:sz w:val="21"/>
                      <w:szCs w:val="21"/>
                      <w:lang w:val="en-US" w:eastAsia="zh-CN" w:bidi="ar-SA"/>
                    </w:rPr>
                  </w:pPr>
                  <w:r>
                    <w:rPr>
                      <w:rFonts w:hint="eastAsia"/>
                      <w:color w:val="auto"/>
                      <w:szCs w:val="21"/>
                      <w:lang w:val="en-US" w:eastAsia="zh-CN"/>
                    </w:rPr>
                    <w:t>1</w:t>
                  </w:r>
                </w:p>
              </w:tc>
              <w:tc>
                <w:tcPr>
                  <w:tcW w:w="289" w:type="pct"/>
                  <w:vMerge w:val="continue"/>
                  <w:noWrap w:val="0"/>
                  <w:vAlign w:val="center"/>
                </w:tcPr>
                <w:p w14:paraId="1A194904">
                  <w:pPr>
                    <w:jc w:val="center"/>
                    <w:rPr>
                      <w:rFonts w:hint="eastAsia"/>
                      <w:color w:val="auto"/>
                      <w:szCs w:val="21"/>
                    </w:rPr>
                  </w:pPr>
                </w:p>
              </w:tc>
              <w:tc>
                <w:tcPr>
                  <w:tcW w:w="517" w:type="pct"/>
                  <w:vMerge w:val="continue"/>
                  <w:noWrap w:val="0"/>
                  <w:vAlign w:val="center"/>
                </w:tcPr>
                <w:p w14:paraId="3DDA7F63">
                  <w:pPr>
                    <w:jc w:val="center"/>
                    <w:rPr>
                      <w:rFonts w:hint="eastAsia"/>
                      <w:color w:val="auto"/>
                      <w:szCs w:val="21"/>
                    </w:rPr>
                  </w:pPr>
                </w:p>
              </w:tc>
            </w:tr>
            <w:tr w14:paraId="37A358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408" w:type="pct"/>
                  <w:vMerge w:val="restart"/>
                  <w:noWrap w:val="0"/>
                  <w:vAlign w:val="center"/>
                </w:tcPr>
                <w:p w14:paraId="1996EB06">
                  <w:pPr>
                    <w:pStyle w:val="16"/>
                    <w:jc w:val="center"/>
                    <w:rPr>
                      <w:rFonts w:hint="default"/>
                      <w:color w:val="auto"/>
                      <w:kern w:val="2"/>
                      <w:sz w:val="21"/>
                      <w:szCs w:val="21"/>
                      <w:lang w:val="en-US" w:eastAsia="zh-CN"/>
                    </w:rPr>
                  </w:pPr>
                  <w:r>
                    <w:rPr>
                      <w:rFonts w:hint="eastAsia"/>
                      <w:color w:val="auto"/>
                      <w:kern w:val="2"/>
                      <w:sz w:val="21"/>
                      <w:szCs w:val="21"/>
                      <w:lang w:val="en-US" w:eastAsia="zh-CN"/>
                    </w:rPr>
                    <w:t>变速箱举升机</w:t>
                  </w:r>
                </w:p>
              </w:tc>
              <w:tc>
                <w:tcPr>
                  <w:tcW w:w="388" w:type="pct"/>
                  <w:vMerge w:val="restart"/>
                  <w:noWrap w:val="0"/>
                  <w:vAlign w:val="center"/>
                </w:tcPr>
                <w:p w14:paraId="01E41043">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2</w:t>
                  </w:r>
                </w:p>
              </w:tc>
              <w:tc>
                <w:tcPr>
                  <w:tcW w:w="442" w:type="pct"/>
                  <w:noWrap w:val="0"/>
                  <w:vAlign w:val="center"/>
                </w:tcPr>
                <w:p w14:paraId="3B1FB8F2">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75</w:t>
                  </w:r>
                </w:p>
              </w:tc>
              <w:tc>
                <w:tcPr>
                  <w:tcW w:w="680" w:type="pct"/>
                  <w:vMerge w:val="continue"/>
                  <w:noWrap w:val="0"/>
                  <w:vAlign w:val="center"/>
                </w:tcPr>
                <w:p w14:paraId="5D252639">
                  <w:pPr>
                    <w:jc w:val="center"/>
                    <w:rPr>
                      <w:rFonts w:hint="eastAsia"/>
                      <w:color w:val="auto"/>
                      <w:szCs w:val="21"/>
                    </w:rPr>
                  </w:pPr>
                </w:p>
              </w:tc>
              <w:tc>
                <w:tcPr>
                  <w:tcW w:w="487" w:type="pct"/>
                  <w:noWrap w:val="0"/>
                  <w:vAlign w:val="center"/>
                </w:tcPr>
                <w:p w14:paraId="1D33438A">
                  <w:pPr>
                    <w:jc w:val="center"/>
                    <w:rPr>
                      <w:rFonts w:hint="eastAsia" w:eastAsia="宋体"/>
                      <w:color w:val="auto"/>
                      <w:kern w:val="2"/>
                      <w:sz w:val="21"/>
                      <w:szCs w:val="21"/>
                      <w:lang w:val="en-US" w:eastAsia="zh-CN" w:bidi="ar-SA"/>
                    </w:rPr>
                  </w:pPr>
                  <w:r>
                    <w:rPr>
                      <w:rFonts w:hint="eastAsia"/>
                      <w:color w:val="auto"/>
                      <w:szCs w:val="21"/>
                      <w:lang w:val="en-US" w:eastAsia="zh-CN"/>
                    </w:rPr>
                    <w:t>10</w:t>
                  </w:r>
                </w:p>
              </w:tc>
              <w:tc>
                <w:tcPr>
                  <w:tcW w:w="649" w:type="pct"/>
                  <w:noWrap w:val="0"/>
                  <w:vAlign w:val="center"/>
                </w:tcPr>
                <w:p w14:paraId="3C757FE4">
                  <w:pPr>
                    <w:jc w:val="center"/>
                    <w:rPr>
                      <w:rFonts w:hint="eastAsia"/>
                      <w:color w:val="auto"/>
                      <w:kern w:val="2"/>
                      <w:sz w:val="21"/>
                      <w:szCs w:val="21"/>
                      <w:lang w:val="en-US" w:eastAsia="zh-CN" w:bidi="ar-SA"/>
                    </w:rPr>
                  </w:pPr>
                  <w:r>
                    <w:rPr>
                      <w:rFonts w:hint="eastAsia"/>
                      <w:color w:val="auto"/>
                      <w:szCs w:val="21"/>
                      <w:lang w:val="en-US" w:eastAsia="zh-CN"/>
                    </w:rPr>
                    <w:t>65</w:t>
                  </w:r>
                </w:p>
              </w:tc>
              <w:tc>
                <w:tcPr>
                  <w:tcW w:w="462" w:type="pct"/>
                  <w:noWrap w:val="0"/>
                  <w:vAlign w:val="center"/>
                </w:tcPr>
                <w:p w14:paraId="24E78B6A">
                  <w:pPr>
                    <w:jc w:val="center"/>
                    <w:rPr>
                      <w:rFonts w:hint="default" w:eastAsia="宋体"/>
                      <w:color w:val="auto"/>
                      <w:kern w:val="2"/>
                      <w:sz w:val="21"/>
                      <w:szCs w:val="21"/>
                      <w:lang w:val="en-US" w:eastAsia="zh-CN" w:bidi="ar-SA"/>
                    </w:rPr>
                  </w:pPr>
                  <w:r>
                    <w:rPr>
                      <w:rFonts w:hint="eastAsia"/>
                      <w:color w:val="auto"/>
                      <w:szCs w:val="21"/>
                      <w:lang w:val="en-US" w:eastAsia="zh-CN"/>
                    </w:rPr>
                    <w:t>33.43</w:t>
                  </w:r>
                </w:p>
              </w:tc>
              <w:tc>
                <w:tcPr>
                  <w:tcW w:w="353" w:type="pct"/>
                  <w:noWrap w:val="0"/>
                  <w:vAlign w:val="center"/>
                </w:tcPr>
                <w:p w14:paraId="4D271315">
                  <w:pPr>
                    <w:jc w:val="center"/>
                    <w:rPr>
                      <w:rFonts w:hint="default" w:eastAsia="宋体"/>
                      <w:color w:val="auto"/>
                      <w:kern w:val="2"/>
                      <w:sz w:val="21"/>
                      <w:szCs w:val="21"/>
                      <w:lang w:val="en-US" w:eastAsia="zh-CN" w:bidi="ar-SA"/>
                    </w:rPr>
                  </w:pPr>
                  <w:r>
                    <w:rPr>
                      <w:rFonts w:hint="eastAsia"/>
                      <w:color w:val="auto"/>
                      <w:szCs w:val="21"/>
                      <w:lang w:val="en-US" w:eastAsia="zh-CN"/>
                    </w:rPr>
                    <w:t>-43.05</w:t>
                  </w:r>
                </w:p>
              </w:tc>
              <w:tc>
                <w:tcPr>
                  <w:tcW w:w="317" w:type="pct"/>
                  <w:noWrap w:val="0"/>
                  <w:vAlign w:val="center"/>
                </w:tcPr>
                <w:p w14:paraId="58478798">
                  <w:pPr>
                    <w:jc w:val="center"/>
                    <w:rPr>
                      <w:rFonts w:hint="eastAsia" w:eastAsia="宋体"/>
                      <w:color w:val="auto"/>
                      <w:kern w:val="2"/>
                      <w:sz w:val="21"/>
                      <w:szCs w:val="21"/>
                      <w:lang w:val="en-US" w:eastAsia="zh-CN" w:bidi="ar-SA"/>
                    </w:rPr>
                  </w:pPr>
                  <w:r>
                    <w:rPr>
                      <w:rFonts w:hint="eastAsia"/>
                      <w:color w:val="auto"/>
                      <w:szCs w:val="21"/>
                      <w:lang w:val="en-US" w:eastAsia="zh-CN"/>
                    </w:rPr>
                    <w:t>1</w:t>
                  </w:r>
                </w:p>
              </w:tc>
              <w:tc>
                <w:tcPr>
                  <w:tcW w:w="289" w:type="pct"/>
                  <w:vMerge w:val="continue"/>
                  <w:noWrap w:val="0"/>
                  <w:vAlign w:val="center"/>
                </w:tcPr>
                <w:p w14:paraId="1EC42784">
                  <w:pPr>
                    <w:jc w:val="center"/>
                    <w:rPr>
                      <w:rFonts w:hint="eastAsia"/>
                      <w:color w:val="auto"/>
                      <w:szCs w:val="21"/>
                    </w:rPr>
                  </w:pPr>
                </w:p>
              </w:tc>
              <w:tc>
                <w:tcPr>
                  <w:tcW w:w="517" w:type="pct"/>
                  <w:vMerge w:val="continue"/>
                  <w:noWrap w:val="0"/>
                  <w:vAlign w:val="center"/>
                </w:tcPr>
                <w:p w14:paraId="5A4D65D0">
                  <w:pPr>
                    <w:jc w:val="center"/>
                    <w:rPr>
                      <w:rFonts w:hint="eastAsia"/>
                      <w:color w:val="auto"/>
                      <w:szCs w:val="21"/>
                    </w:rPr>
                  </w:pPr>
                </w:p>
              </w:tc>
            </w:tr>
            <w:tr w14:paraId="06C3AC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408" w:type="pct"/>
                  <w:vMerge w:val="continue"/>
                  <w:noWrap w:val="0"/>
                  <w:vAlign w:val="center"/>
                </w:tcPr>
                <w:p w14:paraId="1A6627D6">
                  <w:pPr>
                    <w:pStyle w:val="16"/>
                    <w:jc w:val="center"/>
                    <w:rPr>
                      <w:rFonts w:hint="eastAsia"/>
                      <w:color w:val="auto"/>
                      <w:kern w:val="2"/>
                      <w:sz w:val="21"/>
                      <w:szCs w:val="21"/>
                      <w:lang w:val="en-US" w:eastAsia="zh-CN"/>
                    </w:rPr>
                  </w:pPr>
                </w:p>
              </w:tc>
              <w:tc>
                <w:tcPr>
                  <w:tcW w:w="388" w:type="pct"/>
                  <w:vMerge w:val="continue"/>
                  <w:noWrap w:val="0"/>
                  <w:vAlign w:val="center"/>
                </w:tcPr>
                <w:p w14:paraId="53BF2504">
                  <w:pPr>
                    <w:pStyle w:val="57"/>
                    <w:spacing w:before="48" w:after="48"/>
                    <w:rPr>
                      <w:rFonts w:hint="eastAsia" w:ascii="Times New Roman" w:hAnsi="Times New Roman"/>
                      <w:color w:val="auto"/>
                      <w:szCs w:val="21"/>
                      <w:lang w:val="en-US" w:eastAsia="zh-CN"/>
                    </w:rPr>
                  </w:pPr>
                </w:p>
              </w:tc>
              <w:tc>
                <w:tcPr>
                  <w:tcW w:w="442" w:type="pct"/>
                  <w:noWrap w:val="0"/>
                  <w:vAlign w:val="center"/>
                </w:tcPr>
                <w:p w14:paraId="6C46F0A1">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75</w:t>
                  </w:r>
                </w:p>
              </w:tc>
              <w:tc>
                <w:tcPr>
                  <w:tcW w:w="680" w:type="pct"/>
                  <w:vMerge w:val="continue"/>
                  <w:noWrap w:val="0"/>
                  <w:vAlign w:val="center"/>
                </w:tcPr>
                <w:p w14:paraId="7E7F0E54">
                  <w:pPr>
                    <w:jc w:val="center"/>
                    <w:rPr>
                      <w:rFonts w:hint="eastAsia"/>
                      <w:color w:val="auto"/>
                      <w:szCs w:val="21"/>
                    </w:rPr>
                  </w:pPr>
                </w:p>
              </w:tc>
              <w:tc>
                <w:tcPr>
                  <w:tcW w:w="487" w:type="pct"/>
                  <w:noWrap w:val="0"/>
                  <w:vAlign w:val="center"/>
                </w:tcPr>
                <w:p w14:paraId="620B63CF">
                  <w:pPr>
                    <w:jc w:val="center"/>
                    <w:rPr>
                      <w:rFonts w:hint="default" w:eastAsia="宋体"/>
                      <w:color w:val="auto"/>
                      <w:szCs w:val="21"/>
                      <w:lang w:val="en-US" w:eastAsia="zh-CN"/>
                    </w:rPr>
                  </w:pPr>
                  <w:r>
                    <w:rPr>
                      <w:rFonts w:hint="eastAsia"/>
                      <w:color w:val="auto"/>
                      <w:szCs w:val="21"/>
                      <w:lang w:val="en-US" w:eastAsia="zh-CN"/>
                    </w:rPr>
                    <w:t>10</w:t>
                  </w:r>
                </w:p>
              </w:tc>
              <w:tc>
                <w:tcPr>
                  <w:tcW w:w="649" w:type="pct"/>
                  <w:noWrap w:val="0"/>
                  <w:vAlign w:val="center"/>
                </w:tcPr>
                <w:p w14:paraId="41CC6008">
                  <w:pPr>
                    <w:jc w:val="center"/>
                    <w:rPr>
                      <w:rFonts w:hint="default"/>
                      <w:color w:val="auto"/>
                      <w:szCs w:val="21"/>
                      <w:lang w:val="en-US" w:eastAsia="zh-CN"/>
                    </w:rPr>
                  </w:pPr>
                  <w:r>
                    <w:rPr>
                      <w:rFonts w:hint="eastAsia"/>
                      <w:color w:val="auto"/>
                      <w:szCs w:val="21"/>
                      <w:lang w:val="en-US" w:eastAsia="zh-CN"/>
                    </w:rPr>
                    <w:t>65</w:t>
                  </w:r>
                </w:p>
              </w:tc>
              <w:tc>
                <w:tcPr>
                  <w:tcW w:w="462" w:type="pct"/>
                  <w:noWrap w:val="0"/>
                  <w:vAlign w:val="center"/>
                </w:tcPr>
                <w:p w14:paraId="5DC7E5AD">
                  <w:pPr>
                    <w:jc w:val="center"/>
                    <w:rPr>
                      <w:rFonts w:hint="default" w:eastAsia="宋体"/>
                      <w:color w:val="auto"/>
                      <w:kern w:val="2"/>
                      <w:sz w:val="21"/>
                      <w:szCs w:val="21"/>
                      <w:lang w:val="en-US" w:eastAsia="zh-CN" w:bidi="ar-SA"/>
                    </w:rPr>
                  </w:pPr>
                  <w:r>
                    <w:rPr>
                      <w:rFonts w:hint="eastAsia"/>
                      <w:color w:val="auto"/>
                      <w:szCs w:val="21"/>
                      <w:lang w:val="en-US" w:eastAsia="zh-CN"/>
                    </w:rPr>
                    <w:t>38.27</w:t>
                  </w:r>
                </w:p>
              </w:tc>
              <w:tc>
                <w:tcPr>
                  <w:tcW w:w="353" w:type="pct"/>
                  <w:noWrap w:val="0"/>
                  <w:vAlign w:val="center"/>
                </w:tcPr>
                <w:p w14:paraId="1C9678CD">
                  <w:pPr>
                    <w:jc w:val="center"/>
                    <w:rPr>
                      <w:rFonts w:hint="default" w:eastAsia="宋体"/>
                      <w:color w:val="auto"/>
                      <w:kern w:val="2"/>
                      <w:sz w:val="21"/>
                      <w:szCs w:val="21"/>
                      <w:lang w:val="en-US" w:eastAsia="zh-CN" w:bidi="ar-SA"/>
                    </w:rPr>
                  </w:pPr>
                  <w:r>
                    <w:rPr>
                      <w:rFonts w:hint="eastAsia"/>
                      <w:color w:val="auto"/>
                      <w:szCs w:val="21"/>
                      <w:lang w:val="en-US" w:eastAsia="zh-CN"/>
                    </w:rPr>
                    <w:t>-43</w:t>
                  </w:r>
                </w:p>
              </w:tc>
              <w:tc>
                <w:tcPr>
                  <w:tcW w:w="317" w:type="pct"/>
                  <w:noWrap w:val="0"/>
                  <w:vAlign w:val="center"/>
                </w:tcPr>
                <w:p w14:paraId="2AF5875B">
                  <w:pPr>
                    <w:jc w:val="center"/>
                    <w:rPr>
                      <w:rFonts w:hint="eastAsia"/>
                      <w:color w:val="auto"/>
                      <w:kern w:val="2"/>
                      <w:sz w:val="21"/>
                      <w:szCs w:val="21"/>
                      <w:lang w:val="en-US" w:eastAsia="zh-CN" w:bidi="ar-SA"/>
                    </w:rPr>
                  </w:pPr>
                  <w:r>
                    <w:rPr>
                      <w:rFonts w:hint="eastAsia"/>
                      <w:color w:val="auto"/>
                      <w:szCs w:val="21"/>
                    </w:rPr>
                    <w:t>1</w:t>
                  </w:r>
                </w:p>
              </w:tc>
              <w:tc>
                <w:tcPr>
                  <w:tcW w:w="289" w:type="pct"/>
                  <w:vMerge w:val="continue"/>
                  <w:noWrap w:val="0"/>
                  <w:vAlign w:val="center"/>
                </w:tcPr>
                <w:p w14:paraId="3BE83654">
                  <w:pPr>
                    <w:jc w:val="center"/>
                    <w:rPr>
                      <w:rFonts w:hint="eastAsia"/>
                      <w:color w:val="auto"/>
                      <w:szCs w:val="21"/>
                    </w:rPr>
                  </w:pPr>
                </w:p>
              </w:tc>
              <w:tc>
                <w:tcPr>
                  <w:tcW w:w="517" w:type="pct"/>
                  <w:vMerge w:val="continue"/>
                  <w:noWrap w:val="0"/>
                  <w:vAlign w:val="center"/>
                </w:tcPr>
                <w:p w14:paraId="3E5DE0DE">
                  <w:pPr>
                    <w:jc w:val="center"/>
                    <w:rPr>
                      <w:rFonts w:hint="eastAsia"/>
                      <w:color w:val="auto"/>
                      <w:szCs w:val="21"/>
                    </w:rPr>
                  </w:pPr>
                </w:p>
              </w:tc>
            </w:tr>
            <w:tr w14:paraId="4B98DC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408" w:type="pct"/>
                  <w:noWrap w:val="0"/>
                  <w:vAlign w:val="center"/>
                </w:tcPr>
                <w:p w14:paraId="16567B58">
                  <w:pPr>
                    <w:pStyle w:val="16"/>
                    <w:jc w:val="center"/>
                    <w:rPr>
                      <w:rFonts w:hint="default"/>
                      <w:color w:val="auto"/>
                      <w:kern w:val="2"/>
                      <w:sz w:val="21"/>
                      <w:szCs w:val="21"/>
                      <w:lang w:val="en-US" w:eastAsia="zh-CN"/>
                    </w:rPr>
                  </w:pPr>
                  <w:r>
                    <w:rPr>
                      <w:rFonts w:hint="eastAsia"/>
                      <w:color w:val="auto"/>
                      <w:kern w:val="2"/>
                      <w:sz w:val="21"/>
                      <w:szCs w:val="21"/>
                      <w:lang w:val="en-US" w:eastAsia="zh-CN"/>
                    </w:rPr>
                    <w:t>电焊机</w:t>
                  </w:r>
                </w:p>
              </w:tc>
              <w:tc>
                <w:tcPr>
                  <w:tcW w:w="388" w:type="pct"/>
                  <w:noWrap w:val="0"/>
                  <w:vAlign w:val="center"/>
                </w:tcPr>
                <w:p w14:paraId="5AF037D8">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1</w:t>
                  </w:r>
                </w:p>
              </w:tc>
              <w:tc>
                <w:tcPr>
                  <w:tcW w:w="442" w:type="pct"/>
                  <w:noWrap w:val="0"/>
                  <w:vAlign w:val="center"/>
                </w:tcPr>
                <w:p w14:paraId="01772DDE">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85</w:t>
                  </w:r>
                </w:p>
              </w:tc>
              <w:tc>
                <w:tcPr>
                  <w:tcW w:w="680" w:type="pct"/>
                  <w:vMerge w:val="continue"/>
                  <w:noWrap w:val="0"/>
                  <w:vAlign w:val="center"/>
                </w:tcPr>
                <w:p w14:paraId="2A7EA06E">
                  <w:pPr>
                    <w:jc w:val="center"/>
                    <w:rPr>
                      <w:rFonts w:hint="eastAsia"/>
                      <w:color w:val="auto"/>
                      <w:szCs w:val="21"/>
                    </w:rPr>
                  </w:pPr>
                </w:p>
              </w:tc>
              <w:tc>
                <w:tcPr>
                  <w:tcW w:w="487" w:type="pct"/>
                  <w:noWrap w:val="0"/>
                  <w:vAlign w:val="center"/>
                </w:tcPr>
                <w:p w14:paraId="5CD46D7B">
                  <w:pPr>
                    <w:jc w:val="center"/>
                    <w:rPr>
                      <w:rFonts w:hint="default" w:eastAsia="宋体"/>
                      <w:color w:val="auto"/>
                      <w:szCs w:val="21"/>
                      <w:lang w:val="en-US" w:eastAsia="zh-CN"/>
                    </w:rPr>
                  </w:pPr>
                  <w:r>
                    <w:rPr>
                      <w:rFonts w:hint="eastAsia"/>
                      <w:color w:val="auto"/>
                      <w:szCs w:val="21"/>
                      <w:lang w:val="en-US" w:eastAsia="zh-CN"/>
                    </w:rPr>
                    <w:t>10</w:t>
                  </w:r>
                </w:p>
              </w:tc>
              <w:tc>
                <w:tcPr>
                  <w:tcW w:w="649" w:type="pct"/>
                  <w:noWrap w:val="0"/>
                  <w:vAlign w:val="center"/>
                </w:tcPr>
                <w:p w14:paraId="111E0582">
                  <w:pPr>
                    <w:jc w:val="center"/>
                    <w:rPr>
                      <w:rFonts w:hint="default"/>
                      <w:color w:val="auto"/>
                      <w:szCs w:val="21"/>
                      <w:lang w:val="en-US" w:eastAsia="zh-CN"/>
                    </w:rPr>
                  </w:pPr>
                  <w:r>
                    <w:rPr>
                      <w:rFonts w:hint="eastAsia"/>
                      <w:color w:val="auto"/>
                      <w:szCs w:val="21"/>
                      <w:lang w:val="en-US" w:eastAsia="zh-CN"/>
                    </w:rPr>
                    <w:t>75</w:t>
                  </w:r>
                </w:p>
              </w:tc>
              <w:tc>
                <w:tcPr>
                  <w:tcW w:w="462" w:type="pct"/>
                  <w:noWrap w:val="0"/>
                  <w:vAlign w:val="center"/>
                </w:tcPr>
                <w:p w14:paraId="4CC9904C">
                  <w:pPr>
                    <w:jc w:val="center"/>
                    <w:rPr>
                      <w:rFonts w:hint="default" w:eastAsia="宋体"/>
                      <w:color w:val="auto"/>
                      <w:szCs w:val="21"/>
                      <w:lang w:val="en-US" w:eastAsia="zh-CN"/>
                    </w:rPr>
                  </w:pPr>
                  <w:r>
                    <w:rPr>
                      <w:rFonts w:hint="eastAsia"/>
                      <w:color w:val="auto"/>
                      <w:szCs w:val="21"/>
                      <w:lang w:val="en-US" w:eastAsia="zh-CN"/>
                    </w:rPr>
                    <w:t>26.07</w:t>
                  </w:r>
                </w:p>
              </w:tc>
              <w:tc>
                <w:tcPr>
                  <w:tcW w:w="353" w:type="pct"/>
                  <w:noWrap w:val="0"/>
                  <w:vAlign w:val="center"/>
                </w:tcPr>
                <w:p w14:paraId="274B84FC">
                  <w:pPr>
                    <w:jc w:val="center"/>
                    <w:rPr>
                      <w:rFonts w:hint="default" w:eastAsia="宋体"/>
                      <w:color w:val="auto"/>
                      <w:szCs w:val="21"/>
                      <w:lang w:val="en-US" w:eastAsia="zh-CN"/>
                    </w:rPr>
                  </w:pPr>
                  <w:r>
                    <w:rPr>
                      <w:rFonts w:hint="eastAsia"/>
                      <w:color w:val="auto"/>
                      <w:szCs w:val="21"/>
                      <w:lang w:val="en-US" w:eastAsia="zh-CN"/>
                    </w:rPr>
                    <w:t>-9.19</w:t>
                  </w:r>
                </w:p>
              </w:tc>
              <w:tc>
                <w:tcPr>
                  <w:tcW w:w="317" w:type="pct"/>
                  <w:noWrap w:val="0"/>
                  <w:vAlign w:val="center"/>
                </w:tcPr>
                <w:p w14:paraId="60C761A2">
                  <w:pPr>
                    <w:jc w:val="center"/>
                    <w:rPr>
                      <w:rFonts w:hint="eastAsia" w:eastAsia="宋体"/>
                      <w:color w:val="auto"/>
                      <w:szCs w:val="21"/>
                      <w:lang w:val="en-US" w:eastAsia="zh-CN"/>
                    </w:rPr>
                  </w:pPr>
                  <w:r>
                    <w:rPr>
                      <w:rFonts w:hint="eastAsia"/>
                      <w:color w:val="auto"/>
                      <w:szCs w:val="21"/>
                      <w:lang w:val="en-US" w:eastAsia="zh-CN"/>
                    </w:rPr>
                    <w:t>1</w:t>
                  </w:r>
                </w:p>
              </w:tc>
              <w:tc>
                <w:tcPr>
                  <w:tcW w:w="289" w:type="pct"/>
                  <w:vMerge w:val="continue"/>
                  <w:noWrap w:val="0"/>
                  <w:vAlign w:val="center"/>
                </w:tcPr>
                <w:p w14:paraId="4CB8C7C5">
                  <w:pPr>
                    <w:jc w:val="center"/>
                    <w:rPr>
                      <w:rFonts w:hint="eastAsia"/>
                      <w:color w:val="auto"/>
                      <w:szCs w:val="21"/>
                    </w:rPr>
                  </w:pPr>
                </w:p>
              </w:tc>
              <w:tc>
                <w:tcPr>
                  <w:tcW w:w="517" w:type="pct"/>
                  <w:vMerge w:val="continue"/>
                  <w:noWrap w:val="0"/>
                  <w:vAlign w:val="center"/>
                </w:tcPr>
                <w:p w14:paraId="17E0ED55">
                  <w:pPr>
                    <w:jc w:val="center"/>
                    <w:rPr>
                      <w:rFonts w:hint="eastAsia"/>
                      <w:color w:val="auto"/>
                      <w:szCs w:val="21"/>
                    </w:rPr>
                  </w:pPr>
                </w:p>
              </w:tc>
            </w:tr>
            <w:tr w14:paraId="78FFAC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408" w:type="pct"/>
                  <w:vMerge w:val="restart"/>
                  <w:noWrap w:val="0"/>
                  <w:vAlign w:val="center"/>
                </w:tcPr>
                <w:p w14:paraId="6E8C41B3">
                  <w:pPr>
                    <w:pStyle w:val="16"/>
                    <w:jc w:val="center"/>
                    <w:rPr>
                      <w:rFonts w:hint="default"/>
                      <w:color w:val="auto"/>
                      <w:kern w:val="2"/>
                      <w:sz w:val="21"/>
                      <w:szCs w:val="21"/>
                      <w:lang w:val="en-US" w:eastAsia="zh-CN"/>
                    </w:rPr>
                  </w:pPr>
                  <w:r>
                    <w:rPr>
                      <w:rFonts w:hint="eastAsia"/>
                      <w:color w:val="auto"/>
                      <w:kern w:val="2"/>
                      <w:sz w:val="21"/>
                      <w:szCs w:val="21"/>
                      <w:lang w:val="en-US" w:eastAsia="zh-CN"/>
                    </w:rPr>
                    <w:t>烤漆房</w:t>
                  </w:r>
                </w:p>
              </w:tc>
              <w:tc>
                <w:tcPr>
                  <w:tcW w:w="388" w:type="pct"/>
                  <w:vMerge w:val="restart"/>
                  <w:noWrap w:val="0"/>
                  <w:vAlign w:val="center"/>
                </w:tcPr>
                <w:p w14:paraId="3F06111F">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3</w:t>
                  </w:r>
                </w:p>
              </w:tc>
              <w:tc>
                <w:tcPr>
                  <w:tcW w:w="442" w:type="pct"/>
                  <w:noWrap w:val="0"/>
                  <w:vAlign w:val="center"/>
                </w:tcPr>
                <w:p w14:paraId="6ACEE181">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80</w:t>
                  </w:r>
                </w:p>
              </w:tc>
              <w:tc>
                <w:tcPr>
                  <w:tcW w:w="680" w:type="pct"/>
                  <w:vMerge w:val="continue"/>
                  <w:noWrap w:val="0"/>
                  <w:vAlign w:val="center"/>
                </w:tcPr>
                <w:p w14:paraId="1825FF93">
                  <w:pPr>
                    <w:jc w:val="center"/>
                    <w:rPr>
                      <w:rFonts w:hint="eastAsia"/>
                      <w:color w:val="auto"/>
                      <w:szCs w:val="21"/>
                    </w:rPr>
                  </w:pPr>
                </w:p>
              </w:tc>
              <w:tc>
                <w:tcPr>
                  <w:tcW w:w="487" w:type="pct"/>
                  <w:noWrap w:val="0"/>
                  <w:vAlign w:val="center"/>
                </w:tcPr>
                <w:p w14:paraId="2ADD367A">
                  <w:pPr>
                    <w:jc w:val="center"/>
                    <w:rPr>
                      <w:rFonts w:hint="eastAsia"/>
                      <w:color w:val="auto"/>
                      <w:kern w:val="2"/>
                      <w:sz w:val="21"/>
                      <w:szCs w:val="21"/>
                      <w:lang w:val="en-US" w:eastAsia="zh-CN" w:bidi="ar-SA"/>
                    </w:rPr>
                  </w:pPr>
                  <w:r>
                    <w:rPr>
                      <w:rFonts w:hint="eastAsia"/>
                      <w:color w:val="auto"/>
                      <w:szCs w:val="21"/>
                    </w:rPr>
                    <w:t>10</w:t>
                  </w:r>
                </w:p>
              </w:tc>
              <w:tc>
                <w:tcPr>
                  <w:tcW w:w="649" w:type="pct"/>
                  <w:noWrap w:val="0"/>
                  <w:vAlign w:val="center"/>
                </w:tcPr>
                <w:p w14:paraId="6529D110">
                  <w:pPr>
                    <w:jc w:val="center"/>
                    <w:rPr>
                      <w:rFonts w:hint="default"/>
                      <w:color w:val="auto"/>
                      <w:szCs w:val="21"/>
                      <w:lang w:val="en-US" w:eastAsia="zh-CN"/>
                    </w:rPr>
                  </w:pPr>
                  <w:r>
                    <w:rPr>
                      <w:rFonts w:hint="eastAsia"/>
                      <w:color w:val="auto"/>
                      <w:szCs w:val="21"/>
                      <w:lang w:val="en-US" w:eastAsia="zh-CN"/>
                    </w:rPr>
                    <w:t>70</w:t>
                  </w:r>
                </w:p>
              </w:tc>
              <w:tc>
                <w:tcPr>
                  <w:tcW w:w="462" w:type="pct"/>
                  <w:noWrap w:val="0"/>
                  <w:vAlign w:val="center"/>
                </w:tcPr>
                <w:p w14:paraId="794D5619">
                  <w:pPr>
                    <w:jc w:val="center"/>
                    <w:rPr>
                      <w:rFonts w:hint="default" w:eastAsia="宋体"/>
                      <w:color w:val="auto"/>
                      <w:szCs w:val="21"/>
                      <w:lang w:val="en-US" w:eastAsia="zh-CN"/>
                    </w:rPr>
                  </w:pPr>
                  <w:r>
                    <w:rPr>
                      <w:rFonts w:hint="eastAsia"/>
                      <w:color w:val="auto"/>
                      <w:szCs w:val="21"/>
                      <w:lang w:val="en-US" w:eastAsia="zh-CN"/>
                    </w:rPr>
                    <w:t>17.26</w:t>
                  </w:r>
                </w:p>
              </w:tc>
              <w:tc>
                <w:tcPr>
                  <w:tcW w:w="353" w:type="pct"/>
                  <w:noWrap w:val="0"/>
                  <w:vAlign w:val="center"/>
                </w:tcPr>
                <w:p w14:paraId="5970B2C6">
                  <w:pPr>
                    <w:jc w:val="center"/>
                    <w:rPr>
                      <w:rFonts w:hint="default" w:eastAsia="宋体"/>
                      <w:color w:val="auto"/>
                      <w:szCs w:val="21"/>
                      <w:lang w:val="en-US" w:eastAsia="zh-CN"/>
                    </w:rPr>
                  </w:pPr>
                  <w:r>
                    <w:rPr>
                      <w:rFonts w:hint="eastAsia"/>
                      <w:color w:val="auto"/>
                      <w:szCs w:val="21"/>
                      <w:lang w:val="en-US" w:eastAsia="zh-CN"/>
                    </w:rPr>
                    <w:t>-20.36</w:t>
                  </w:r>
                </w:p>
              </w:tc>
              <w:tc>
                <w:tcPr>
                  <w:tcW w:w="317" w:type="pct"/>
                  <w:noWrap w:val="0"/>
                  <w:vAlign w:val="center"/>
                </w:tcPr>
                <w:p w14:paraId="024DE2A1">
                  <w:pPr>
                    <w:jc w:val="center"/>
                    <w:rPr>
                      <w:rFonts w:hint="eastAsia"/>
                      <w:color w:val="auto"/>
                      <w:kern w:val="2"/>
                      <w:sz w:val="21"/>
                      <w:szCs w:val="21"/>
                      <w:lang w:val="en-US" w:eastAsia="zh-CN" w:bidi="ar-SA"/>
                    </w:rPr>
                  </w:pPr>
                  <w:r>
                    <w:rPr>
                      <w:rFonts w:hint="eastAsia"/>
                      <w:color w:val="auto"/>
                      <w:szCs w:val="21"/>
                    </w:rPr>
                    <w:t>1</w:t>
                  </w:r>
                </w:p>
              </w:tc>
              <w:tc>
                <w:tcPr>
                  <w:tcW w:w="289" w:type="pct"/>
                  <w:vMerge w:val="continue"/>
                  <w:noWrap w:val="0"/>
                  <w:vAlign w:val="center"/>
                </w:tcPr>
                <w:p w14:paraId="363BAE28">
                  <w:pPr>
                    <w:jc w:val="center"/>
                    <w:rPr>
                      <w:rFonts w:hint="eastAsia"/>
                      <w:color w:val="auto"/>
                      <w:szCs w:val="21"/>
                    </w:rPr>
                  </w:pPr>
                </w:p>
              </w:tc>
              <w:tc>
                <w:tcPr>
                  <w:tcW w:w="517" w:type="pct"/>
                  <w:vMerge w:val="continue"/>
                  <w:noWrap w:val="0"/>
                  <w:vAlign w:val="center"/>
                </w:tcPr>
                <w:p w14:paraId="59468451">
                  <w:pPr>
                    <w:jc w:val="center"/>
                    <w:rPr>
                      <w:rFonts w:hint="eastAsia"/>
                      <w:color w:val="auto"/>
                      <w:szCs w:val="21"/>
                    </w:rPr>
                  </w:pPr>
                </w:p>
              </w:tc>
            </w:tr>
            <w:tr w14:paraId="1CA2A9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408" w:type="pct"/>
                  <w:vMerge w:val="continue"/>
                  <w:noWrap w:val="0"/>
                  <w:vAlign w:val="center"/>
                </w:tcPr>
                <w:p w14:paraId="06A66C9E">
                  <w:pPr>
                    <w:pStyle w:val="16"/>
                    <w:jc w:val="center"/>
                    <w:rPr>
                      <w:rFonts w:hint="eastAsia"/>
                      <w:color w:val="auto"/>
                      <w:kern w:val="2"/>
                      <w:sz w:val="21"/>
                      <w:szCs w:val="21"/>
                      <w:lang w:val="en-US" w:eastAsia="zh-CN"/>
                    </w:rPr>
                  </w:pPr>
                </w:p>
              </w:tc>
              <w:tc>
                <w:tcPr>
                  <w:tcW w:w="388" w:type="pct"/>
                  <w:vMerge w:val="continue"/>
                  <w:noWrap w:val="0"/>
                  <w:vAlign w:val="center"/>
                </w:tcPr>
                <w:p w14:paraId="1B051471">
                  <w:pPr>
                    <w:pStyle w:val="57"/>
                    <w:spacing w:before="48" w:after="48"/>
                    <w:rPr>
                      <w:rFonts w:hint="eastAsia" w:ascii="Times New Roman" w:hAnsi="Times New Roman"/>
                      <w:color w:val="auto"/>
                      <w:szCs w:val="21"/>
                      <w:lang w:val="en-US" w:eastAsia="zh-CN"/>
                    </w:rPr>
                  </w:pPr>
                </w:p>
              </w:tc>
              <w:tc>
                <w:tcPr>
                  <w:tcW w:w="442" w:type="pct"/>
                  <w:noWrap w:val="0"/>
                  <w:vAlign w:val="center"/>
                </w:tcPr>
                <w:p w14:paraId="364A54BC">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80</w:t>
                  </w:r>
                </w:p>
              </w:tc>
              <w:tc>
                <w:tcPr>
                  <w:tcW w:w="680" w:type="pct"/>
                  <w:vMerge w:val="continue"/>
                  <w:noWrap w:val="0"/>
                  <w:vAlign w:val="center"/>
                </w:tcPr>
                <w:p w14:paraId="2C01322B">
                  <w:pPr>
                    <w:jc w:val="center"/>
                    <w:rPr>
                      <w:rFonts w:hint="eastAsia"/>
                      <w:color w:val="auto"/>
                      <w:szCs w:val="21"/>
                    </w:rPr>
                  </w:pPr>
                </w:p>
              </w:tc>
              <w:tc>
                <w:tcPr>
                  <w:tcW w:w="487" w:type="pct"/>
                  <w:noWrap w:val="0"/>
                  <w:vAlign w:val="center"/>
                </w:tcPr>
                <w:p w14:paraId="1B57994B">
                  <w:pPr>
                    <w:jc w:val="center"/>
                    <w:rPr>
                      <w:rFonts w:hint="default" w:eastAsia="宋体"/>
                      <w:color w:val="auto"/>
                      <w:szCs w:val="21"/>
                      <w:lang w:val="en-US" w:eastAsia="zh-CN"/>
                    </w:rPr>
                  </w:pPr>
                  <w:r>
                    <w:rPr>
                      <w:rFonts w:hint="eastAsia"/>
                      <w:color w:val="auto"/>
                      <w:szCs w:val="21"/>
                      <w:lang w:val="en-US" w:eastAsia="zh-CN"/>
                    </w:rPr>
                    <w:t>10</w:t>
                  </w:r>
                </w:p>
              </w:tc>
              <w:tc>
                <w:tcPr>
                  <w:tcW w:w="649" w:type="pct"/>
                  <w:noWrap w:val="0"/>
                  <w:vAlign w:val="center"/>
                </w:tcPr>
                <w:p w14:paraId="6DD11036">
                  <w:pPr>
                    <w:jc w:val="center"/>
                    <w:rPr>
                      <w:rFonts w:hint="default"/>
                      <w:color w:val="auto"/>
                      <w:szCs w:val="21"/>
                      <w:lang w:val="en-US" w:eastAsia="zh-CN"/>
                    </w:rPr>
                  </w:pPr>
                  <w:r>
                    <w:rPr>
                      <w:rFonts w:hint="eastAsia"/>
                      <w:color w:val="auto"/>
                      <w:szCs w:val="21"/>
                      <w:lang w:val="en-US" w:eastAsia="zh-CN"/>
                    </w:rPr>
                    <w:t>70</w:t>
                  </w:r>
                </w:p>
              </w:tc>
              <w:tc>
                <w:tcPr>
                  <w:tcW w:w="462" w:type="pct"/>
                  <w:noWrap w:val="0"/>
                  <w:vAlign w:val="center"/>
                </w:tcPr>
                <w:p w14:paraId="516D12C0">
                  <w:pPr>
                    <w:jc w:val="center"/>
                    <w:rPr>
                      <w:rFonts w:hint="default" w:eastAsia="宋体"/>
                      <w:color w:val="auto"/>
                      <w:szCs w:val="21"/>
                      <w:lang w:val="en-US" w:eastAsia="zh-CN"/>
                    </w:rPr>
                  </w:pPr>
                  <w:r>
                    <w:rPr>
                      <w:rFonts w:hint="eastAsia"/>
                      <w:color w:val="auto"/>
                      <w:szCs w:val="21"/>
                      <w:lang w:val="en-US" w:eastAsia="zh-CN"/>
                    </w:rPr>
                    <w:t>27.72</w:t>
                  </w:r>
                </w:p>
              </w:tc>
              <w:tc>
                <w:tcPr>
                  <w:tcW w:w="353" w:type="pct"/>
                  <w:noWrap w:val="0"/>
                  <w:vAlign w:val="center"/>
                </w:tcPr>
                <w:p w14:paraId="3D5A6420">
                  <w:pPr>
                    <w:jc w:val="center"/>
                    <w:rPr>
                      <w:rFonts w:hint="default" w:eastAsia="宋体"/>
                      <w:color w:val="auto"/>
                      <w:szCs w:val="21"/>
                      <w:lang w:val="en-US" w:eastAsia="zh-CN"/>
                    </w:rPr>
                  </w:pPr>
                  <w:r>
                    <w:rPr>
                      <w:rFonts w:hint="eastAsia"/>
                      <w:color w:val="auto"/>
                      <w:szCs w:val="21"/>
                      <w:lang w:val="en-US" w:eastAsia="zh-CN"/>
                    </w:rPr>
                    <w:t>-20.36</w:t>
                  </w:r>
                </w:p>
              </w:tc>
              <w:tc>
                <w:tcPr>
                  <w:tcW w:w="317" w:type="pct"/>
                  <w:noWrap w:val="0"/>
                  <w:vAlign w:val="center"/>
                </w:tcPr>
                <w:p w14:paraId="03346070">
                  <w:pPr>
                    <w:jc w:val="center"/>
                    <w:rPr>
                      <w:rFonts w:hint="eastAsia" w:eastAsia="宋体"/>
                      <w:color w:val="auto"/>
                      <w:szCs w:val="21"/>
                      <w:lang w:val="en-US" w:eastAsia="zh-CN"/>
                    </w:rPr>
                  </w:pPr>
                  <w:r>
                    <w:rPr>
                      <w:rFonts w:hint="eastAsia"/>
                      <w:color w:val="auto"/>
                      <w:szCs w:val="21"/>
                      <w:lang w:val="en-US" w:eastAsia="zh-CN"/>
                    </w:rPr>
                    <w:t>1</w:t>
                  </w:r>
                </w:p>
              </w:tc>
              <w:tc>
                <w:tcPr>
                  <w:tcW w:w="289" w:type="pct"/>
                  <w:vMerge w:val="continue"/>
                  <w:noWrap w:val="0"/>
                  <w:vAlign w:val="center"/>
                </w:tcPr>
                <w:p w14:paraId="2F631AE4">
                  <w:pPr>
                    <w:jc w:val="center"/>
                    <w:rPr>
                      <w:rFonts w:hint="eastAsia"/>
                      <w:color w:val="auto"/>
                      <w:szCs w:val="21"/>
                    </w:rPr>
                  </w:pPr>
                </w:p>
              </w:tc>
              <w:tc>
                <w:tcPr>
                  <w:tcW w:w="517" w:type="pct"/>
                  <w:vMerge w:val="continue"/>
                  <w:noWrap w:val="0"/>
                  <w:vAlign w:val="center"/>
                </w:tcPr>
                <w:p w14:paraId="50B463F4">
                  <w:pPr>
                    <w:jc w:val="center"/>
                    <w:rPr>
                      <w:rFonts w:hint="eastAsia"/>
                      <w:color w:val="auto"/>
                      <w:szCs w:val="21"/>
                    </w:rPr>
                  </w:pPr>
                </w:p>
              </w:tc>
            </w:tr>
            <w:tr w14:paraId="3FA22D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408" w:type="pct"/>
                  <w:vMerge w:val="continue"/>
                  <w:noWrap w:val="0"/>
                  <w:vAlign w:val="center"/>
                </w:tcPr>
                <w:p w14:paraId="351D85DB">
                  <w:pPr>
                    <w:pStyle w:val="16"/>
                    <w:jc w:val="center"/>
                    <w:rPr>
                      <w:rFonts w:hint="eastAsia"/>
                      <w:color w:val="auto"/>
                      <w:kern w:val="2"/>
                      <w:sz w:val="21"/>
                      <w:szCs w:val="21"/>
                      <w:lang w:val="en-US" w:eastAsia="zh-CN"/>
                    </w:rPr>
                  </w:pPr>
                </w:p>
              </w:tc>
              <w:tc>
                <w:tcPr>
                  <w:tcW w:w="388" w:type="pct"/>
                  <w:vMerge w:val="continue"/>
                  <w:noWrap w:val="0"/>
                  <w:vAlign w:val="center"/>
                </w:tcPr>
                <w:p w14:paraId="5036233D">
                  <w:pPr>
                    <w:pStyle w:val="57"/>
                    <w:spacing w:before="48" w:after="48"/>
                    <w:rPr>
                      <w:rFonts w:hint="eastAsia" w:ascii="Times New Roman" w:hAnsi="Times New Roman"/>
                      <w:color w:val="auto"/>
                      <w:szCs w:val="21"/>
                      <w:lang w:val="en-US" w:eastAsia="zh-CN"/>
                    </w:rPr>
                  </w:pPr>
                </w:p>
              </w:tc>
              <w:tc>
                <w:tcPr>
                  <w:tcW w:w="442" w:type="pct"/>
                  <w:noWrap w:val="0"/>
                  <w:vAlign w:val="center"/>
                </w:tcPr>
                <w:p w14:paraId="5D7671BB">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80</w:t>
                  </w:r>
                </w:p>
              </w:tc>
              <w:tc>
                <w:tcPr>
                  <w:tcW w:w="680" w:type="pct"/>
                  <w:vMerge w:val="continue"/>
                  <w:noWrap w:val="0"/>
                  <w:vAlign w:val="center"/>
                </w:tcPr>
                <w:p w14:paraId="389FDE6B">
                  <w:pPr>
                    <w:jc w:val="center"/>
                    <w:rPr>
                      <w:rFonts w:hint="eastAsia"/>
                      <w:color w:val="auto"/>
                      <w:szCs w:val="21"/>
                    </w:rPr>
                  </w:pPr>
                </w:p>
              </w:tc>
              <w:tc>
                <w:tcPr>
                  <w:tcW w:w="487" w:type="pct"/>
                  <w:noWrap w:val="0"/>
                  <w:vAlign w:val="center"/>
                </w:tcPr>
                <w:p w14:paraId="2826237D">
                  <w:pPr>
                    <w:jc w:val="center"/>
                    <w:rPr>
                      <w:rFonts w:hint="default" w:eastAsia="宋体"/>
                      <w:color w:val="auto"/>
                      <w:szCs w:val="21"/>
                      <w:lang w:val="en-US" w:eastAsia="zh-CN"/>
                    </w:rPr>
                  </w:pPr>
                  <w:r>
                    <w:rPr>
                      <w:rFonts w:hint="eastAsia"/>
                      <w:color w:val="auto"/>
                      <w:szCs w:val="21"/>
                      <w:lang w:val="en-US" w:eastAsia="zh-CN"/>
                    </w:rPr>
                    <w:t>10</w:t>
                  </w:r>
                </w:p>
              </w:tc>
              <w:tc>
                <w:tcPr>
                  <w:tcW w:w="649" w:type="pct"/>
                  <w:noWrap w:val="0"/>
                  <w:vAlign w:val="center"/>
                </w:tcPr>
                <w:p w14:paraId="7CF8FE57">
                  <w:pPr>
                    <w:jc w:val="center"/>
                    <w:rPr>
                      <w:rFonts w:hint="default"/>
                      <w:color w:val="auto"/>
                      <w:szCs w:val="21"/>
                      <w:lang w:val="en-US" w:eastAsia="zh-CN"/>
                    </w:rPr>
                  </w:pPr>
                  <w:r>
                    <w:rPr>
                      <w:rFonts w:hint="eastAsia"/>
                      <w:color w:val="auto"/>
                      <w:szCs w:val="21"/>
                      <w:lang w:val="en-US" w:eastAsia="zh-CN"/>
                    </w:rPr>
                    <w:t>70</w:t>
                  </w:r>
                </w:p>
              </w:tc>
              <w:tc>
                <w:tcPr>
                  <w:tcW w:w="462" w:type="pct"/>
                  <w:noWrap w:val="0"/>
                  <w:vAlign w:val="center"/>
                </w:tcPr>
                <w:p w14:paraId="07C8AE4E">
                  <w:pPr>
                    <w:jc w:val="center"/>
                    <w:rPr>
                      <w:rFonts w:hint="default" w:eastAsia="宋体"/>
                      <w:color w:val="auto"/>
                      <w:szCs w:val="21"/>
                      <w:lang w:val="en-US" w:eastAsia="zh-CN"/>
                    </w:rPr>
                  </w:pPr>
                  <w:r>
                    <w:rPr>
                      <w:rFonts w:hint="eastAsia"/>
                      <w:color w:val="auto"/>
                      <w:szCs w:val="21"/>
                      <w:lang w:val="en-US" w:eastAsia="zh-CN"/>
                    </w:rPr>
                    <w:t>36.97</w:t>
                  </w:r>
                </w:p>
              </w:tc>
              <w:tc>
                <w:tcPr>
                  <w:tcW w:w="353" w:type="pct"/>
                  <w:noWrap w:val="0"/>
                  <w:vAlign w:val="center"/>
                </w:tcPr>
                <w:p w14:paraId="44F4A069">
                  <w:pPr>
                    <w:jc w:val="center"/>
                    <w:rPr>
                      <w:rFonts w:hint="default" w:eastAsia="宋体"/>
                      <w:color w:val="auto"/>
                      <w:szCs w:val="21"/>
                      <w:lang w:val="en-US" w:eastAsia="zh-CN"/>
                    </w:rPr>
                  </w:pPr>
                  <w:r>
                    <w:rPr>
                      <w:rFonts w:hint="eastAsia"/>
                      <w:color w:val="auto"/>
                      <w:szCs w:val="21"/>
                      <w:lang w:val="en-US" w:eastAsia="zh-CN"/>
                    </w:rPr>
                    <w:t>-20.36</w:t>
                  </w:r>
                </w:p>
              </w:tc>
              <w:tc>
                <w:tcPr>
                  <w:tcW w:w="317" w:type="pct"/>
                  <w:noWrap w:val="0"/>
                  <w:vAlign w:val="center"/>
                </w:tcPr>
                <w:p w14:paraId="6A12D081">
                  <w:pPr>
                    <w:jc w:val="center"/>
                    <w:rPr>
                      <w:rFonts w:hint="eastAsia" w:eastAsia="宋体"/>
                      <w:color w:val="auto"/>
                      <w:szCs w:val="21"/>
                      <w:lang w:val="en-US" w:eastAsia="zh-CN"/>
                    </w:rPr>
                  </w:pPr>
                  <w:r>
                    <w:rPr>
                      <w:rFonts w:hint="eastAsia"/>
                      <w:color w:val="auto"/>
                      <w:szCs w:val="21"/>
                      <w:lang w:val="en-US" w:eastAsia="zh-CN"/>
                    </w:rPr>
                    <w:t>1</w:t>
                  </w:r>
                </w:p>
              </w:tc>
              <w:tc>
                <w:tcPr>
                  <w:tcW w:w="289" w:type="pct"/>
                  <w:vMerge w:val="continue"/>
                  <w:noWrap w:val="0"/>
                  <w:vAlign w:val="center"/>
                </w:tcPr>
                <w:p w14:paraId="5383CF41">
                  <w:pPr>
                    <w:jc w:val="center"/>
                    <w:rPr>
                      <w:rFonts w:hint="eastAsia"/>
                      <w:color w:val="auto"/>
                      <w:szCs w:val="21"/>
                    </w:rPr>
                  </w:pPr>
                </w:p>
              </w:tc>
              <w:tc>
                <w:tcPr>
                  <w:tcW w:w="517" w:type="pct"/>
                  <w:vMerge w:val="continue"/>
                  <w:noWrap w:val="0"/>
                  <w:vAlign w:val="center"/>
                </w:tcPr>
                <w:p w14:paraId="677615B3">
                  <w:pPr>
                    <w:jc w:val="center"/>
                    <w:rPr>
                      <w:rFonts w:hint="eastAsia"/>
                      <w:color w:val="auto"/>
                      <w:szCs w:val="21"/>
                    </w:rPr>
                  </w:pPr>
                </w:p>
              </w:tc>
            </w:tr>
            <w:tr w14:paraId="439701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408" w:type="pct"/>
                  <w:vMerge w:val="restart"/>
                  <w:noWrap w:val="0"/>
                  <w:vAlign w:val="center"/>
                </w:tcPr>
                <w:p w14:paraId="5FEEA4E4">
                  <w:pPr>
                    <w:pStyle w:val="16"/>
                    <w:jc w:val="center"/>
                    <w:rPr>
                      <w:rFonts w:hint="eastAsia" w:eastAsia="宋体"/>
                      <w:color w:val="auto"/>
                      <w:kern w:val="2"/>
                      <w:sz w:val="21"/>
                      <w:szCs w:val="21"/>
                      <w:lang w:eastAsia="zh-CN"/>
                    </w:rPr>
                  </w:pPr>
                  <w:r>
                    <w:rPr>
                      <w:rFonts w:hint="eastAsia"/>
                      <w:color w:val="auto"/>
                      <w:kern w:val="2"/>
                      <w:sz w:val="21"/>
                      <w:szCs w:val="21"/>
                      <w:lang w:val="en-US" w:eastAsia="zh-CN"/>
                    </w:rPr>
                    <w:t>风机</w:t>
                  </w:r>
                </w:p>
              </w:tc>
              <w:tc>
                <w:tcPr>
                  <w:tcW w:w="388" w:type="pct"/>
                  <w:vMerge w:val="restart"/>
                  <w:noWrap w:val="0"/>
                  <w:vAlign w:val="center"/>
                </w:tcPr>
                <w:p w14:paraId="0DB4283A">
                  <w:pPr>
                    <w:pStyle w:val="57"/>
                    <w:spacing w:before="48" w:after="48"/>
                    <w:rPr>
                      <w:rFonts w:hint="eastAsia" w:ascii="Times New Roman" w:hAnsi="Times New Roman" w:eastAsia="宋体"/>
                      <w:color w:val="auto"/>
                      <w:szCs w:val="21"/>
                      <w:lang w:eastAsia="zh-CN"/>
                    </w:rPr>
                  </w:pPr>
                  <w:r>
                    <w:rPr>
                      <w:rFonts w:hint="eastAsia" w:ascii="Times New Roman" w:hAnsi="Times New Roman"/>
                      <w:color w:val="auto"/>
                      <w:szCs w:val="21"/>
                      <w:lang w:val="en-US" w:eastAsia="zh-CN"/>
                    </w:rPr>
                    <w:t>5</w:t>
                  </w:r>
                </w:p>
              </w:tc>
              <w:tc>
                <w:tcPr>
                  <w:tcW w:w="442" w:type="pct"/>
                  <w:noWrap w:val="0"/>
                  <w:vAlign w:val="center"/>
                </w:tcPr>
                <w:p w14:paraId="19B117BA">
                  <w:pPr>
                    <w:pStyle w:val="57"/>
                    <w:spacing w:before="48" w:after="48"/>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90</w:t>
                  </w:r>
                </w:p>
              </w:tc>
              <w:tc>
                <w:tcPr>
                  <w:tcW w:w="680" w:type="pct"/>
                  <w:vMerge w:val="continue"/>
                  <w:noWrap w:val="0"/>
                  <w:vAlign w:val="center"/>
                </w:tcPr>
                <w:p w14:paraId="2805EFC1">
                  <w:pPr>
                    <w:jc w:val="center"/>
                    <w:rPr>
                      <w:color w:val="auto"/>
                      <w:szCs w:val="21"/>
                    </w:rPr>
                  </w:pPr>
                </w:p>
              </w:tc>
              <w:tc>
                <w:tcPr>
                  <w:tcW w:w="487" w:type="pct"/>
                  <w:noWrap w:val="0"/>
                  <w:vAlign w:val="center"/>
                </w:tcPr>
                <w:p w14:paraId="7E8251BB">
                  <w:pPr>
                    <w:jc w:val="center"/>
                    <w:rPr>
                      <w:color w:val="auto"/>
                      <w:szCs w:val="21"/>
                    </w:rPr>
                  </w:pPr>
                  <w:r>
                    <w:rPr>
                      <w:rFonts w:hint="eastAsia"/>
                      <w:color w:val="auto"/>
                      <w:szCs w:val="21"/>
                    </w:rPr>
                    <w:t>10</w:t>
                  </w:r>
                </w:p>
              </w:tc>
              <w:tc>
                <w:tcPr>
                  <w:tcW w:w="649" w:type="pct"/>
                  <w:noWrap w:val="0"/>
                  <w:vAlign w:val="center"/>
                </w:tcPr>
                <w:p w14:paraId="09C7E1ED">
                  <w:pPr>
                    <w:jc w:val="center"/>
                    <w:rPr>
                      <w:rFonts w:hint="default" w:eastAsia="宋体"/>
                      <w:color w:val="auto"/>
                      <w:szCs w:val="21"/>
                      <w:lang w:val="en-US" w:eastAsia="zh-CN"/>
                    </w:rPr>
                  </w:pPr>
                  <w:r>
                    <w:rPr>
                      <w:rFonts w:hint="eastAsia"/>
                      <w:color w:val="auto"/>
                      <w:szCs w:val="21"/>
                      <w:lang w:val="en-US" w:eastAsia="zh-CN"/>
                    </w:rPr>
                    <w:t>80</w:t>
                  </w:r>
                </w:p>
              </w:tc>
              <w:tc>
                <w:tcPr>
                  <w:tcW w:w="462" w:type="pct"/>
                  <w:noWrap w:val="0"/>
                  <w:vAlign w:val="center"/>
                </w:tcPr>
                <w:p w14:paraId="05994005">
                  <w:pPr>
                    <w:jc w:val="center"/>
                    <w:rPr>
                      <w:rFonts w:hint="default" w:eastAsia="宋体"/>
                      <w:color w:val="auto"/>
                      <w:szCs w:val="21"/>
                      <w:lang w:val="en-US" w:eastAsia="zh-CN"/>
                    </w:rPr>
                  </w:pPr>
                  <w:r>
                    <w:rPr>
                      <w:rFonts w:hint="eastAsia"/>
                      <w:color w:val="auto"/>
                      <w:szCs w:val="21"/>
                      <w:lang w:val="en-US" w:eastAsia="zh-CN"/>
                    </w:rPr>
                    <w:t>14.87</w:t>
                  </w:r>
                </w:p>
              </w:tc>
              <w:tc>
                <w:tcPr>
                  <w:tcW w:w="353" w:type="pct"/>
                  <w:noWrap w:val="0"/>
                  <w:vAlign w:val="center"/>
                </w:tcPr>
                <w:p w14:paraId="560399D7">
                  <w:pPr>
                    <w:jc w:val="center"/>
                    <w:rPr>
                      <w:rFonts w:hint="default" w:eastAsia="宋体"/>
                      <w:color w:val="auto"/>
                      <w:szCs w:val="21"/>
                      <w:lang w:val="en-US" w:eastAsia="zh-CN"/>
                    </w:rPr>
                  </w:pPr>
                  <w:r>
                    <w:rPr>
                      <w:rFonts w:hint="eastAsia"/>
                      <w:color w:val="auto"/>
                      <w:szCs w:val="21"/>
                      <w:lang w:val="en-US" w:eastAsia="zh-CN"/>
                    </w:rPr>
                    <w:t>-20.39</w:t>
                  </w:r>
                </w:p>
              </w:tc>
              <w:tc>
                <w:tcPr>
                  <w:tcW w:w="317" w:type="pct"/>
                  <w:noWrap w:val="0"/>
                  <w:vAlign w:val="center"/>
                </w:tcPr>
                <w:p w14:paraId="2EB21F9B">
                  <w:pPr>
                    <w:jc w:val="center"/>
                    <w:rPr>
                      <w:rFonts w:hint="eastAsia"/>
                      <w:color w:val="auto"/>
                      <w:szCs w:val="21"/>
                    </w:rPr>
                  </w:pPr>
                  <w:r>
                    <w:rPr>
                      <w:rFonts w:hint="eastAsia"/>
                      <w:color w:val="auto"/>
                      <w:szCs w:val="21"/>
                    </w:rPr>
                    <w:t>1</w:t>
                  </w:r>
                </w:p>
              </w:tc>
              <w:tc>
                <w:tcPr>
                  <w:tcW w:w="289" w:type="pct"/>
                  <w:vMerge w:val="continue"/>
                  <w:noWrap w:val="0"/>
                  <w:vAlign w:val="center"/>
                </w:tcPr>
                <w:p w14:paraId="080CB3B2">
                  <w:pPr>
                    <w:jc w:val="center"/>
                    <w:rPr>
                      <w:color w:val="auto"/>
                      <w:szCs w:val="21"/>
                    </w:rPr>
                  </w:pPr>
                </w:p>
              </w:tc>
              <w:tc>
                <w:tcPr>
                  <w:tcW w:w="517" w:type="pct"/>
                  <w:vMerge w:val="continue"/>
                  <w:noWrap w:val="0"/>
                  <w:vAlign w:val="center"/>
                </w:tcPr>
                <w:p w14:paraId="751AA839">
                  <w:pPr>
                    <w:jc w:val="center"/>
                    <w:rPr>
                      <w:rFonts w:hint="eastAsia" w:eastAsia="宋体"/>
                      <w:color w:val="auto"/>
                      <w:szCs w:val="21"/>
                      <w:lang w:val="en-US" w:eastAsia="zh-CN"/>
                    </w:rPr>
                  </w:pPr>
                </w:p>
              </w:tc>
            </w:tr>
            <w:tr w14:paraId="32C31F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408" w:type="pct"/>
                  <w:vMerge w:val="continue"/>
                  <w:noWrap w:val="0"/>
                  <w:vAlign w:val="center"/>
                </w:tcPr>
                <w:p w14:paraId="292593F2">
                  <w:pPr>
                    <w:pStyle w:val="16"/>
                    <w:jc w:val="center"/>
                    <w:rPr>
                      <w:rFonts w:hint="eastAsia"/>
                      <w:color w:val="auto"/>
                      <w:kern w:val="2"/>
                      <w:sz w:val="21"/>
                      <w:szCs w:val="21"/>
                    </w:rPr>
                  </w:pPr>
                </w:p>
              </w:tc>
              <w:tc>
                <w:tcPr>
                  <w:tcW w:w="388" w:type="pct"/>
                  <w:vMerge w:val="continue"/>
                  <w:noWrap w:val="0"/>
                  <w:vAlign w:val="center"/>
                </w:tcPr>
                <w:p w14:paraId="3498C8C2">
                  <w:pPr>
                    <w:pStyle w:val="57"/>
                    <w:spacing w:before="48" w:after="48"/>
                    <w:rPr>
                      <w:rFonts w:hint="eastAsia" w:ascii="Times New Roman" w:hAnsi="Times New Roman"/>
                      <w:color w:val="auto"/>
                      <w:szCs w:val="21"/>
                    </w:rPr>
                  </w:pPr>
                </w:p>
              </w:tc>
              <w:tc>
                <w:tcPr>
                  <w:tcW w:w="442" w:type="pct"/>
                  <w:noWrap w:val="0"/>
                  <w:vAlign w:val="center"/>
                </w:tcPr>
                <w:p w14:paraId="3F2471B7">
                  <w:pPr>
                    <w:pStyle w:val="57"/>
                    <w:spacing w:before="48" w:after="48"/>
                    <w:rPr>
                      <w:rFonts w:hint="eastAsia" w:ascii="Times New Roman" w:hAnsi="Times New Roman" w:eastAsia="宋体" w:cs="宋体"/>
                      <w:color w:val="auto"/>
                      <w:kern w:val="2"/>
                      <w:sz w:val="21"/>
                      <w:szCs w:val="21"/>
                      <w:lang w:val="en-US" w:eastAsia="zh-CN" w:bidi="ar-SA"/>
                    </w:rPr>
                  </w:pPr>
                  <w:r>
                    <w:rPr>
                      <w:rFonts w:hint="eastAsia" w:ascii="Times New Roman" w:hAnsi="Times New Roman"/>
                      <w:color w:val="auto"/>
                      <w:szCs w:val="21"/>
                      <w:lang w:val="en-US" w:eastAsia="zh-CN"/>
                    </w:rPr>
                    <w:t>90</w:t>
                  </w:r>
                </w:p>
              </w:tc>
              <w:tc>
                <w:tcPr>
                  <w:tcW w:w="680" w:type="pct"/>
                  <w:vMerge w:val="continue"/>
                  <w:noWrap w:val="0"/>
                  <w:vAlign w:val="center"/>
                </w:tcPr>
                <w:p w14:paraId="42AFAE39">
                  <w:pPr>
                    <w:jc w:val="center"/>
                    <w:rPr>
                      <w:rFonts w:hint="eastAsia"/>
                      <w:color w:val="auto"/>
                      <w:szCs w:val="21"/>
                    </w:rPr>
                  </w:pPr>
                </w:p>
              </w:tc>
              <w:tc>
                <w:tcPr>
                  <w:tcW w:w="487" w:type="pct"/>
                  <w:noWrap w:val="0"/>
                  <w:vAlign w:val="center"/>
                </w:tcPr>
                <w:p w14:paraId="38A7AD95">
                  <w:pPr>
                    <w:jc w:val="center"/>
                    <w:rPr>
                      <w:rFonts w:hint="eastAsia"/>
                      <w:color w:val="auto"/>
                      <w:kern w:val="2"/>
                      <w:sz w:val="21"/>
                      <w:szCs w:val="21"/>
                      <w:lang w:val="en-US" w:eastAsia="zh-CN" w:bidi="ar-SA"/>
                    </w:rPr>
                  </w:pPr>
                  <w:r>
                    <w:rPr>
                      <w:rFonts w:hint="eastAsia"/>
                      <w:color w:val="auto"/>
                      <w:szCs w:val="21"/>
                    </w:rPr>
                    <w:t>10</w:t>
                  </w:r>
                </w:p>
              </w:tc>
              <w:tc>
                <w:tcPr>
                  <w:tcW w:w="649" w:type="pct"/>
                  <w:noWrap w:val="0"/>
                  <w:vAlign w:val="center"/>
                </w:tcPr>
                <w:p w14:paraId="533471AC">
                  <w:pPr>
                    <w:jc w:val="center"/>
                    <w:rPr>
                      <w:rFonts w:hint="eastAsia" w:eastAsia="宋体"/>
                      <w:color w:val="auto"/>
                      <w:kern w:val="2"/>
                      <w:sz w:val="21"/>
                      <w:szCs w:val="21"/>
                      <w:lang w:val="en-US" w:eastAsia="zh-CN" w:bidi="ar-SA"/>
                    </w:rPr>
                  </w:pPr>
                  <w:r>
                    <w:rPr>
                      <w:rFonts w:hint="eastAsia"/>
                      <w:color w:val="auto"/>
                      <w:szCs w:val="21"/>
                      <w:lang w:val="en-US" w:eastAsia="zh-CN"/>
                    </w:rPr>
                    <w:t>80</w:t>
                  </w:r>
                </w:p>
              </w:tc>
              <w:tc>
                <w:tcPr>
                  <w:tcW w:w="462" w:type="pct"/>
                  <w:noWrap w:val="0"/>
                  <w:vAlign w:val="center"/>
                </w:tcPr>
                <w:p w14:paraId="715C8834">
                  <w:pPr>
                    <w:jc w:val="center"/>
                    <w:rPr>
                      <w:rFonts w:hint="default" w:eastAsia="宋体"/>
                      <w:color w:val="auto"/>
                      <w:szCs w:val="21"/>
                      <w:lang w:val="en-US" w:eastAsia="zh-CN"/>
                    </w:rPr>
                  </w:pPr>
                  <w:r>
                    <w:rPr>
                      <w:rFonts w:hint="eastAsia"/>
                      <w:color w:val="auto"/>
                      <w:szCs w:val="21"/>
                      <w:lang w:val="en-US" w:eastAsia="zh-CN"/>
                    </w:rPr>
                    <w:t>25.78</w:t>
                  </w:r>
                </w:p>
              </w:tc>
              <w:tc>
                <w:tcPr>
                  <w:tcW w:w="353" w:type="pct"/>
                  <w:noWrap w:val="0"/>
                  <w:vAlign w:val="center"/>
                </w:tcPr>
                <w:p w14:paraId="1E5A3362">
                  <w:pPr>
                    <w:jc w:val="center"/>
                    <w:rPr>
                      <w:rFonts w:hint="default" w:eastAsia="宋体"/>
                      <w:color w:val="auto"/>
                      <w:szCs w:val="21"/>
                      <w:lang w:val="en-US" w:eastAsia="zh-CN"/>
                    </w:rPr>
                  </w:pPr>
                  <w:r>
                    <w:rPr>
                      <w:rFonts w:hint="eastAsia"/>
                      <w:color w:val="auto"/>
                      <w:szCs w:val="21"/>
                      <w:lang w:val="en-US" w:eastAsia="zh-CN"/>
                    </w:rPr>
                    <w:t>-20.39</w:t>
                  </w:r>
                </w:p>
              </w:tc>
              <w:tc>
                <w:tcPr>
                  <w:tcW w:w="317" w:type="pct"/>
                  <w:noWrap w:val="0"/>
                  <w:vAlign w:val="center"/>
                </w:tcPr>
                <w:p w14:paraId="1EBC850A">
                  <w:pPr>
                    <w:jc w:val="center"/>
                    <w:rPr>
                      <w:rFonts w:hint="eastAsia" w:eastAsia="宋体"/>
                      <w:color w:val="auto"/>
                      <w:szCs w:val="21"/>
                      <w:lang w:val="en-US" w:eastAsia="zh-CN"/>
                    </w:rPr>
                  </w:pPr>
                  <w:r>
                    <w:rPr>
                      <w:rFonts w:hint="eastAsia"/>
                      <w:color w:val="auto"/>
                      <w:szCs w:val="21"/>
                      <w:lang w:val="en-US" w:eastAsia="zh-CN"/>
                    </w:rPr>
                    <w:t>1</w:t>
                  </w:r>
                </w:p>
              </w:tc>
              <w:tc>
                <w:tcPr>
                  <w:tcW w:w="289" w:type="pct"/>
                  <w:vMerge w:val="continue"/>
                  <w:noWrap w:val="0"/>
                  <w:vAlign w:val="center"/>
                </w:tcPr>
                <w:p w14:paraId="2FAD4E43">
                  <w:pPr>
                    <w:jc w:val="center"/>
                    <w:rPr>
                      <w:rFonts w:hint="eastAsia"/>
                      <w:color w:val="auto"/>
                      <w:szCs w:val="21"/>
                    </w:rPr>
                  </w:pPr>
                </w:p>
              </w:tc>
              <w:tc>
                <w:tcPr>
                  <w:tcW w:w="517" w:type="pct"/>
                  <w:vMerge w:val="continue"/>
                  <w:noWrap w:val="0"/>
                  <w:vAlign w:val="center"/>
                </w:tcPr>
                <w:p w14:paraId="6FB9E558">
                  <w:pPr>
                    <w:jc w:val="center"/>
                    <w:rPr>
                      <w:rFonts w:hint="eastAsia"/>
                      <w:color w:val="auto"/>
                      <w:szCs w:val="21"/>
                    </w:rPr>
                  </w:pPr>
                </w:p>
              </w:tc>
            </w:tr>
            <w:tr w14:paraId="0D2B57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408" w:type="pct"/>
                  <w:vMerge w:val="continue"/>
                  <w:noWrap w:val="0"/>
                  <w:vAlign w:val="center"/>
                </w:tcPr>
                <w:p w14:paraId="612B5049">
                  <w:pPr>
                    <w:pStyle w:val="16"/>
                    <w:jc w:val="center"/>
                    <w:rPr>
                      <w:rFonts w:hint="eastAsia"/>
                      <w:color w:val="auto"/>
                      <w:kern w:val="2"/>
                      <w:sz w:val="21"/>
                      <w:szCs w:val="21"/>
                    </w:rPr>
                  </w:pPr>
                </w:p>
              </w:tc>
              <w:tc>
                <w:tcPr>
                  <w:tcW w:w="388" w:type="pct"/>
                  <w:vMerge w:val="continue"/>
                  <w:noWrap w:val="0"/>
                  <w:vAlign w:val="center"/>
                </w:tcPr>
                <w:p w14:paraId="73F583E0">
                  <w:pPr>
                    <w:pStyle w:val="57"/>
                    <w:spacing w:before="48" w:after="48"/>
                    <w:rPr>
                      <w:rFonts w:hint="eastAsia" w:ascii="Times New Roman" w:hAnsi="Times New Roman"/>
                      <w:color w:val="auto"/>
                      <w:szCs w:val="21"/>
                    </w:rPr>
                  </w:pPr>
                </w:p>
              </w:tc>
              <w:tc>
                <w:tcPr>
                  <w:tcW w:w="442" w:type="pct"/>
                  <w:noWrap w:val="0"/>
                  <w:vAlign w:val="center"/>
                </w:tcPr>
                <w:p w14:paraId="37B04FCD">
                  <w:pPr>
                    <w:pStyle w:val="57"/>
                    <w:spacing w:before="48" w:after="48"/>
                    <w:rPr>
                      <w:rFonts w:hint="eastAsia" w:ascii="Times New Roman" w:hAnsi="Times New Roman" w:eastAsia="宋体" w:cs="宋体"/>
                      <w:color w:val="auto"/>
                      <w:kern w:val="2"/>
                      <w:sz w:val="21"/>
                      <w:szCs w:val="21"/>
                      <w:lang w:val="en-US" w:eastAsia="zh-CN" w:bidi="ar-SA"/>
                    </w:rPr>
                  </w:pPr>
                  <w:r>
                    <w:rPr>
                      <w:rFonts w:hint="eastAsia" w:ascii="Times New Roman" w:hAnsi="Times New Roman"/>
                      <w:color w:val="auto"/>
                      <w:szCs w:val="21"/>
                      <w:lang w:val="en-US" w:eastAsia="zh-CN"/>
                    </w:rPr>
                    <w:t>90</w:t>
                  </w:r>
                </w:p>
              </w:tc>
              <w:tc>
                <w:tcPr>
                  <w:tcW w:w="680" w:type="pct"/>
                  <w:vMerge w:val="continue"/>
                  <w:noWrap w:val="0"/>
                  <w:vAlign w:val="center"/>
                </w:tcPr>
                <w:p w14:paraId="34511FA0">
                  <w:pPr>
                    <w:jc w:val="center"/>
                    <w:rPr>
                      <w:rFonts w:hint="eastAsia"/>
                      <w:color w:val="auto"/>
                      <w:szCs w:val="21"/>
                    </w:rPr>
                  </w:pPr>
                </w:p>
              </w:tc>
              <w:tc>
                <w:tcPr>
                  <w:tcW w:w="487" w:type="pct"/>
                  <w:noWrap w:val="0"/>
                  <w:vAlign w:val="center"/>
                </w:tcPr>
                <w:p w14:paraId="46F3BB9C">
                  <w:pPr>
                    <w:jc w:val="center"/>
                    <w:rPr>
                      <w:rFonts w:hint="eastAsia"/>
                      <w:color w:val="auto"/>
                      <w:kern w:val="2"/>
                      <w:sz w:val="21"/>
                      <w:szCs w:val="21"/>
                      <w:lang w:val="en-US" w:eastAsia="zh-CN" w:bidi="ar-SA"/>
                    </w:rPr>
                  </w:pPr>
                  <w:r>
                    <w:rPr>
                      <w:rFonts w:hint="eastAsia"/>
                      <w:color w:val="auto"/>
                      <w:szCs w:val="21"/>
                    </w:rPr>
                    <w:t>10</w:t>
                  </w:r>
                </w:p>
              </w:tc>
              <w:tc>
                <w:tcPr>
                  <w:tcW w:w="649" w:type="pct"/>
                  <w:noWrap w:val="0"/>
                  <w:vAlign w:val="center"/>
                </w:tcPr>
                <w:p w14:paraId="07CA0724">
                  <w:pPr>
                    <w:jc w:val="center"/>
                    <w:rPr>
                      <w:rFonts w:hint="eastAsia" w:eastAsia="宋体"/>
                      <w:color w:val="auto"/>
                      <w:kern w:val="2"/>
                      <w:sz w:val="21"/>
                      <w:szCs w:val="21"/>
                      <w:lang w:val="en-US" w:eastAsia="zh-CN" w:bidi="ar-SA"/>
                    </w:rPr>
                  </w:pPr>
                  <w:r>
                    <w:rPr>
                      <w:rFonts w:hint="eastAsia"/>
                      <w:color w:val="auto"/>
                      <w:szCs w:val="21"/>
                      <w:lang w:val="en-US" w:eastAsia="zh-CN"/>
                    </w:rPr>
                    <w:t>80</w:t>
                  </w:r>
                </w:p>
              </w:tc>
              <w:tc>
                <w:tcPr>
                  <w:tcW w:w="462" w:type="pct"/>
                  <w:noWrap w:val="0"/>
                  <w:vAlign w:val="center"/>
                </w:tcPr>
                <w:p w14:paraId="6D59C667">
                  <w:pPr>
                    <w:jc w:val="center"/>
                    <w:rPr>
                      <w:rFonts w:hint="default" w:eastAsia="宋体"/>
                      <w:color w:val="auto"/>
                      <w:szCs w:val="21"/>
                      <w:lang w:val="en-US" w:eastAsia="zh-CN"/>
                    </w:rPr>
                  </w:pPr>
                  <w:r>
                    <w:rPr>
                      <w:rFonts w:hint="eastAsia"/>
                      <w:color w:val="auto"/>
                      <w:szCs w:val="21"/>
                      <w:lang w:val="en-US" w:eastAsia="zh-CN"/>
                    </w:rPr>
                    <w:t>35.1</w:t>
                  </w:r>
                </w:p>
              </w:tc>
              <w:tc>
                <w:tcPr>
                  <w:tcW w:w="353" w:type="pct"/>
                  <w:noWrap w:val="0"/>
                  <w:vAlign w:val="center"/>
                </w:tcPr>
                <w:p w14:paraId="187CBC39">
                  <w:pPr>
                    <w:jc w:val="center"/>
                    <w:rPr>
                      <w:rFonts w:hint="default" w:eastAsia="宋体"/>
                      <w:color w:val="auto"/>
                      <w:szCs w:val="21"/>
                      <w:lang w:val="en-US" w:eastAsia="zh-CN"/>
                    </w:rPr>
                  </w:pPr>
                  <w:r>
                    <w:rPr>
                      <w:rFonts w:hint="eastAsia"/>
                      <w:color w:val="auto"/>
                      <w:szCs w:val="21"/>
                      <w:lang w:val="en-US" w:eastAsia="zh-CN"/>
                    </w:rPr>
                    <w:t>-20.29</w:t>
                  </w:r>
                </w:p>
              </w:tc>
              <w:tc>
                <w:tcPr>
                  <w:tcW w:w="317" w:type="pct"/>
                  <w:noWrap w:val="0"/>
                  <w:vAlign w:val="center"/>
                </w:tcPr>
                <w:p w14:paraId="55223AB8">
                  <w:pPr>
                    <w:jc w:val="center"/>
                    <w:rPr>
                      <w:rFonts w:hint="eastAsia" w:eastAsia="宋体"/>
                      <w:color w:val="auto"/>
                      <w:szCs w:val="21"/>
                      <w:lang w:val="en-US" w:eastAsia="zh-CN"/>
                    </w:rPr>
                  </w:pPr>
                  <w:r>
                    <w:rPr>
                      <w:rFonts w:hint="eastAsia"/>
                      <w:color w:val="auto"/>
                      <w:szCs w:val="21"/>
                      <w:lang w:val="en-US" w:eastAsia="zh-CN"/>
                    </w:rPr>
                    <w:t>1</w:t>
                  </w:r>
                </w:p>
              </w:tc>
              <w:tc>
                <w:tcPr>
                  <w:tcW w:w="289" w:type="pct"/>
                  <w:vMerge w:val="continue"/>
                  <w:noWrap w:val="0"/>
                  <w:vAlign w:val="center"/>
                </w:tcPr>
                <w:p w14:paraId="3BA5AD0F">
                  <w:pPr>
                    <w:jc w:val="center"/>
                    <w:rPr>
                      <w:rFonts w:hint="eastAsia"/>
                      <w:color w:val="auto"/>
                      <w:szCs w:val="21"/>
                    </w:rPr>
                  </w:pPr>
                </w:p>
              </w:tc>
              <w:tc>
                <w:tcPr>
                  <w:tcW w:w="517" w:type="pct"/>
                  <w:vMerge w:val="continue"/>
                  <w:noWrap w:val="0"/>
                  <w:vAlign w:val="center"/>
                </w:tcPr>
                <w:p w14:paraId="208BD7AC">
                  <w:pPr>
                    <w:jc w:val="center"/>
                    <w:rPr>
                      <w:rFonts w:hint="eastAsia"/>
                      <w:color w:val="auto"/>
                      <w:szCs w:val="21"/>
                    </w:rPr>
                  </w:pPr>
                </w:p>
              </w:tc>
            </w:tr>
            <w:tr w14:paraId="0B3121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408" w:type="pct"/>
                  <w:vMerge w:val="continue"/>
                  <w:noWrap w:val="0"/>
                  <w:vAlign w:val="center"/>
                </w:tcPr>
                <w:p w14:paraId="13EEA32F">
                  <w:pPr>
                    <w:pStyle w:val="16"/>
                    <w:jc w:val="center"/>
                    <w:rPr>
                      <w:rFonts w:hint="eastAsia"/>
                      <w:color w:val="auto"/>
                      <w:kern w:val="2"/>
                      <w:sz w:val="21"/>
                      <w:szCs w:val="21"/>
                    </w:rPr>
                  </w:pPr>
                </w:p>
              </w:tc>
              <w:tc>
                <w:tcPr>
                  <w:tcW w:w="388" w:type="pct"/>
                  <w:vMerge w:val="continue"/>
                  <w:noWrap w:val="0"/>
                  <w:vAlign w:val="center"/>
                </w:tcPr>
                <w:p w14:paraId="531347C2">
                  <w:pPr>
                    <w:pStyle w:val="57"/>
                    <w:spacing w:before="48" w:after="48"/>
                    <w:rPr>
                      <w:rFonts w:hint="eastAsia" w:ascii="Times New Roman" w:hAnsi="Times New Roman"/>
                      <w:color w:val="auto"/>
                      <w:szCs w:val="21"/>
                    </w:rPr>
                  </w:pPr>
                </w:p>
              </w:tc>
              <w:tc>
                <w:tcPr>
                  <w:tcW w:w="442" w:type="pct"/>
                  <w:noWrap w:val="0"/>
                  <w:vAlign w:val="center"/>
                </w:tcPr>
                <w:p w14:paraId="4F8750F8">
                  <w:pPr>
                    <w:pStyle w:val="57"/>
                    <w:spacing w:before="48" w:after="48"/>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90</w:t>
                  </w:r>
                </w:p>
              </w:tc>
              <w:tc>
                <w:tcPr>
                  <w:tcW w:w="680" w:type="pct"/>
                  <w:vMerge w:val="continue"/>
                  <w:noWrap w:val="0"/>
                  <w:vAlign w:val="center"/>
                </w:tcPr>
                <w:p w14:paraId="7EA7EB6E">
                  <w:pPr>
                    <w:jc w:val="center"/>
                    <w:rPr>
                      <w:rFonts w:hint="eastAsia"/>
                      <w:color w:val="auto"/>
                      <w:szCs w:val="21"/>
                    </w:rPr>
                  </w:pPr>
                </w:p>
              </w:tc>
              <w:tc>
                <w:tcPr>
                  <w:tcW w:w="487" w:type="pct"/>
                  <w:noWrap w:val="0"/>
                  <w:vAlign w:val="center"/>
                </w:tcPr>
                <w:p w14:paraId="443ECAB6">
                  <w:pPr>
                    <w:jc w:val="center"/>
                    <w:rPr>
                      <w:color w:val="auto"/>
                      <w:szCs w:val="21"/>
                    </w:rPr>
                  </w:pPr>
                  <w:r>
                    <w:rPr>
                      <w:rFonts w:hint="eastAsia"/>
                      <w:color w:val="auto"/>
                      <w:szCs w:val="21"/>
                    </w:rPr>
                    <w:t>10</w:t>
                  </w:r>
                </w:p>
              </w:tc>
              <w:tc>
                <w:tcPr>
                  <w:tcW w:w="649" w:type="pct"/>
                  <w:noWrap w:val="0"/>
                  <w:vAlign w:val="center"/>
                </w:tcPr>
                <w:p w14:paraId="1C6952FE">
                  <w:pPr>
                    <w:jc w:val="center"/>
                    <w:rPr>
                      <w:rFonts w:hint="default" w:eastAsia="宋体"/>
                      <w:color w:val="auto"/>
                      <w:szCs w:val="21"/>
                      <w:lang w:val="en-US" w:eastAsia="zh-CN"/>
                    </w:rPr>
                  </w:pPr>
                  <w:r>
                    <w:rPr>
                      <w:rFonts w:hint="eastAsia"/>
                      <w:color w:val="auto"/>
                      <w:szCs w:val="21"/>
                      <w:lang w:val="en-US" w:eastAsia="zh-CN"/>
                    </w:rPr>
                    <w:t>80</w:t>
                  </w:r>
                </w:p>
              </w:tc>
              <w:tc>
                <w:tcPr>
                  <w:tcW w:w="462" w:type="pct"/>
                  <w:noWrap w:val="0"/>
                  <w:vAlign w:val="center"/>
                </w:tcPr>
                <w:p w14:paraId="4B85C272">
                  <w:pPr>
                    <w:jc w:val="center"/>
                    <w:rPr>
                      <w:rFonts w:hint="default" w:eastAsia="宋体"/>
                      <w:color w:val="auto"/>
                      <w:szCs w:val="21"/>
                      <w:lang w:val="en-US" w:eastAsia="zh-CN"/>
                    </w:rPr>
                  </w:pPr>
                  <w:r>
                    <w:rPr>
                      <w:rFonts w:hint="eastAsia"/>
                      <w:color w:val="auto"/>
                      <w:szCs w:val="21"/>
                      <w:lang w:val="en-US" w:eastAsia="zh-CN"/>
                    </w:rPr>
                    <w:t>28.42</w:t>
                  </w:r>
                </w:p>
              </w:tc>
              <w:tc>
                <w:tcPr>
                  <w:tcW w:w="353" w:type="pct"/>
                  <w:noWrap w:val="0"/>
                  <w:vAlign w:val="center"/>
                </w:tcPr>
                <w:p w14:paraId="5D3BBC20">
                  <w:pPr>
                    <w:jc w:val="center"/>
                    <w:rPr>
                      <w:rFonts w:hint="default" w:eastAsia="宋体"/>
                      <w:color w:val="auto"/>
                      <w:szCs w:val="21"/>
                      <w:lang w:val="en-US" w:eastAsia="zh-CN"/>
                    </w:rPr>
                  </w:pPr>
                  <w:r>
                    <w:rPr>
                      <w:rFonts w:hint="eastAsia"/>
                      <w:color w:val="auto"/>
                      <w:szCs w:val="21"/>
                      <w:lang w:val="en-US" w:eastAsia="zh-CN"/>
                    </w:rPr>
                    <w:t>-6.93</w:t>
                  </w:r>
                </w:p>
              </w:tc>
              <w:tc>
                <w:tcPr>
                  <w:tcW w:w="317" w:type="pct"/>
                  <w:noWrap w:val="0"/>
                  <w:vAlign w:val="center"/>
                </w:tcPr>
                <w:p w14:paraId="7A6A6EE5">
                  <w:pPr>
                    <w:jc w:val="center"/>
                    <w:rPr>
                      <w:color w:val="auto"/>
                      <w:szCs w:val="21"/>
                    </w:rPr>
                  </w:pPr>
                  <w:r>
                    <w:rPr>
                      <w:rFonts w:hint="eastAsia"/>
                      <w:color w:val="auto"/>
                      <w:szCs w:val="21"/>
                    </w:rPr>
                    <w:t>1</w:t>
                  </w:r>
                </w:p>
              </w:tc>
              <w:tc>
                <w:tcPr>
                  <w:tcW w:w="289" w:type="pct"/>
                  <w:vMerge w:val="continue"/>
                  <w:noWrap w:val="0"/>
                  <w:vAlign w:val="center"/>
                </w:tcPr>
                <w:p w14:paraId="6EBBEA0E">
                  <w:pPr>
                    <w:jc w:val="center"/>
                    <w:rPr>
                      <w:rFonts w:hint="eastAsia"/>
                      <w:color w:val="auto"/>
                      <w:szCs w:val="21"/>
                    </w:rPr>
                  </w:pPr>
                </w:p>
              </w:tc>
              <w:tc>
                <w:tcPr>
                  <w:tcW w:w="517" w:type="pct"/>
                  <w:vMerge w:val="continue"/>
                  <w:noWrap w:val="0"/>
                  <w:vAlign w:val="center"/>
                </w:tcPr>
                <w:p w14:paraId="233C3AAB">
                  <w:pPr>
                    <w:jc w:val="center"/>
                    <w:rPr>
                      <w:rFonts w:hint="eastAsia"/>
                      <w:color w:val="auto"/>
                      <w:szCs w:val="21"/>
                    </w:rPr>
                  </w:pPr>
                </w:p>
              </w:tc>
            </w:tr>
            <w:tr w14:paraId="64FD89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408" w:type="pct"/>
                  <w:vMerge w:val="continue"/>
                  <w:noWrap w:val="0"/>
                  <w:vAlign w:val="center"/>
                </w:tcPr>
                <w:p w14:paraId="7AE954A2">
                  <w:pPr>
                    <w:pStyle w:val="16"/>
                    <w:jc w:val="center"/>
                    <w:rPr>
                      <w:rFonts w:hint="eastAsia"/>
                      <w:color w:val="auto"/>
                      <w:kern w:val="2"/>
                      <w:sz w:val="21"/>
                      <w:szCs w:val="21"/>
                    </w:rPr>
                  </w:pPr>
                </w:p>
              </w:tc>
              <w:tc>
                <w:tcPr>
                  <w:tcW w:w="388" w:type="pct"/>
                  <w:vMerge w:val="continue"/>
                  <w:noWrap w:val="0"/>
                  <w:vAlign w:val="center"/>
                </w:tcPr>
                <w:p w14:paraId="26F740F2">
                  <w:pPr>
                    <w:pStyle w:val="57"/>
                    <w:spacing w:before="48" w:after="48"/>
                    <w:rPr>
                      <w:rFonts w:hint="eastAsia" w:ascii="Times New Roman" w:hAnsi="Times New Roman"/>
                      <w:color w:val="auto"/>
                      <w:szCs w:val="21"/>
                    </w:rPr>
                  </w:pPr>
                </w:p>
              </w:tc>
              <w:tc>
                <w:tcPr>
                  <w:tcW w:w="442" w:type="pct"/>
                  <w:noWrap w:val="0"/>
                  <w:vAlign w:val="center"/>
                </w:tcPr>
                <w:p w14:paraId="1A5C5698">
                  <w:pPr>
                    <w:pStyle w:val="57"/>
                    <w:spacing w:before="48" w:after="48"/>
                    <w:rPr>
                      <w:rFonts w:hint="default" w:ascii="Times New Roman" w:hAnsi="Times New Roman" w:eastAsia="宋体"/>
                      <w:color w:val="auto"/>
                      <w:szCs w:val="21"/>
                      <w:lang w:val="en-US" w:eastAsia="zh-CN"/>
                    </w:rPr>
                  </w:pPr>
                  <w:r>
                    <w:rPr>
                      <w:rFonts w:hint="eastAsia" w:ascii="Times New Roman" w:hAnsi="Times New Roman"/>
                      <w:color w:val="auto"/>
                      <w:szCs w:val="21"/>
                      <w:lang w:val="en-US" w:eastAsia="zh-CN"/>
                    </w:rPr>
                    <w:t>90</w:t>
                  </w:r>
                </w:p>
              </w:tc>
              <w:tc>
                <w:tcPr>
                  <w:tcW w:w="680" w:type="pct"/>
                  <w:vMerge w:val="continue"/>
                  <w:noWrap w:val="0"/>
                  <w:vAlign w:val="center"/>
                </w:tcPr>
                <w:p w14:paraId="01108603">
                  <w:pPr>
                    <w:jc w:val="center"/>
                    <w:rPr>
                      <w:rFonts w:hint="eastAsia"/>
                      <w:color w:val="auto"/>
                      <w:szCs w:val="21"/>
                    </w:rPr>
                  </w:pPr>
                </w:p>
              </w:tc>
              <w:tc>
                <w:tcPr>
                  <w:tcW w:w="487" w:type="pct"/>
                  <w:noWrap w:val="0"/>
                  <w:vAlign w:val="center"/>
                </w:tcPr>
                <w:p w14:paraId="19E2ECC3">
                  <w:pPr>
                    <w:jc w:val="center"/>
                    <w:rPr>
                      <w:color w:val="auto"/>
                      <w:szCs w:val="21"/>
                    </w:rPr>
                  </w:pPr>
                  <w:r>
                    <w:rPr>
                      <w:rFonts w:hint="eastAsia"/>
                      <w:color w:val="auto"/>
                      <w:szCs w:val="21"/>
                    </w:rPr>
                    <w:t>10</w:t>
                  </w:r>
                </w:p>
              </w:tc>
              <w:tc>
                <w:tcPr>
                  <w:tcW w:w="649" w:type="pct"/>
                  <w:noWrap w:val="0"/>
                  <w:vAlign w:val="center"/>
                </w:tcPr>
                <w:p w14:paraId="0EC9C1CB">
                  <w:pPr>
                    <w:jc w:val="center"/>
                    <w:rPr>
                      <w:rFonts w:hint="default" w:eastAsia="宋体"/>
                      <w:color w:val="auto"/>
                      <w:szCs w:val="21"/>
                      <w:lang w:val="en-US" w:eastAsia="zh-CN"/>
                    </w:rPr>
                  </w:pPr>
                  <w:r>
                    <w:rPr>
                      <w:rFonts w:hint="eastAsia"/>
                      <w:color w:val="auto"/>
                      <w:szCs w:val="21"/>
                      <w:lang w:val="en-US" w:eastAsia="zh-CN"/>
                    </w:rPr>
                    <w:t>80</w:t>
                  </w:r>
                </w:p>
              </w:tc>
              <w:tc>
                <w:tcPr>
                  <w:tcW w:w="462" w:type="pct"/>
                  <w:noWrap w:val="0"/>
                  <w:vAlign w:val="center"/>
                </w:tcPr>
                <w:p w14:paraId="10DA355A">
                  <w:pPr>
                    <w:jc w:val="center"/>
                    <w:rPr>
                      <w:rFonts w:hint="default" w:eastAsia="宋体"/>
                      <w:color w:val="auto"/>
                      <w:kern w:val="2"/>
                      <w:sz w:val="21"/>
                      <w:szCs w:val="21"/>
                      <w:lang w:val="en-US" w:eastAsia="zh-CN" w:bidi="ar-SA"/>
                    </w:rPr>
                  </w:pPr>
                  <w:r>
                    <w:rPr>
                      <w:rFonts w:hint="eastAsia"/>
                      <w:color w:val="auto"/>
                      <w:szCs w:val="21"/>
                      <w:lang w:val="en-US" w:eastAsia="zh-CN"/>
                    </w:rPr>
                    <w:t>34.53</w:t>
                  </w:r>
                </w:p>
              </w:tc>
              <w:tc>
                <w:tcPr>
                  <w:tcW w:w="353" w:type="pct"/>
                  <w:noWrap w:val="0"/>
                  <w:vAlign w:val="center"/>
                </w:tcPr>
                <w:p w14:paraId="4F5E1346">
                  <w:pPr>
                    <w:jc w:val="center"/>
                    <w:rPr>
                      <w:rFonts w:hint="default" w:eastAsia="宋体"/>
                      <w:color w:val="auto"/>
                      <w:kern w:val="2"/>
                      <w:sz w:val="21"/>
                      <w:szCs w:val="21"/>
                      <w:lang w:val="en-US" w:eastAsia="zh-CN" w:bidi="ar-SA"/>
                    </w:rPr>
                  </w:pPr>
                  <w:r>
                    <w:rPr>
                      <w:rFonts w:hint="eastAsia"/>
                      <w:color w:val="auto"/>
                      <w:szCs w:val="21"/>
                      <w:lang w:val="en-US" w:eastAsia="zh-CN"/>
                    </w:rPr>
                    <w:t>-7.02</w:t>
                  </w:r>
                </w:p>
              </w:tc>
              <w:tc>
                <w:tcPr>
                  <w:tcW w:w="317" w:type="pct"/>
                  <w:noWrap w:val="0"/>
                  <w:vAlign w:val="center"/>
                </w:tcPr>
                <w:p w14:paraId="2DD82E80">
                  <w:pPr>
                    <w:jc w:val="center"/>
                    <w:rPr>
                      <w:rFonts w:hint="eastAsia"/>
                      <w:color w:val="auto"/>
                      <w:szCs w:val="21"/>
                    </w:rPr>
                  </w:pPr>
                  <w:r>
                    <w:rPr>
                      <w:rFonts w:hint="eastAsia"/>
                      <w:color w:val="auto"/>
                      <w:szCs w:val="21"/>
                    </w:rPr>
                    <w:t>1</w:t>
                  </w:r>
                </w:p>
              </w:tc>
              <w:tc>
                <w:tcPr>
                  <w:tcW w:w="289" w:type="pct"/>
                  <w:vMerge w:val="continue"/>
                  <w:noWrap w:val="0"/>
                  <w:vAlign w:val="center"/>
                </w:tcPr>
                <w:p w14:paraId="360C4CAA">
                  <w:pPr>
                    <w:jc w:val="center"/>
                    <w:rPr>
                      <w:rFonts w:hint="eastAsia"/>
                      <w:color w:val="auto"/>
                      <w:szCs w:val="21"/>
                    </w:rPr>
                  </w:pPr>
                </w:p>
              </w:tc>
              <w:tc>
                <w:tcPr>
                  <w:tcW w:w="517" w:type="pct"/>
                  <w:vMerge w:val="continue"/>
                  <w:noWrap w:val="0"/>
                  <w:vAlign w:val="center"/>
                </w:tcPr>
                <w:p w14:paraId="60E66790">
                  <w:pPr>
                    <w:jc w:val="center"/>
                    <w:rPr>
                      <w:rFonts w:hint="eastAsia"/>
                      <w:color w:val="auto"/>
                      <w:szCs w:val="21"/>
                    </w:rPr>
                  </w:pPr>
                </w:p>
              </w:tc>
            </w:tr>
            <w:tr w14:paraId="6CD7E7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000" w:type="pct"/>
                  <w:gridSpan w:val="11"/>
                  <w:noWrap w:val="0"/>
                  <w:vAlign w:val="center"/>
                </w:tcPr>
                <w:p w14:paraId="562C096E">
                  <w:pPr>
                    <w:rPr>
                      <w:rFonts w:hint="eastAsia" w:eastAsia="宋体"/>
                      <w:color w:val="auto"/>
                      <w:szCs w:val="21"/>
                      <w:lang w:val="en-US" w:eastAsia="zh-CN"/>
                    </w:rPr>
                  </w:pPr>
                  <w:r>
                    <w:rPr>
                      <w:rFonts w:hint="eastAsia"/>
                      <w:color w:val="auto"/>
                      <w:szCs w:val="21"/>
                    </w:rPr>
                    <w:t>注：坐标原点为</w:t>
                  </w:r>
                  <w:r>
                    <w:rPr>
                      <w:rFonts w:hint="eastAsia"/>
                      <w:color w:val="auto"/>
                      <w:szCs w:val="21"/>
                      <w:lang w:val="en-US" w:eastAsia="zh-CN"/>
                    </w:rPr>
                    <w:t>厂区西北角</w:t>
                  </w:r>
                </w:p>
              </w:tc>
            </w:tr>
          </w:tbl>
          <w:p w14:paraId="1F43A1DC">
            <w:pPr>
              <w:pStyle w:val="6"/>
              <w:spacing w:before="120" w:beforeLines="50" w:line="360" w:lineRule="auto"/>
              <w:ind w:firstLine="480" w:firstLineChars="200"/>
              <w:rPr>
                <w:rFonts w:hint="eastAsia"/>
                <w:color w:val="auto"/>
                <w:szCs w:val="24"/>
              </w:rPr>
            </w:pPr>
            <w:r>
              <w:rPr>
                <w:rFonts w:hint="eastAsia"/>
                <w:color w:val="auto"/>
                <w:szCs w:val="24"/>
              </w:rPr>
              <w:t>（2）本项目已采取降噪措施</w:t>
            </w:r>
          </w:p>
          <w:p w14:paraId="549739BE">
            <w:pPr>
              <w:pStyle w:val="6"/>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Cs w:val="24"/>
              </w:rPr>
            </w:pPr>
            <w:r>
              <w:rPr>
                <w:rFonts w:hint="eastAsia"/>
                <w:color w:val="auto"/>
                <w:szCs w:val="24"/>
              </w:rPr>
              <w:t>①选用了行业内低噪声设备，从源头削减噪声；</w:t>
            </w:r>
          </w:p>
          <w:p w14:paraId="0F87A974">
            <w:pPr>
              <w:pStyle w:val="6"/>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Cs w:val="24"/>
              </w:rPr>
            </w:pPr>
            <w:r>
              <w:rPr>
                <w:rFonts w:hint="eastAsia"/>
                <w:color w:val="auto"/>
                <w:szCs w:val="24"/>
              </w:rPr>
              <w:t>②厂房合理布局，避免噪声设备集中放置；</w:t>
            </w:r>
          </w:p>
          <w:p w14:paraId="3023022D">
            <w:pPr>
              <w:pStyle w:val="6"/>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Cs w:val="24"/>
              </w:rPr>
            </w:pPr>
            <w:r>
              <w:rPr>
                <w:rFonts w:hint="eastAsia"/>
                <w:color w:val="auto"/>
                <w:szCs w:val="24"/>
              </w:rPr>
              <w:t>通过以上措施可使其噪声强度降低</w:t>
            </w:r>
            <w:r>
              <w:rPr>
                <w:rFonts w:hint="eastAsia"/>
                <w:color w:val="auto"/>
                <w:szCs w:val="24"/>
                <w:lang w:val="en-US" w:eastAsia="zh-CN"/>
              </w:rPr>
              <w:t>10</w:t>
            </w:r>
            <w:r>
              <w:rPr>
                <w:rFonts w:hint="eastAsia"/>
                <w:color w:val="auto"/>
                <w:szCs w:val="24"/>
              </w:rPr>
              <w:t>dB（A）。</w:t>
            </w:r>
          </w:p>
          <w:p w14:paraId="3181FBEE">
            <w:pPr>
              <w:pStyle w:val="6"/>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color w:val="auto"/>
                <w:szCs w:val="24"/>
                <w:lang w:val="en-US" w:eastAsia="zh-CN"/>
              </w:rPr>
            </w:pPr>
            <w:r>
              <w:rPr>
                <w:rFonts w:hint="eastAsia"/>
                <w:color w:val="auto"/>
                <w:szCs w:val="24"/>
                <w:lang w:val="en-US" w:eastAsia="zh-CN"/>
              </w:rPr>
              <w:t>洗车房噪声源为本次新增，本次仅预测拟新增设备的贡献值，各声源声级值详见下表。</w:t>
            </w:r>
          </w:p>
          <w:p w14:paraId="684BB39D">
            <w:pPr>
              <w:tabs>
                <w:tab w:val="left" w:pos="3870"/>
              </w:tabs>
              <w:jc w:val="center"/>
              <w:rPr>
                <w:rFonts w:hint="eastAsia"/>
                <w:b/>
                <w:color w:val="auto"/>
                <w:sz w:val="24"/>
              </w:rPr>
            </w:pPr>
            <w:r>
              <w:rPr>
                <w:b/>
                <w:color w:val="auto"/>
                <w:sz w:val="24"/>
              </w:rPr>
              <w:t>表</w:t>
            </w:r>
            <w:r>
              <w:rPr>
                <w:rFonts w:hint="eastAsia"/>
                <w:b/>
                <w:color w:val="auto"/>
                <w:sz w:val="24"/>
              </w:rPr>
              <w:t>4-</w:t>
            </w:r>
            <w:r>
              <w:rPr>
                <w:rFonts w:hint="eastAsia"/>
                <w:b/>
                <w:color w:val="auto"/>
                <w:sz w:val="24"/>
                <w:lang w:val="en-US" w:eastAsia="zh-CN"/>
              </w:rPr>
              <w:t>11</w:t>
            </w:r>
            <w:r>
              <w:rPr>
                <w:b/>
                <w:color w:val="auto"/>
                <w:sz w:val="24"/>
              </w:rPr>
              <w:t xml:space="preserve"> </w:t>
            </w:r>
            <w:r>
              <w:rPr>
                <w:rFonts w:hint="eastAsia"/>
                <w:b/>
                <w:color w:val="auto"/>
                <w:sz w:val="24"/>
              </w:rPr>
              <w:t xml:space="preserve"> </w:t>
            </w:r>
            <w:r>
              <w:rPr>
                <w:b/>
                <w:bCs/>
                <w:color w:val="auto"/>
                <w:sz w:val="24"/>
              </w:rPr>
              <w:t>项目运营期噪声源</w:t>
            </w:r>
            <w:r>
              <w:rPr>
                <w:rFonts w:hint="eastAsia"/>
                <w:b/>
                <w:bCs/>
                <w:color w:val="auto"/>
                <w:sz w:val="24"/>
              </w:rPr>
              <w:t>调查清单</w:t>
            </w:r>
            <w:r>
              <w:rPr>
                <w:rFonts w:hint="eastAsia"/>
                <w:b/>
                <w:color w:val="auto"/>
                <w:sz w:val="24"/>
              </w:rPr>
              <w:t>（室内声源）</w:t>
            </w:r>
          </w:p>
          <w:tbl>
            <w:tblPr>
              <w:tblStyle w:val="25"/>
              <w:tblW w:w="504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56"/>
              <w:gridCol w:w="624"/>
              <w:gridCol w:w="711"/>
              <w:gridCol w:w="1093"/>
              <w:gridCol w:w="782"/>
              <w:gridCol w:w="1043"/>
              <w:gridCol w:w="743"/>
              <w:gridCol w:w="568"/>
              <w:gridCol w:w="509"/>
              <w:gridCol w:w="465"/>
              <w:gridCol w:w="831"/>
            </w:tblGrid>
            <w:tr w14:paraId="22510C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408" w:type="pct"/>
                  <w:vMerge w:val="restart"/>
                  <w:noWrap w:val="0"/>
                  <w:vAlign w:val="center"/>
                </w:tcPr>
                <w:p w14:paraId="4CAAF2CC">
                  <w:pPr>
                    <w:jc w:val="center"/>
                    <w:rPr>
                      <w:b/>
                      <w:bCs/>
                      <w:color w:val="auto"/>
                      <w:szCs w:val="21"/>
                    </w:rPr>
                  </w:pPr>
                  <w:r>
                    <w:rPr>
                      <w:b/>
                      <w:bCs/>
                      <w:color w:val="auto"/>
                      <w:szCs w:val="21"/>
                    </w:rPr>
                    <w:t>声源</w:t>
                  </w:r>
                  <w:r>
                    <w:rPr>
                      <w:rFonts w:hint="eastAsia"/>
                      <w:b/>
                      <w:bCs/>
                      <w:color w:val="auto"/>
                      <w:szCs w:val="21"/>
                    </w:rPr>
                    <w:t>名称</w:t>
                  </w:r>
                </w:p>
              </w:tc>
              <w:tc>
                <w:tcPr>
                  <w:tcW w:w="388" w:type="pct"/>
                  <w:vMerge w:val="restart"/>
                  <w:noWrap w:val="0"/>
                  <w:vAlign w:val="center"/>
                </w:tcPr>
                <w:p w14:paraId="1566255B">
                  <w:pPr>
                    <w:adjustRightInd w:val="0"/>
                    <w:snapToGrid w:val="0"/>
                    <w:jc w:val="center"/>
                    <w:rPr>
                      <w:rFonts w:eastAsia="Times New Roman"/>
                      <w:b/>
                      <w:bCs/>
                      <w:color w:val="auto"/>
                      <w:szCs w:val="21"/>
                      <w:lang w:val="zh-CN" w:bidi="zh-CN"/>
                    </w:rPr>
                  </w:pPr>
                  <w:r>
                    <w:rPr>
                      <w:rFonts w:eastAsia="Times New Roman"/>
                      <w:b/>
                      <w:bCs/>
                      <w:color w:val="auto"/>
                      <w:szCs w:val="21"/>
                      <w:lang w:val="zh-CN" w:bidi="zh-CN"/>
                    </w:rPr>
                    <w:t>数量</w:t>
                  </w:r>
                </w:p>
              </w:tc>
              <w:tc>
                <w:tcPr>
                  <w:tcW w:w="442" w:type="pct"/>
                  <w:vMerge w:val="restart"/>
                  <w:noWrap w:val="0"/>
                  <w:vAlign w:val="center"/>
                </w:tcPr>
                <w:p w14:paraId="05BE5254">
                  <w:pPr>
                    <w:jc w:val="center"/>
                    <w:rPr>
                      <w:b/>
                      <w:bCs/>
                      <w:color w:val="auto"/>
                      <w:szCs w:val="21"/>
                    </w:rPr>
                  </w:pPr>
                  <w:r>
                    <w:rPr>
                      <w:rFonts w:hint="eastAsia"/>
                      <w:b/>
                      <w:bCs/>
                      <w:color w:val="auto"/>
                      <w:szCs w:val="21"/>
                    </w:rPr>
                    <w:t>设备声源源强</w:t>
                  </w:r>
                  <w:r>
                    <w:rPr>
                      <w:b/>
                      <w:bCs/>
                      <w:color w:val="auto"/>
                      <w:szCs w:val="21"/>
                    </w:rPr>
                    <w:t>dB（A）</w:t>
                  </w:r>
                </w:p>
              </w:tc>
              <w:tc>
                <w:tcPr>
                  <w:tcW w:w="1168" w:type="pct"/>
                  <w:gridSpan w:val="2"/>
                  <w:noWrap w:val="0"/>
                  <w:vAlign w:val="center"/>
                </w:tcPr>
                <w:p w14:paraId="30C642AE">
                  <w:pPr>
                    <w:jc w:val="center"/>
                    <w:rPr>
                      <w:rFonts w:hint="eastAsia"/>
                      <w:b/>
                      <w:bCs/>
                      <w:color w:val="auto"/>
                      <w:szCs w:val="21"/>
                    </w:rPr>
                  </w:pPr>
                  <w:r>
                    <w:rPr>
                      <w:rFonts w:hint="eastAsia"/>
                      <w:b/>
                      <w:bCs/>
                      <w:color w:val="auto"/>
                      <w:szCs w:val="21"/>
                    </w:rPr>
                    <w:t>降噪措施</w:t>
                  </w:r>
                </w:p>
              </w:tc>
              <w:tc>
                <w:tcPr>
                  <w:tcW w:w="649" w:type="pct"/>
                  <w:vMerge w:val="restart"/>
                  <w:noWrap w:val="0"/>
                  <w:vAlign w:val="center"/>
                </w:tcPr>
                <w:p w14:paraId="3AB8E8B0">
                  <w:pPr>
                    <w:jc w:val="center"/>
                    <w:rPr>
                      <w:rFonts w:hint="eastAsia"/>
                      <w:b/>
                      <w:bCs/>
                      <w:color w:val="auto"/>
                      <w:szCs w:val="21"/>
                    </w:rPr>
                  </w:pPr>
                  <w:r>
                    <w:rPr>
                      <w:rFonts w:hint="eastAsia"/>
                      <w:b/>
                      <w:bCs/>
                      <w:color w:val="auto"/>
                      <w:szCs w:val="21"/>
                    </w:rPr>
                    <w:t>降噪后声源源强dB（A）</w:t>
                  </w:r>
                </w:p>
              </w:tc>
              <w:tc>
                <w:tcPr>
                  <w:tcW w:w="1133" w:type="pct"/>
                  <w:gridSpan w:val="3"/>
                  <w:noWrap w:val="0"/>
                  <w:vAlign w:val="center"/>
                </w:tcPr>
                <w:p w14:paraId="2603BEBF">
                  <w:pPr>
                    <w:jc w:val="center"/>
                    <w:rPr>
                      <w:rFonts w:hint="eastAsia"/>
                      <w:b/>
                      <w:bCs/>
                      <w:color w:val="auto"/>
                      <w:szCs w:val="21"/>
                    </w:rPr>
                  </w:pPr>
                  <w:r>
                    <w:rPr>
                      <w:rFonts w:hint="eastAsia"/>
                      <w:b/>
                      <w:bCs/>
                      <w:color w:val="auto"/>
                      <w:szCs w:val="21"/>
                    </w:rPr>
                    <w:t>空间相对位置/m</w:t>
                  </w:r>
                </w:p>
              </w:tc>
              <w:tc>
                <w:tcPr>
                  <w:tcW w:w="289" w:type="pct"/>
                  <w:vMerge w:val="restart"/>
                  <w:noWrap w:val="0"/>
                  <w:vAlign w:val="center"/>
                </w:tcPr>
                <w:p w14:paraId="6910B158">
                  <w:pPr>
                    <w:adjustRightInd w:val="0"/>
                    <w:snapToGrid w:val="0"/>
                    <w:jc w:val="center"/>
                    <w:rPr>
                      <w:b/>
                      <w:bCs/>
                      <w:color w:val="auto"/>
                      <w:szCs w:val="21"/>
                      <w:lang w:val="zh-CN" w:bidi="zh-CN"/>
                    </w:rPr>
                  </w:pPr>
                  <w:r>
                    <w:rPr>
                      <w:rFonts w:eastAsia="Times New Roman"/>
                      <w:b/>
                      <w:bCs/>
                      <w:color w:val="auto"/>
                      <w:szCs w:val="21"/>
                      <w:lang w:bidi="zh-CN"/>
                    </w:rPr>
                    <w:t>运行时</w:t>
                  </w:r>
                  <w:r>
                    <w:rPr>
                      <w:rFonts w:hint="eastAsia" w:eastAsia="Times New Roman"/>
                      <w:b/>
                      <w:bCs/>
                      <w:color w:val="auto"/>
                      <w:szCs w:val="21"/>
                      <w:lang w:bidi="zh-CN"/>
                    </w:rPr>
                    <w:t>段</w:t>
                  </w:r>
                </w:p>
              </w:tc>
              <w:tc>
                <w:tcPr>
                  <w:tcW w:w="517" w:type="pct"/>
                  <w:vMerge w:val="restart"/>
                  <w:noWrap w:val="0"/>
                  <w:vAlign w:val="center"/>
                </w:tcPr>
                <w:p w14:paraId="21404B68">
                  <w:pPr>
                    <w:adjustRightInd w:val="0"/>
                    <w:snapToGrid w:val="0"/>
                    <w:jc w:val="center"/>
                    <w:rPr>
                      <w:rFonts w:eastAsia="Times New Roman"/>
                      <w:b/>
                      <w:bCs/>
                      <w:color w:val="auto"/>
                      <w:szCs w:val="21"/>
                      <w:lang w:bidi="zh-CN"/>
                    </w:rPr>
                  </w:pPr>
                  <w:r>
                    <w:rPr>
                      <w:b/>
                      <w:bCs/>
                      <w:color w:val="auto"/>
                      <w:szCs w:val="21"/>
                      <w:lang w:val="zh-CN" w:bidi="zh-CN"/>
                    </w:rPr>
                    <w:t>建筑物插入损失/dB(A)</w:t>
                  </w:r>
                </w:p>
              </w:tc>
            </w:tr>
            <w:tr w14:paraId="1ED951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408" w:type="pct"/>
                  <w:vMerge w:val="continue"/>
                  <w:noWrap w:val="0"/>
                  <w:vAlign w:val="center"/>
                </w:tcPr>
                <w:p w14:paraId="7A298DF1">
                  <w:pPr>
                    <w:adjustRightInd w:val="0"/>
                    <w:snapToGrid w:val="0"/>
                    <w:jc w:val="center"/>
                    <w:rPr>
                      <w:rFonts w:eastAsia="Times New Roman"/>
                      <w:color w:val="auto"/>
                      <w:szCs w:val="21"/>
                      <w:lang w:val="zh-CN" w:bidi="zh-CN"/>
                    </w:rPr>
                  </w:pPr>
                </w:p>
              </w:tc>
              <w:tc>
                <w:tcPr>
                  <w:tcW w:w="388" w:type="pct"/>
                  <w:vMerge w:val="continue"/>
                  <w:noWrap w:val="0"/>
                  <w:vAlign w:val="center"/>
                </w:tcPr>
                <w:p w14:paraId="2584C5F6">
                  <w:pPr>
                    <w:adjustRightInd w:val="0"/>
                    <w:snapToGrid w:val="0"/>
                    <w:jc w:val="center"/>
                    <w:rPr>
                      <w:rFonts w:eastAsia="Times New Roman"/>
                      <w:color w:val="auto"/>
                      <w:szCs w:val="21"/>
                      <w:lang w:val="zh-CN" w:bidi="zh-CN"/>
                    </w:rPr>
                  </w:pPr>
                </w:p>
              </w:tc>
              <w:tc>
                <w:tcPr>
                  <w:tcW w:w="442" w:type="pct"/>
                  <w:vMerge w:val="continue"/>
                  <w:noWrap w:val="0"/>
                  <w:vAlign w:val="center"/>
                </w:tcPr>
                <w:p w14:paraId="44EAE1D6">
                  <w:pPr>
                    <w:jc w:val="center"/>
                    <w:rPr>
                      <w:rFonts w:eastAsia="Times New Roman"/>
                      <w:color w:val="auto"/>
                      <w:szCs w:val="21"/>
                      <w:lang w:bidi="zh-CN"/>
                    </w:rPr>
                  </w:pPr>
                </w:p>
              </w:tc>
              <w:tc>
                <w:tcPr>
                  <w:tcW w:w="680" w:type="pct"/>
                  <w:vMerge w:val="restart"/>
                  <w:noWrap w:val="0"/>
                  <w:vAlign w:val="center"/>
                </w:tcPr>
                <w:p w14:paraId="0EA2A3C6">
                  <w:pPr>
                    <w:adjustRightInd w:val="0"/>
                    <w:snapToGrid w:val="0"/>
                    <w:jc w:val="center"/>
                    <w:rPr>
                      <w:rFonts w:eastAsia="Times New Roman"/>
                      <w:color w:val="auto"/>
                      <w:szCs w:val="21"/>
                      <w:lang w:bidi="zh-CN"/>
                    </w:rPr>
                  </w:pPr>
                  <w:r>
                    <w:rPr>
                      <w:rFonts w:hint="eastAsia"/>
                      <w:b/>
                      <w:bCs/>
                      <w:color w:val="auto"/>
                      <w:szCs w:val="21"/>
                    </w:rPr>
                    <w:t>声源控制</w:t>
                  </w:r>
                  <w:r>
                    <w:rPr>
                      <w:b/>
                      <w:bCs/>
                      <w:color w:val="auto"/>
                      <w:szCs w:val="21"/>
                    </w:rPr>
                    <w:t>措施</w:t>
                  </w:r>
                </w:p>
              </w:tc>
              <w:tc>
                <w:tcPr>
                  <w:tcW w:w="487" w:type="pct"/>
                  <w:noWrap w:val="0"/>
                  <w:vAlign w:val="center"/>
                </w:tcPr>
                <w:p w14:paraId="5C655D13">
                  <w:pPr>
                    <w:adjustRightInd w:val="0"/>
                    <w:snapToGrid w:val="0"/>
                    <w:jc w:val="center"/>
                    <w:rPr>
                      <w:rFonts w:eastAsia="Times New Roman"/>
                      <w:color w:val="auto"/>
                      <w:szCs w:val="21"/>
                      <w:lang w:bidi="zh-CN"/>
                    </w:rPr>
                  </w:pPr>
                  <w:r>
                    <w:rPr>
                      <w:rFonts w:hint="eastAsia" w:eastAsia="Times New Roman"/>
                      <w:b/>
                      <w:bCs/>
                      <w:color w:val="auto"/>
                      <w:szCs w:val="21"/>
                      <w:lang w:bidi="zh-CN"/>
                    </w:rPr>
                    <w:t>降噪效果</w:t>
                  </w:r>
                </w:p>
              </w:tc>
              <w:tc>
                <w:tcPr>
                  <w:tcW w:w="649" w:type="pct"/>
                  <w:vMerge w:val="continue"/>
                  <w:noWrap w:val="0"/>
                  <w:vAlign w:val="center"/>
                </w:tcPr>
                <w:p w14:paraId="2C14BA82">
                  <w:pPr>
                    <w:adjustRightInd w:val="0"/>
                    <w:snapToGrid w:val="0"/>
                    <w:jc w:val="center"/>
                    <w:rPr>
                      <w:rFonts w:hint="eastAsia" w:eastAsia="Times New Roman"/>
                      <w:color w:val="auto"/>
                      <w:szCs w:val="21"/>
                      <w:lang w:bidi="zh-CN"/>
                    </w:rPr>
                  </w:pPr>
                </w:p>
              </w:tc>
              <w:tc>
                <w:tcPr>
                  <w:tcW w:w="743" w:type="dxa"/>
                  <w:noWrap w:val="0"/>
                  <w:vAlign w:val="center"/>
                </w:tcPr>
                <w:p w14:paraId="590A3180">
                  <w:pPr>
                    <w:adjustRightInd w:val="0"/>
                    <w:snapToGrid w:val="0"/>
                    <w:jc w:val="center"/>
                    <w:rPr>
                      <w:rFonts w:eastAsia="Times New Roman"/>
                      <w:b/>
                      <w:bCs/>
                      <w:color w:val="auto"/>
                      <w:szCs w:val="21"/>
                      <w:lang w:bidi="zh-CN"/>
                    </w:rPr>
                  </w:pPr>
                  <w:r>
                    <w:rPr>
                      <w:rFonts w:hint="eastAsia" w:eastAsia="Times New Roman"/>
                      <w:b/>
                      <w:bCs/>
                      <w:color w:val="auto"/>
                      <w:szCs w:val="21"/>
                      <w:lang w:bidi="zh-CN"/>
                    </w:rPr>
                    <w:t>X</w:t>
                  </w:r>
                </w:p>
              </w:tc>
              <w:tc>
                <w:tcPr>
                  <w:tcW w:w="568" w:type="dxa"/>
                  <w:noWrap w:val="0"/>
                  <w:vAlign w:val="center"/>
                </w:tcPr>
                <w:p w14:paraId="18CC2BB3">
                  <w:pPr>
                    <w:adjustRightInd w:val="0"/>
                    <w:snapToGrid w:val="0"/>
                    <w:jc w:val="center"/>
                    <w:rPr>
                      <w:rFonts w:eastAsia="Times New Roman"/>
                      <w:b/>
                      <w:bCs/>
                      <w:color w:val="auto"/>
                      <w:szCs w:val="21"/>
                      <w:lang w:bidi="zh-CN"/>
                    </w:rPr>
                  </w:pPr>
                  <w:r>
                    <w:rPr>
                      <w:rFonts w:hint="eastAsia" w:eastAsia="Times New Roman"/>
                      <w:b/>
                      <w:bCs/>
                      <w:color w:val="auto"/>
                      <w:szCs w:val="21"/>
                      <w:lang w:bidi="zh-CN"/>
                    </w:rPr>
                    <w:t>Y</w:t>
                  </w:r>
                </w:p>
              </w:tc>
              <w:tc>
                <w:tcPr>
                  <w:tcW w:w="317" w:type="pct"/>
                  <w:noWrap w:val="0"/>
                  <w:vAlign w:val="center"/>
                </w:tcPr>
                <w:p w14:paraId="5952FA41">
                  <w:pPr>
                    <w:adjustRightInd w:val="0"/>
                    <w:snapToGrid w:val="0"/>
                    <w:jc w:val="center"/>
                    <w:rPr>
                      <w:rFonts w:eastAsia="Times New Roman"/>
                      <w:b/>
                      <w:bCs/>
                      <w:color w:val="auto"/>
                      <w:szCs w:val="21"/>
                      <w:lang w:bidi="zh-CN"/>
                    </w:rPr>
                  </w:pPr>
                  <w:r>
                    <w:rPr>
                      <w:rFonts w:hint="eastAsia" w:eastAsia="Times New Roman"/>
                      <w:b/>
                      <w:bCs/>
                      <w:color w:val="auto"/>
                      <w:szCs w:val="21"/>
                      <w:lang w:bidi="zh-CN"/>
                    </w:rPr>
                    <w:t>Z</w:t>
                  </w:r>
                </w:p>
              </w:tc>
              <w:tc>
                <w:tcPr>
                  <w:tcW w:w="289" w:type="pct"/>
                  <w:vMerge w:val="continue"/>
                  <w:noWrap w:val="0"/>
                  <w:vAlign w:val="center"/>
                </w:tcPr>
                <w:p w14:paraId="09D7F90D">
                  <w:pPr>
                    <w:adjustRightInd w:val="0"/>
                    <w:snapToGrid w:val="0"/>
                    <w:jc w:val="center"/>
                    <w:rPr>
                      <w:rFonts w:eastAsia="Times New Roman"/>
                      <w:color w:val="auto"/>
                      <w:szCs w:val="21"/>
                      <w:lang w:bidi="zh-CN"/>
                    </w:rPr>
                  </w:pPr>
                </w:p>
              </w:tc>
              <w:tc>
                <w:tcPr>
                  <w:tcW w:w="517" w:type="pct"/>
                  <w:vMerge w:val="continue"/>
                  <w:noWrap w:val="0"/>
                  <w:vAlign w:val="center"/>
                </w:tcPr>
                <w:p w14:paraId="12D84D26">
                  <w:pPr>
                    <w:adjustRightInd w:val="0"/>
                    <w:snapToGrid w:val="0"/>
                    <w:jc w:val="center"/>
                    <w:rPr>
                      <w:rFonts w:eastAsia="Times New Roman"/>
                      <w:color w:val="auto"/>
                      <w:szCs w:val="21"/>
                      <w:lang w:bidi="zh-CN"/>
                    </w:rPr>
                  </w:pPr>
                </w:p>
              </w:tc>
            </w:tr>
            <w:tr w14:paraId="25E017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408" w:type="pct"/>
                  <w:noWrap w:val="0"/>
                  <w:vAlign w:val="center"/>
                </w:tcPr>
                <w:p w14:paraId="4B81D745">
                  <w:pPr>
                    <w:pStyle w:val="16"/>
                    <w:jc w:val="center"/>
                    <w:rPr>
                      <w:rFonts w:hint="default"/>
                      <w:color w:val="auto"/>
                      <w:kern w:val="2"/>
                      <w:sz w:val="21"/>
                      <w:szCs w:val="21"/>
                      <w:lang w:val="en-US" w:eastAsia="zh-CN"/>
                    </w:rPr>
                  </w:pPr>
                  <w:r>
                    <w:rPr>
                      <w:rFonts w:hint="eastAsia"/>
                      <w:color w:val="auto"/>
                      <w:kern w:val="2"/>
                      <w:sz w:val="21"/>
                      <w:szCs w:val="21"/>
                      <w:lang w:val="en-US" w:eastAsia="zh-CN"/>
                    </w:rPr>
                    <w:t>洗车循环水设备</w:t>
                  </w:r>
                </w:p>
              </w:tc>
              <w:tc>
                <w:tcPr>
                  <w:tcW w:w="388" w:type="pct"/>
                  <w:noWrap w:val="0"/>
                  <w:vAlign w:val="center"/>
                </w:tcPr>
                <w:p w14:paraId="546D3F85">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1</w:t>
                  </w:r>
                </w:p>
              </w:tc>
              <w:tc>
                <w:tcPr>
                  <w:tcW w:w="442" w:type="pct"/>
                  <w:noWrap w:val="0"/>
                  <w:vAlign w:val="center"/>
                </w:tcPr>
                <w:p w14:paraId="672CF4AA">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60</w:t>
                  </w:r>
                </w:p>
              </w:tc>
              <w:tc>
                <w:tcPr>
                  <w:tcW w:w="680" w:type="pct"/>
                  <w:vMerge w:val="restart"/>
                  <w:noWrap w:val="0"/>
                  <w:vAlign w:val="center"/>
                </w:tcPr>
                <w:p w14:paraId="522E012B">
                  <w:pPr>
                    <w:jc w:val="center"/>
                    <w:rPr>
                      <w:rFonts w:hint="default" w:eastAsia="宋体"/>
                      <w:color w:val="auto"/>
                      <w:szCs w:val="21"/>
                      <w:lang w:val="en-US" w:eastAsia="zh-CN"/>
                    </w:rPr>
                  </w:pPr>
                  <w:r>
                    <w:rPr>
                      <w:rFonts w:hint="eastAsia"/>
                      <w:color w:val="auto"/>
                      <w:szCs w:val="21"/>
                      <w:lang w:val="en-US" w:eastAsia="zh-CN"/>
                    </w:rPr>
                    <w:t>选用低噪音设备、合理布局</w:t>
                  </w:r>
                </w:p>
              </w:tc>
              <w:tc>
                <w:tcPr>
                  <w:tcW w:w="487" w:type="pct"/>
                  <w:noWrap w:val="0"/>
                  <w:vAlign w:val="center"/>
                </w:tcPr>
                <w:p w14:paraId="14A9FDB7">
                  <w:pPr>
                    <w:jc w:val="center"/>
                    <w:rPr>
                      <w:rFonts w:hint="default" w:eastAsia="宋体"/>
                      <w:color w:val="auto"/>
                      <w:szCs w:val="21"/>
                      <w:lang w:val="en-US" w:eastAsia="zh-CN"/>
                    </w:rPr>
                  </w:pPr>
                  <w:r>
                    <w:rPr>
                      <w:rFonts w:hint="eastAsia"/>
                      <w:color w:val="auto"/>
                      <w:szCs w:val="21"/>
                      <w:lang w:val="en-US" w:eastAsia="zh-CN"/>
                    </w:rPr>
                    <w:t>8</w:t>
                  </w:r>
                </w:p>
              </w:tc>
              <w:tc>
                <w:tcPr>
                  <w:tcW w:w="649" w:type="pct"/>
                  <w:noWrap w:val="0"/>
                  <w:vAlign w:val="center"/>
                </w:tcPr>
                <w:p w14:paraId="05311C10">
                  <w:pPr>
                    <w:jc w:val="center"/>
                    <w:rPr>
                      <w:rFonts w:hint="default"/>
                      <w:color w:val="auto"/>
                      <w:kern w:val="2"/>
                      <w:sz w:val="21"/>
                      <w:szCs w:val="21"/>
                      <w:lang w:val="en-US" w:eastAsia="zh-CN" w:bidi="ar-SA"/>
                    </w:rPr>
                  </w:pPr>
                  <w:r>
                    <w:rPr>
                      <w:rFonts w:hint="eastAsia"/>
                      <w:color w:val="auto"/>
                      <w:szCs w:val="21"/>
                      <w:lang w:val="en-US" w:eastAsia="zh-CN"/>
                    </w:rPr>
                    <w:t>52</w:t>
                  </w:r>
                </w:p>
              </w:tc>
              <w:tc>
                <w:tcPr>
                  <w:tcW w:w="462" w:type="pct"/>
                  <w:noWrap w:val="0"/>
                  <w:vAlign w:val="center"/>
                </w:tcPr>
                <w:p w14:paraId="4C39F6A6">
                  <w:pPr>
                    <w:jc w:val="center"/>
                    <w:rPr>
                      <w:rFonts w:hint="default" w:eastAsia="宋体"/>
                      <w:color w:val="auto"/>
                      <w:szCs w:val="21"/>
                      <w:lang w:val="en-US" w:eastAsia="zh-CN"/>
                    </w:rPr>
                  </w:pPr>
                  <w:r>
                    <w:rPr>
                      <w:rFonts w:hint="eastAsia" w:eastAsia="宋体"/>
                      <w:color w:val="auto"/>
                      <w:szCs w:val="21"/>
                      <w:lang w:val="en-US" w:eastAsia="zh-CN"/>
                    </w:rPr>
                    <w:t>20.43</w:t>
                  </w:r>
                </w:p>
              </w:tc>
              <w:tc>
                <w:tcPr>
                  <w:tcW w:w="353" w:type="pct"/>
                  <w:noWrap w:val="0"/>
                  <w:vAlign w:val="center"/>
                </w:tcPr>
                <w:p w14:paraId="59D5ACC5">
                  <w:pPr>
                    <w:jc w:val="center"/>
                    <w:rPr>
                      <w:rFonts w:hint="default" w:eastAsia="宋体"/>
                      <w:color w:val="auto"/>
                      <w:szCs w:val="21"/>
                      <w:lang w:val="en-US" w:eastAsia="zh-CN"/>
                    </w:rPr>
                  </w:pPr>
                  <w:r>
                    <w:rPr>
                      <w:rFonts w:hint="eastAsia" w:eastAsia="宋体"/>
                      <w:color w:val="auto"/>
                      <w:szCs w:val="21"/>
                      <w:lang w:val="en-US" w:eastAsia="zh-CN"/>
                    </w:rPr>
                    <w:t>-64.85</w:t>
                  </w:r>
                </w:p>
              </w:tc>
              <w:tc>
                <w:tcPr>
                  <w:tcW w:w="317" w:type="pct"/>
                  <w:noWrap w:val="0"/>
                  <w:vAlign w:val="center"/>
                </w:tcPr>
                <w:p w14:paraId="61DB430F">
                  <w:pPr>
                    <w:jc w:val="center"/>
                    <w:rPr>
                      <w:rFonts w:hint="eastAsia"/>
                      <w:color w:val="auto"/>
                      <w:kern w:val="2"/>
                      <w:sz w:val="21"/>
                      <w:szCs w:val="21"/>
                      <w:lang w:val="en-US" w:eastAsia="zh-CN" w:bidi="ar-SA"/>
                    </w:rPr>
                  </w:pPr>
                  <w:r>
                    <w:rPr>
                      <w:rFonts w:hint="eastAsia"/>
                      <w:color w:val="auto"/>
                      <w:szCs w:val="21"/>
                    </w:rPr>
                    <w:t>1</w:t>
                  </w:r>
                </w:p>
              </w:tc>
              <w:tc>
                <w:tcPr>
                  <w:tcW w:w="289" w:type="pct"/>
                  <w:vMerge w:val="restart"/>
                  <w:noWrap w:val="0"/>
                  <w:vAlign w:val="center"/>
                </w:tcPr>
                <w:p w14:paraId="7DBF1477">
                  <w:pPr>
                    <w:jc w:val="center"/>
                    <w:rPr>
                      <w:rFonts w:hint="default" w:eastAsia="宋体"/>
                      <w:color w:val="auto"/>
                      <w:szCs w:val="21"/>
                      <w:lang w:val="en-US" w:eastAsia="zh-CN"/>
                    </w:rPr>
                  </w:pPr>
                  <w:r>
                    <w:rPr>
                      <w:rFonts w:hint="eastAsia"/>
                      <w:color w:val="auto"/>
                      <w:szCs w:val="21"/>
                      <w:lang w:val="en-US" w:eastAsia="zh-CN"/>
                    </w:rPr>
                    <w:t>昼间</w:t>
                  </w:r>
                </w:p>
              </w:tc>
              <w:tc>
                <w:tcPr>
                  <w:tcW w:w="517" w:type="pct"/>
                  <w:vMerge w:val="restart"/>
                  <w:noWrap w:val="0"/>
                  <w:vAlign w:val="center"/>
                </w:tcPr>
                <w:p w14:paraId="424616BB">
                  <w:pPr>
                    <w:jc w:val="center"/>
                    <w:rPr>
                      <w:rFonts w:hint="default" w:eastAsia="宋体"/>
                      <w:color w:val="auto"/>
                      <w:szCs w:val="21"/>
                      <w:lang w:val="en-US" w:eastAsia="zh-CN"/>
                    </w:rPr>
                  </w:pPr>
                  <w:r>
                    <w:rPr>
                      <w:rFonts w:hint="eastAsia"/>
                      <w:color w:val="auto"/>
                      <w:szCs w:val="21"/>
                      <w:lang w:val="en-US" w:eastAsia="zh-CN"/>
                    </w:rPr>
                    <w:t>北侧、西侧、东侧为混凝墙体，插入损失为20；南侧插入损失为0</w:t>
                  </w:r>
                </w:p>
              </w:tc>
            </w:tr>
            <w:tr w14:paraId="1CAD9C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408" w:type="pct"/>
                  <w:vMerge w:val="restart"/>
                  <w:noWrap w:val="0"/>
                  <w:vAlign w:val="center"/>
                </w:tcPr>
                <w:p w14:paraId="7E6B8D4C">
                  <w:pPr>
                    <w:pStyle w:val="16"/>
                    <w:jc w:val="center"/>
                    <w:rPr>
                      <w:rFonts w:hint="default"/>
                      <w:color w:val="auto"/>
                      <w:kern w:val="2"/>
                      <w:sz w:val="21"/>
                      <w:szCs w:val="21"/>
                      <w:lang w:val="en-US" w:eastAsia="zh-CN"/>
                    </w:rPr>
                  </w:pPr>
                  <w:r>
                    <w:rPr>
                      <w:rFonts w:hint="eastAsia"/>
                      <w:color w:val="auto"/>
                      <w:kern w:val="2"/>
                      <w:sz w:val="21"/>
                      <w:szCs w:val="21"/>
                      <w:lang w:val="en-US" w:eastAsia="zh-CN"/>
                    </w:rPr>
                    <w:t>清洗机</w:t>
                  </w:r>
                </w:p>
              </w:tc>
              <w:tc>
                <w:tcPr>
                  <w:tcW w:w="388" w:type="pct"/>
                  <w:vMerge w:val="restart"/>
                  <w:noWrap w:val="0"/>
                  <w:vAlign w:val="center"/>
                </w:tcPr>
                <w:p w14:paraId="5E098FA4">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2</w:t>
                  </w:r>
                </w:p>
              </w:tc>
              <w:tc>
                <w:tcPr>
                  <w:tcW w:w="442" w:type="pct"/>
                  <w:noWrap w:val="0"/>
                  <w:vAlign w:val="center"/>
                </w:tcPr>
                <w:p w14:paraId="7A0BC336">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75</w:t>
                  </w:r>
                </w:p>
              </w:tc>
              <w:tc>
                <w:tcPr>
                  <w:tcW w:w="680" w:type="pct"/>
                  <w:vMerge w:val="continue"/>
                  <w:noWrap w:val="0"/>
                  <w:vAlign w:val="center"/>
                </w:tcPr>
                <w:p w14:paraId="0CC42519">
                  <w:pPr>
                    <w:jc w:val="center"/>
                    <w:rPr>
                      <w:rFonts w:hint="eastAsia"/>
                      <w:color w:val="auto"/>
                      <w:szCs w:val="21"/>
                    </w:rPr>
                  </w:pPr>
                </w:p>
              </w:tc>
              <w:tc>
                <w:tcPr>
                  <w:tcW w:w="487" w:type="pct"/>
                  <w:noWrap w:val="0"/>
                  <w:vAlign w:val="center"/>
                </w:tcPr>
                <w:p w14:paraId="2ADC194D">
                  <w:pPr>
                    <w:jc w:val="center"/>
                    <w:rPr>
                      <w:rFonts w:hint="eastAsia" w:eastAsia="宋体"/>
                      <w:color w:val="auto"/>
                      <w:kern w:val="2"/>
                      <w:sz w:val="21"/>
                      <w:szCs w:val="21"/>
                      <w:lang w:val="en-US" w:eastAsia="zh-CN" w:bidi="ar-SA"/>
                    </w:rPr>
                  </w:pPr>
                  <w:r>
                    <w:rPr>
                      <w:rFonts w:hint="eastAsia"/>
                      <w:color w:val="auto"/>
                      <w:szCs w:val="21"/>
                      <w:lang w:val="en-US" w:eastAsia="zh-CN"/>
                    </w:rPr>
                    <w:t>8</w:t>
                  </w:r>
                </w:p>
              </w:tc>
              <w:tc>
                <w:tcPr>
                  <w:tcW w:w="649" w:type="pct"/>
                  <w:noWrap w:val="0"/>
                  <w:vAlign w:val="center"/>
                </w:tcPr>
                <w:p w14:paraId="0091D84D">
                  <w:pPr>
                    <w:jc w:val="center"/>
                    <w:rPr>
                      <w:rFonts w:hint="eastAsia"/>
                      <w:color w:val="auto"/>
                      <w:kern w:val="2"/>
                      <w:sz w:val="21"/>
                      <w:szCs w:val="21"/>
                      <w:lang w:val="en-US" w:eastAsia="zh-CN" w:bidi="ar-SA"/>
                    </w:rPr>
                  </w:pPr>
                  <w:r>
                    <w:rPr>
                      <w:rFonts w:hint="eastAsia"/>
                      <w:color w:val="auto"/>
                      <w:szCs w:val="21"/>
                      <w:lang w:val="en-US" w:eastAsia="zh-CN"/>
                    </w:rPr>
                    <w:t>67</w:t>
                  </w:r>
                </w:p>
              </w:tc>
              <w:tc>
                <w:tcPr>
                  <w:tcW w:w="462" w:type="pct"/>
                  <w:noWrap w:val="0"/>
                  <w:vAlign w:val="center"/>
                </w:tcPr>
                <w:p w14:paraId="351A35B4">
                  <w:pPr>
                    <w:jc w:val="center"/>
                    <w:rPr>
                      <w:rFonts w:hint="default" w:eastAsia="宋体"/>
                      <w:color w:val="auto"/>
                      <w:kern w:val="2"/>
                      <w:sz w:val="21"/>
                      <w:szCs w:val="21"/>
                      <w:lang w:val="en-US" w:eastAsia="zh-CN" w:bidi="ar-SA"/>
                    </w:rPr>
                  </w:pPr>
                  <w:r>
                    <w:rPr>
                      <w:rFonts w:hint="eastAsia" w:eastAsia="宋体"/>
                      <w:color w:val="auto"/>
                      <w:kern w:val="2"/>
                      <w:sz w:val="21"/>
                      <w:szCs w:val="21"/>
                      <w:lang w:val="en-US" w:eastAsia="zh-CN" w:bidi="ar-SA"/>
                    </w:rPr>
                    <w:t>20.43</w:t>
                  </w:r>
                </w:p>
              </w:tc>
              <w:tc>
                <w:tcPr>
                  <w:tcW w:w="353" w:type="pct"/>
                  <w:noWrap w:val="0"/>
                  <w:vAlign w:val="center"/>
                </w:tcPr>
                <w:p w14:paraId="2AF4A325">
                  <w:pPr>
                    <w:jc w:val="center"/>
                    <w:rPr>
                      <w:rFonts w:hint="default" w:eastAsia="宋体"/>
                      <w:color w:val="auto"/>
                      <w:kern w:val="2"/>
                      <w:sz w:val="21"/>
                      <w:szCs w:val="21"/>
                      <w:lang w:val="en-US" w:eastAsia="zh-CN" w:bidi="ar-SA"/>
                    </w:rPr>
                  </w:pPr>
                  <w:r>
                    <w:rPr>
                      <w:rFonts w:hint="eastAsia" w:eastAsia="宋体"/>
                      <w:color w:val="auto"/>
                      <w:kern w:val="2"/>
                      <w:sz w:val="21"/>
                      <w:szCs w:val="21"/>
                      <w:lang w:val="en-US" w:eastAsia="zh-CN" w:bidi="ar-SA"/>
                    </w:rPr>
                    <w:t>-67.25</w:t>
                  </w:r>
                </w:p>
              </w:tc>
              <w:tc>
                <w:tcPr>
                  <w:tcW w:w="317" w:type="pct"/>
                  <w:noWrap w:val="0"/>
                  <w:vAlign w:val="center"/>
                </w:tcPr>
                <w:p w14:paraId="36F4DB5A">
                  <w:pPr>
                    <w:jc w:val="center"/>
                    <w:rPr>
                      <w:rFonts w:hint="eastAsia" w:eastAsia="宋体"/>
                      <w:color w:val="auto"/>
                      <w:kern w:val="2"/>
                      <w:sz w:val="21"/>
                      <w:szCs w:val="21"/>
                      <w:lang w:val="en-US" w:eastAsia="zh-CN" w:bidi="ar-SA"/>
                    </w:rPr>
                  </w:pPr>
                  <w:r>
                    <w:rPr>
                      <w:rFonts w:hint="eastAsia"/>
                      <w:color w:val="auto"/>
                      <w:szCs w:val="21"/>
                      <w:lang w:val="en-US" w:eastAsia="zh-CN"/>
                    </w:rPr>
                    <w:t>1</w:t>
                  </w:r>
                </w:p>
              </w:tc>
              <w:tc>
                <w:tcPr>
                  <w:tcW w:w="289" w:type="pct"/>
                  <w:vMerge w:val="continue"/>
                  <w:noWrap w:val="0"/>
                  <w:vAlign w:val="center"/>
                </w:tcPr>
                <w:p w14:paraId="0D46746F">
                  <w:pPr>
                    <w:jc w:val="center"/>
                    <w:rPr>
                      <w:rFonts w:hint="eastAsia"/>
                      <w:color w:val="auto"/>
                      <w:szCs w:val="21"/>
                    </w:rPr>
                  </w:pPr>
                </w:p>
              </w:tc>
              <w:tc>
                <w:tcPr>
                  <w:tcW w:w="517" w:type="pct"/>
                  <w:vMerge w:val="continue"/>
                  <w:noWrap w:val="0"/>
                  <w:vAlign w:val="center"/>
                </w:tcPr>
                <w:p w14:paraId="26FFD952">
                  <w:pPr>
                    <w:jc w:val="center"/>
                    <w:rPr>
                      <w:rFonts w:hint="eastAsia"/>
                      <w:color w:val="auto"/>
                      <w:szCs w:val="21"/>
                    </w:rPr>
                  </w:pPr>
                </w:p>
              </w:tc>
            </w:tr>
            <w:tr w14:paraId="20C735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408" w:type="pct"/>
                  <w:vMerge w:val="continue"/>
                  <w:noWrap w:val="0"/>
                  <w:vAlign w:val="center"/>
                </w:tcPr>
                <w:p w14:paraId="3A14A628">
                  <w:pPr>
                    <w:pStyle w:val="16"/>
                    <w:jc w:val="center"/>
                    <w:rPr>
                      <w:rFonts w:hint="eastAsia"/>
                      <w:color w:val="auto"/>
                      <w:kern w:val="2"/>
                      <w:sz w:val="21"/>
                      <w:szCs w:val="21"/>
                      <w:lang w:val="en-US" w:eastAsia="zh-CN"/>
                    </w:rPr>
                  </w:pPr>
                </w:p>
              </w:tc>
              <w:tc>
                <w:tcPr>
                  <w:tcW w:w="388" w:type="pct"/>
                  <w:vMerge w:val="continue"/>
                  <w:noWrap w:val="0"/>
                  <w:vAlign w:val="center"/>
                </w:tcPr>
                <w:p w14:paraId="6D70D7A8">
                  <w:pPr>
                    <w:pStyle w:val="57"/>
                    <w:spacing w:before="48" w:after="48"/>
                    <w:rPr>
                      <w:rFonts w:hint="eastAsia" w:ascii="Times New Roman" w:hAnsi="Times New Roman"/>
                      <w:color w:val="auto"/>
                      <w:szCs w:val="21"/>
                      <w:lang w:val="en-US" w:eastAsia="zh-CN"/>
                    </w:rPr>
                  </w:pPr>
                </w:p>
              </w:tc>
              <w:tc>
                <w:tcPr>
                  <w:tcW w:w="442" w:type="pct"/>
                  <w:noWrap w:val="0"/>
                  <w:vAlign w:val="center"/>
                </w:tcPr>
                <w:p w14:paraId="48128909">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75</w:t>
                  </w:r>
                </w:p>
              </w:tc>
              <w:tc>
                <w:tcPr>
                  <w:tcW w:w="680" w:type="pct"/>
                  <w:vMerge w:val="continue"/>
                  <w:noWrap w:val="0"/>
                  <w:vAlign w:val="center"/>
                </w:tcPr>
                <w:p w14:paraId="3B9F7EF5">
                  <w:pPr>
                    <w:jc w:val="center"/>
                    <w:rPr>
                      <w:rFonts w:hint="eastAsia"/>
                      <w:color w:val="auto"/>
                      <w:szCs w:val="21"/>
                    </w:rPr>
                  </w:pPr>
                </w:p>
              </w:tc>
              <w:tc>
                <w:tcPr>
                  <w:tcW w:w="487" w:type="pct"/>
                  <w:noWrap w:val="0"/>
                  <w:vAlign w:val="center"/>
                </w:tcPr>
                <w:p w14:paraId="5F5B825C">
                  <w:pPr>
                    <w:jc w:val="center"/>
                    <w:rPr>
                      <w:rFonts w:hint="default" w:eastAsia="宋体"/>
                      <w:color w:val="auto"/>
                      <w:szCs w:val="21"/>
                      <w:lang w:val="en-US" w:eastAsia="zh-CN"/>
                    </w:rPr>
                  </w:pPr>
                  <w:r>
                    <w:rPr>
                      <w:rFonts w:hint="eastAsia"/>
                      <w:color w:val="auto"/>
                      <w:szCs w:val="21"/>
                      <w:lang w:val="en-US" w:eastAsia="zh-CN"/>
                    </w:rPr>
                    <w:t>8</w:t>
                  </w:r>
                </w:p>
              </w:tc>
              <w:tc>
                <w:tcPr>
                  <w:tcW w:w="649" w:type="pct"/>
                  <w:noWrap w:val="0"/>
                  <w:vAlign w:val="center"/>
                </w:tcPr>
                <w:p w14:paraId="1E2F25A3">
                  <w:pPr>
                    <w:jc w:val="center"/>
                    <w:rPr>
                      <w:rFonts w:hint="default"/>
                      <w:color w:val="auto"/>
                      <w:szCs w:val="21"/>
                      <w:lang w:val="en-US" w:eastAsia="zh-CN"/>
                    </w:rPr>
                  </w:pPr>
                  <w:r>
                    <w:rPr>
                      <w:rFonts w:hint="eastAsia"/>
                      <w:color w:val="auto"/>
                      <w:szCs w:val="21"/>
                      <w:lang w:val="en-US" w:eastAsia="zh-CN"/>
                    </w:rPr>
                    <w:t>67</w:t>
                  </w:r>
                </w:p>
              </w:tc>
              <w:tc>
                <w:tcPr>
                  <w:tcW w:w="462" w:type="pct"/>
                  <w:noWrap w:val="0"/>
                  <w:vAlign w:val="center"/>
                </w:tcPr>
                <w:p w14:paraId="33F8E6BA">
                  <w:pPr>
                    <w:jc w:val="center"/>
                    <w:rPr>
                      <w:rFonts w:hint="default" w:eastAsia="宋体"/>
                      <w:color w:val="auto"/>
                      <w:kern w:val="2"/>
                      <w:sz w:val="21"/>
                      <w:szCs w:val="21"/>
                      <w:lang w:val="en-US" w:eastAsia="zh-CN" w:bidi="ar-SA"/>
                    </w:rPr>
                  </w:pPr>
                  <w:r>
                    <w:rPr>
                      <w:rFonts w:hint="eastAsia" w:eastAsia="宋体"/>
                      <w:color w:val="auto"/>
                      <w:kern w:val="2"/>
                      <w:sz w:val="21"/>
                      <w:szCs w:val="21"/>
                      <w:lang w:val="en-US" w:eastAsia="zh-CN" w:bidi="ar-SA"/>
                    </w:rPr>
                    <w:t>15.14</w:t>
                  </w:r>
                </w:p>
              </w:tc>
              <w:tc>
                <w:tcPr>
                  <w:tcW w:w="353" w:type="pct"/>
                  <w:noWrap w:val="0"/>
                  <w:vAlign w:val="center"/>
                </w:tcPr>
                <w:p w14:paraId="2A4F57B4">
                  <w:pPr>
                    <w:jc w:val="center"/>
                    <w:rPr>
                      <w:rFonts w:hint="default" w:eastAsia="宋体"/>
                      <w:color w:val="auto"/>
                      <w:kern w:val="2"/>
                      <w:sz w:val="21"/>
                      <w:szCs w:val="21"/>
                      <w:lang w:val="en-US" w:eastAsia="zh-CN" w:bidi="ar-SA"/>
                    </w:rPr>
                  </w:pPr>
                  <w:r>
                    <w:rPr>
                      <w:rFonts w:hint="eastAsia" w:eastAsia="宋体"/>
                      <w:color w:val="auto"/>
                      <w:kern w:val="2"/>
                      <w:sz w:val="21"/>
                      <w:szCs w:val="21"/>
                      <w:lang w:val="en-US" w:eastAsia="zh-CN" w:bidi="ar-SA"/>
                    </w:rPr>
                    <w:t>-67.25</w:t>
                  </w:r>
                </w:p>
              </w:tc>
              <w:tc>
                <w:tcPr>
                  <w:tcW w:w="317" w:type="pct"/>
                  <w:noWrap w:val="0"/>
                  <w:vAlign w:val="center"/>
                </w:tcPr>
                <w:p w14:paraId="44C3FFCE">
                  <w:pPr>
                    <w:jc w:val="center"/>
                    <w:rPr>
                      <w:rFonts w:hint="eastAsia"/>
                      <w:color w:val="auto"/>
                      <w:kern w:val="2"/>
                      <w:sz w:val="21"/>
                      <w:szCs w:val="21"/>
                      <w:lang w:val="en-US" w:eastAsia="zh-CN" w:bidi="ar-SA"/>
                    </w:rPr>
                  </w:pPr>
                  <w:r>
                    <w:rPr>
                      <w:rFonts w:hint="eastAsia"/>
                      <w:color w:val="auto"/>
                      <w:szCs w:val="21"/>
                    </w:rPr>
                    <w:t>1</w:t>
                  </w:r>
                </w:p>
              </w:tc>
              <w:tc>
                <w:tcPr>
                  <w:tcW w:w="289" w:type="pct"/>
                  <w:vMerge w:val="continue"/>
                  <w:noWrap w:val="0"/>
                  <w:vAlign w:val="center"/>
                </w:tcPr>
                <w:p w14:paraId="51A3D973">
                  <w:pPr>
                    <w:jc w:val="center"/>
                    <w:rPr>
                      <w:rFonts w:hint="eastAsia"/>
                      <w:color w:val="auto"/>
                      <w:szCs w:val="21"/>
                    </w:rPr>
                  </w:pPr>
                </w:p>
              </w:tc>
              <w:tc>
                <w:tcPr>
                  <w:tcW w:w="517" w:type="pct"/>
                  <w:vMerge w:val="continue"/>
                  <w:noWrap w:val="0"/>
                  <w:vAlign w:val="center"/>
                </w:tcPr>
                <w:p w14:paraId="6FF348B8">
                  <w:pPr>
                    <w:jc w:val="center"/>
                    <w:rPr>
                      <w:rFonts w:hint="eastAsia"/>
                      <w:color w:val="auto"/>
                      <w:szCs w:val="21"/>
                    </w:rPr>
                  </w:pPr>
                </w:p>
              </w:tc>
            </w:tr>
            <w:tr w14:paraId="5BEA9A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408" w:type="pct"/>
                  <w:noWrap w:val="0"/>
                  <w:vAlign w:val="center"/>
                </w:tcPr>
                <w:p w14:paraId="26878B71">
                  <w:pPr>
                    <w:pStyle w:val="16"/>
                    <w:jc w:val="center"/>
                    <w:rPr>
                      <w:rFonts w:hint="default"/>
                      <w:color w:val="auto"/>
                      <w:kern w:val="2"/>
                      <w:sz w:val="21"/>
                      <w:szCs w:val="21"/>
                      <w:lang w:val="en-US" w:eastAsia="zh-CN"/>
                    </w:rPr>
                  </w:pPr>
                  <w:r>
                    <w:rPr>
                      <w:rFonts w:hint="eastAsia"/>
                      <w:color w:val="auto"/>
                      <w:kern w:val="2"/>
                      <w:sz w:val="21"/>
                      <w:szCs w:val="21"/>
                      <w:lang w:val="en-US" w:eastAsia="zh-CN"/>
                    </w:rPr>
                    <w:t>往复式洗车机</w:t>
                  </w:r>
                </w:p>
              </w:tc>
              <w:tc>
                <w:tcPr>
                  <w:tcW w:w="388" w:type="pct"/>
                  <w:noWrap w:val="0"/>
                  <w:vAlign w:val="center"/>
                </w:tcPr>
                <w:p w14:paraId="55C849C9">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1</w:t>
                  </w:r>
                </w:p>
              </w:tc>
              <w:tc>
                <w:tcPr>
                  <w:tcW w:w="442" w:type="pct"/>
                  <w:noWrap w:val="0"/>
                  <w:vAlign w:val="center"/>
                </w:tcPr>
                <w:p w14:paraId="3FD77DBA">
                  <w:pPr>
                    <w:pStyle w:val="57"/>
                    <w:spacing w:before="48" w:after="48"/>
                    <w:rPr>
                      <w:rFonts w:hint="default" w:ascii="Times New Roman" w:hAnsi="Times New Roman"/>
                      <w:color w:val="auto"/>
                      <w:szCs w:val="21"/>
                      <w:lang w:val="en-US" w:eastAsia="zh-CN"/>
                    </w:rPr>
                  </w:pPr>
                  <w:r>
                    <w:rPr>
                      <w:rFonts w:hint="eastAsia" w:ascii="Times New Roman" w:hAnsi="Times New Roman"/>
                      <w:color w:val="auto"/>
                      <w:szCs w:val="21"/>
                      <w:lang w:val="en-US" w:eastAsia="zh-CN"/>
                    </w:rPr>
                    <w:t>85</w:t>
                  </w:r>
                </w:p>
              </w:tc>
              <w:tc>
                <w:tcPr>
                  <w:tcW w:w="680" w:type="pct"/>
                  <w:vMerge w:val="continue"/>
                  <w:noWrap w:val="0"/>
                  <w:vAlign w:val="center"/>
                </w:tcPr>
                <w:p w14:paraId="7E6A491A">
                  <w:pPr>
                    <w:jc w:val="center"/>
                    <w:rPr>
                      <w:rFonts w:hint="eastAsia"/>
                      <w:color w:val="auto"/>
                      <w:szCs w:val="21"/>
                    </w:rPr>
                  </w:pPr>
                </w:p>
              </w:tc>
              <w:tc>
                <w:tcPr>
                  <w:tcW w:w="487" w:type="pct"/>
                  <w:noWrap w:val="0"/>
                  <w:vAlign w:val="center"/>
                </w:tcPr>
                <w:p w14:paraId="14C515CA">
                  <w:pPr>
                    <w:jc w:val="center"/>
                    <w:rPr>
                      <w:rFonts w:hint="default" w:eastAsia="宋体"/>
                      <w:color w:val="auto"/>
                      <w:szCs w:val="21"/>
                      <w:lang w:val="en-US" w:eastAsia="zh-CN"/>
                    </w:rPr>
                  </w:pPr>
                  <w:r>
                    <w:rPr>
                      <w:rFonts w:hint="eastAsia"/>
                      <w:color w:val="auto"/>
                      <w:szCs w:val="21"/>
                      <w:lang w:val="en-US" w:eastAsia="zh-CN"/>
                    </w:rPr>
                    <w:t>8</w:t>
                  </w:r>
                </w:p>
              </w:tc>
              <w:tc>
                <w:tcPr>
                  <w:tcW w:w="649" w:type="pct"/>
                  <w:noWrap w:val="0"/>
                  <w:vAlign w:val="center"/>
                </w:tcPr>
                <w:p w14:paraId="5E508DD9">
                  <w:pPr>
                    <w:jc w:val="center"/>
                    <w:rPr>
                      <w:rFonts w:hint="default"/>
                      <w:color w:val="auto"/>
                      <w:szCs w:val="21"/>
                      <w:lang w:val="en-US" w:eastAsia="zh-CN"/>
                    </w:rPr>
                  </w:pPr>
                  <w:r>
                    <w:rPr>
                      <w:rFonts w:hint="eastAsia"/>
                      <w:color w:val="auto"/>
                      <w:szCs w:val="21"/>
                      <w:lang w:val="en-US" w:eastAsia="zh-CN"/>
                    </w:rPr>
                    <w:t>77</w:t>
                  </w:r>
                </w:p>
              </w:tc>
              <w:tc>
                <w:tcPr>
                  <w:tcW w:w="462" w:type="pct"/>
                  <w:noWrap w:val="0"/>
                  <w:vAlign w:val="center"/>
                </w:tcPr>
                <w:p w14:paraId="46568472">
                  <w:pPr>
                    <w:jc w:val="center"/>
                    <w:rPr>
                      <w:rFonts w:hint="default" w:eastAsia="宋体"/>
                      <w:color w:val="auto"/>
                      <w:szCs w:val="21"/>
                      <w:lang w:val="en-US" w:eastAsia="zh-CN"/>
                    </w:rPr>
                  </w:pPr>
                  <w:r>
                    <w:rPr>
                      <w:rFonts w:hint="eastAsia" w:eastAsia="宋体"/>
                      <w:color w:val="auto"/>
                      <w:szCs w:val="21"/>
                      <w:lang w:val="en-US" w:eastAsia="zh-CN"/>
                    </w:rPr>
                    <w:t>11.29</w:t>
                  </w:r>
                </w:p>
              </w:tc>
              <w:tc>
                <w:tcPr>
                  <w:tcW w:w="353" w:type="pct"/>
                  <w:noWrap w:val="0"/>
                  <w:vAlign w:val="center"/>
                </w:tcPr>
                <w:p w14:paraId="61279066">
                  <w:pPr>
                    <w:jc w:val="center"/>
                    <w:rPr>
                      <w:rFonts w:hint="default" w:eastAsia="宋体"/>
                      <w:color w:val="auto"/>
                      <w:szCs w:val="21"/>
                      <w:lang w:val="en-US" w:eastAsia="zh-CN"/>
                    </w:rPr>
                  </w:pPr>
                  <w:r>
                    <w:rPr>
                      <w:rFonts w:hint="eastAsia" w:eastAsia="宋体"/>
                      <w:color w:val="auto"/>
                      <w:szCs w:val="21"/>
                      <w:lang w:val="en-US" w:eastAsia="zh-CN"/>
                    </w:rPr>
                    <w:t>-66.58</w:t>
                  </w:r>
                </w:p>
              </w:tc>
              <w:tc>
                <w:tcPr>
                  <w:tcW w:w="317" w:type="pct"/>
                  <w:noWrap w:val="0"/>
                  <w:vAlign w:val="center"/>
                </w:tcPr>
                <w:p w14:paraId="30BDB030">
                  <w:pPr>
                    <w:jc w:val="center"/>
                    <w:rPr>
                      <w:rFonts w:hint="eastAsia" w:eastAsia="宋体"/>
                      <w:color w:val="auto"/>
                      <w:szCs w:val="21"/>
                      <w:lang w:val="en-US" w:eastAsia="zh-CN"/>
                    </w:rPr>
                  </w:pPr>
                  <w:r>
                    <w:rPr>
                      <w:rFonts w:hint="eastAsia"/>
                      <w:color w:val="auto"/>
                      <w:szCs w:val="21"/>
                      <w:lang w:val="en-US" w:eastAsia="zh-CN"/>
                    </w:rPr>
                    <w:t>1</w:t>
                  </w:r>
                </w:p>
              </w:tc>
              <w:tc>
                <w:tcPr>
                  <w:tcW w:w="289" w:type="pct"/>
                  <w:vMerge w:val="continue"/>
                  <w:noWrap w:val="0"/>
                  <w:vAlign w:val="center"/>
                </w:tcPr>
                <w:p w14:paraId="53015462">
                  <w:pPr>
                    <w:jc w:val="center"/>
                    <w:rPr>
                      <w:rFonts w:hint="eastAsia"/>
                      <w:color w:val="auto"/>
                      <w:szCs w:val="21"/>
                    </w:rPr>
                  </w:pPr>
                </w:p>
              </w:tc>
              <w:tc>
                <w:tcPr>
                  <w:tcW w:w="517" w:type="pct"/>
                  <w:vMerge w:val="continue"/>
                  <w:noWrap w:val="0"/>
                  <w:vAlign w:val="center"/>
                </w:tcPr>
                <w:p w14:paraId="5C4D917F">
                  <w:pPr>
                    <w:jc w:val="center"/>
                    <w:rPr>
                      <w:rFonts w:hint="eastAsia"/>
                      <w:color w:val="auto"/>
                      <w:szCs w:val="21"/>
                    </w:rPr>
                  </w:pPr>
                </w:p>
              </w:tc>
            </w:tr>
            <w:tr w14:paraId="60F579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000" w:type="pct"/>
                  <w:gridSpan w:val="11"/>
                  <w:noWrap w:val="0"/>
                  <w:vAlign w:val="center"/>
                </w:tcPr>
                <w:p w14:paraId="5F84459A">
                  <w:pPr>
                    <w:rPr>
                      <w:rFonts w:hint="eastAsia" w:eastAsia="宋体"/>
                      <w:color w:val="auto"/>
                      <w:szCs w:val="21"/>
                      <w:lang w:val="en-US" w:eastAsia="zh-CN"/>
                    </w:rPr>
                  </w:pPr>
                  <w:r>
                    <w:rPr>
                      <w:rFonts w:hint="eastAsia"/>
                      <w:color w:val="auto"/>
                      <w:szCs w:val="21"/>
                    </w:rPr>
                    <w:t>注：坐标原点为</w:t>
                  </w:r>
                  <w:r>
                    <w:rPr>
                      <w:rFonts w:hint="eastAsia"/>
                      <w:color w:val="auto"/>
                      <w:szCs w:val="21"/>
                      <w:lang w:val="en-US" w:eastAsia="zh-CN"/>
                    </w:rPr>
                    <w:t>厂区西北角</w:t>
                  </w:r>
                </w:p>
              </w:tc>
            </w:tr>
          </w:tbl>
          <w:p w14:paraId="3145709F">
            <w:pPr>
              <w:pStyle w:val="6"/>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eastAsia"/>
                <w:color w:val="auto"/>
                <w:szCs w:val="24"/>
              </w:rPr>
            </w:pPr>
            <w:r>
              <w:rPr>
                <w:rFonts w:hint="eastAsia"/>
                <w:color w:val="auto"/>
                <w:szCs w:val="24"/>
              </w:rPr>
              <w:t>环评要求：所有设备运行过程中加强维护，确保设备处于良好的运转状态，对设备进行定期的维修保养。</w:t>
            </w:r>
          </w:p>
          <w:p w14:paraId="155895AC">
            <w:pPr>
              <w:pStyle w:val="6"/>
              <w:spacing w:line="360" w:lineRule="auto"/>
              <w:ind w:firstLine="480" w:firstLineChars="200"/>
              <w:rPr>
                <w:color w:val="auto"/>
                <w:szCs w:val="24"/>
              </w:rPr>
            </w:pPr>
            <w:r>
              <w:rPr>
                <w:rFonts w:hint="eastAsia"/>
                <w:color w:val="auto"/>
                <w:szCs w:val="24"/>
              </w:rPr>
              <w:t>（3）预测结果及达标情况分析</w:t>
            </w:r>
          </w:p>
          <w:p w14:paraId="22DE0F02">
            <w:pPr>
              <w:adjustRightInd w:val="0"/>
              <w:snapToGrid w:val="0"/>
              <w:spacing w:line="360" w:lineRule="auto"/>
              <w:ind w:firstLine="480" w:firstLineChars="200"/>
              <w:outlineLvl w:val="1"/>
              <w:rPr>
                <w:color w:val="auto"/>
                <w:sz w:val="24"/>
              </w:rPr>
            </w:pPr>
            <w:r>
              <w:rPr>
                <w:rFonts w:hint="eastAsia"/>
                <w:color w:val="auto"/>
                <w:kern w:val="0"/>
                <w:sz w:val="24"/>
                <w:szCs w:val="20"/>
                <w:lang w:val="en-US" w:eastAsia="zh-CN"/>
              </w:rPr>
              <w:t>噪声监测时项目服务中心和钣喷中心正常运行，因此</w:t>
            </w:r>
            <w:r>
              <w:rPr>
                <w:color w:val="auto"/>
                <w:kern w:val="0"/>
                <w:sz w:val="24"/>
                <w:szCs w:val="20"/>
                <w:lang w:val="zh-CN"/>
              </w:rPr>
              <w:t>噪声</w:t>
            </w:r>
            <w:r>
              <w:rPr>
                <w:rFonts w:hint="eastAsia"/>
                <w:color w:val="auto"/>
                <w:kern w:val="0"/>
                <w:sz w:val="24"/>
                <w:szCs w:val="20"/>
                <w:lang w:val="en-US" w:eastAsia="zh-CN"/>
              </w:rPr>
              <w:t>监测值可作为现状监测</w:t>
            </w:r>
            <w:r>
              <w:rPr>
                <w:color w:val="auto"/>
                <w:kern w:val="0"/>
                <w:sz w:val="24"/>
                <w:szCs w:val="20"/>
                <w:lang w:val="zh-CN"/>
              </w:rPr>
              <w:t>结果</w:t>
            </w:r>
            <w:r>
              <w:rPr>
                <w:rFonts w:hint="eastAsia"/>
                <w:color w:val="auto"/>
                <w:kern w:val="0"/>
                <w:sz w:val="24"/>
                <w:szCs w:val="20"/>
                <w:lang w:val="zh-CN"/>
              </w:rPr>
              <w:t>（</w:t>
            </w:r>
            <w:r>
              <w:rPr>
                <w:rFonts w:hint="eastAsia"/>
                <w:color w:val="auto"/>
                <w:kern w:val="0"/>
                <w:sz w:val="24"/>
                <w:szCs w:val="20"/>
                <w:lang w:val="en-US" w:eastAsia="zh-CN"/>
              </w:rPr>
              <w:t>附件4</w:t>
            </w:r>
            <w:r>
              <w:rPr>
                <w:rFonts w:hint="eastAsia"/>
                <w:color w:val="auto"/>
                <w:kern w:val="0"/>
                <w:sz w:val="24"/>
                <w:szCs w:val="20"/>
                <w:lang w:val="zh-CN"/>
              </w:rPr>
              <w:t>），由于本项目夜间不生产，因此仅对昼间的厂界噪声值进行预测，</w:t>
            </w:r>
            <w:r>
              <w:rPr>
                <w:color w:val="auto"/>
                <w:kern w:val="0"/>
                <w:sz w:val="24"/>
                <w:szCs w:val="20"/>
                <w:lang w:val="zh-CN"/>
              </w:rPr>
              <w:t>噪声影响预测结果见</w:t>
            </w:r>
            <w:r>
              <w:rPr>
                <w:color w:val="auto"/>
                <w:kern w:val="0"/>
                <w:sz w:val="24"/>
                <w:szCs w:val="20"/>
              </w:rPr>
              <w:t>下</w:t>
            </w:r>
            <w:r>
              <w:rPr>
                <w:color w:val="auto"/>
                <w:kern w:val="0"/>
                <w:sz w:val="24"/>
                <w:szCs w:val="20"/>
                <w:lang w:val="zh-CN"/>
              </w:rPr>
              <w:t>表。</w:t>
            </w:r>
          </w:p>
          <w:p w14:paraId="6D15CCC7">
            <w:pPr>
              <w:pStyle w:val="63"/>
              <w:spacing w:line="240" w:lineRule="auto"/>
              <w:ind w:firstLine="0" w:firstLineChars="0"/>
              <w:jc w:val="center"/>
              <w:rPr>
                <w:rFonts w:hint="eastAsia" w:hAnsi="Times New Roman" w:cs="Times New Roman"/>
                <w:b/>
                <w:bCs/>
                <w:color w:val="auto"/>
                <w:kern w:val="21"/>
                <w:szCs w:val="24"/>
              </w:rPr>
            </w:pPr>
            <w:r>
              <w:rPr>
                <w:rFonts w:hint="eastAsia" w:hAnsi="Times New Roman" w:cs="Times New Roman"/>
                <w:b/>
                <w:bCs/>
                <w:color w:val="auto"/>
                <w:kern w:val="21"/>
                <w:szCs w:val="24"/>
              </w:rPr>
              <w:t>表4-</w:t>
            </w:r>
            <w:r>
              <w:rPr>
                <w:rFonts w:hint="eastAsia" w:hAnsi="Times New Roman" w:cs="Times New Roman"/>
                <w:b/>
                <w:bCs/>
                <w:color w:val="auto"/>
                <w:kern w:val="21"/>
                <w:szCs w:val="24"/>
                <w:lang w:val="en-US" w:eastAsia="zh-CN"/>
              </w:rPr>
              <w:t>12</w:t>
            </w:r>
            <w:r>
              <w:rPr>
                <w:rFonts w:hint="eastAsia" w:hAnsi="Times New Roman" w:cs="Times New Roman"/>
                <w:b/>
                <w:bCs/>
                <w:color w:val="auto"/>
                <w:kern w:val="21"/>
                <w:szCs w:val="24"/>
              </w:rPr>
              <w:t xml:space="preserve">  项目噪声预测结果</w:t>
            </w:r>
          </w:p>
          <w:tbl>
            <w:tblPr>
              <w:tblStyle w:val="25"/>
              <w:tblW w:w="802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24"/>
              <w:gridCol w:w="1252"/>
              <w:gridCol w:w="1174"/>
              <w:gridCol w:w="1215"/>
              <w:gridCol w:w="1061"/>
              <w:gridCol w:w="958"/>
              <w:gridCol w:w="1341"/>
            </w:tblGrid>
            <w:tr w14:paraId="64A294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18" w:type="pct"/>
                  <w:gridSpan w:val="2"/>
                  <w:vMerge w:val="restart"/>
                  <w:noWrap w:val="0"/>
                  <w:vAlign w:val="center"/>
                </w:tcPr>
                <w:p w14:paraId="4AA789DC">
                  <w:pPr>
                    <w:jc w:val="center"/>
                    <w:rPr>
                      <w:b/>
                      <w:bCs/>
                      <w:color w:val="auto"/>
                      <w:szCs w:val="21"/>
                    </w:rPr>
                  </w:pPr>
                  <w:r>
                    <w:rPr>
                      <w:b/>
                      <w:bCs/>
                      <w:color w:val="auto"/>
                      <w:szCs w:val="21"/>
                    </w:rPr>
                    <w:t>预测点位置</w:t>
                  </w:r>
                </w:p>
              </w:tc>
              <w:tc>
                <w:tcPr>
                  <w:tcW w:w="2746" w:type="pct"/>
                  <w:gridSpan w:val="4"/>
                  <w:noWrap w:val="0"/>
                  <w:vAlign w:val="center"/>
                </w:tcPr>
                <w:p w14:paraId="09D6C2CA">
                  <w:pPr>
                    <w:jc w:val="center"/>
                    <w:rPr>
                      <w:b/>
                      <w:bCs/>
                      <w:color w:val="auto"/>
                      <w:szCs w:val="21"/>
                    </w:rPr>
                  </w:pPr>
                  <w:r>
                    <w:rPr>
                      <w:b/>
                      <w:bCs/>
                      <w:color w:val="auto"/>
                      <w:szCs w:val="21"/>
                    </w:rPr>
                    <w:t>昼间</w:t>
                  </w:r>
                  <w:r>
                    <w:rPr>
                      <w:rFonts w:hint="eastAsia"/>
                      <w:b/>
                      <w:bCs/>
                      <w:color w:val="auto"/>
                      <w:kern w:val="21"/>
                      <w:szCs w:val="21"/>
                    </w:rPr>
                    <w:t>dB（A）</w:t>
                  </w:r>
                </w:p>
              </w:tc>
              <w:tc>
                <w:tcPr>
                  <w:tcW w:w="835" w:type="pct"/>
                  <w:vMerge w:val="restart"/>
                  <w:noWrap w:val="0"/>
                  <w:vAlign w:val="center"/>
                </w:tcPr>
                <w:p w14:paraId="20D2F2F9">
                  <w:pPr>
                    <w:jc w:val="center"/>
                    <w:rPr>
                      <w:b/>
                      <w:bCs/>
                      <w:color w:val="auto"/>
                      <w:szCs w:val="21"/>
                    </w:rPr>
                  </w:pPr>
                  <w:r>
                    <w:rPr>
                      <w:b/>
                      <w:bCs/>
                      <w:color w:val="auto"/>
                      <w:szCs w:val="21"/>
                    </w:rPr>
                    <w:t>达标情况</w:t>
                  </w:r>
                </w:p>
              </w:tc>
            </w:tr>
            <w:tr w14:paraId="0084D6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418" w:type="pct"/>
                  <w:gridSpan w:val="2"/>
                  <w:vMerge w:val="continue"/>
                  <w:noWrap w:val="0"/>
                  <w:vAlign w:val="center"/>
                </w:tcPr>
                <w:p w14:paraId="5C5B52B4">
                  <w:pPr>
                    <w:jc w:val="center"/>
                    <w:rPr>
                      <w:b/>
                      <w:bCs/>
                      <w:color w:val="auto"/>
                      <w:szCs w:val="21"/>
                    </w:rPr>
                  </w:pPr>
                </w:p>
              </w:tc>
              <w:tc>
                <w:tcPr>
                  <w:tcW w:w="731" w:type="pct"/>
                  <w:noWrap w:val="0"/>
                  <w:vAlign w:val="center"/>
                </w:tcPr>
                <w:p w14:paraId="2E1E532E">
                  <w:pPr>
                    <w:ind w:left="-105" w:leftChars="-50" w:right="-105" w:rightChars="-50"/>
                    <w:jc w:val="center"/>
                    <w:rPr>
                      <w:rFonts w:hint="eastAsia" w:eastAsia="宋体"/>
                      <w:b/>
                      <w:bCs/>
                      <w:color w:val="auto"/>
                      <w:szCs w:val="21"/>
                      <w:lang w:eastAsia="zh-CN"/>
                    </w:rPr>
                  </w:pPr>
                  <w:r>
                    <w:rPr>
                      <w:rFonts w:hint="eastAsia"/>
                      <w:b/>
                      <w:bCs/>
                      <w:color w:val="auto"/>
                      <w:szCs w:val="21"/>
                      <w:lang w:val="en-US" w:eastAsia="zh-CN"/>
                    </w:rPr>
                    <w:t>现状值</w:t>
                  </w:r>
                </w:p>
              </w:tc>
              <w:tc>
                <w:tcPr>
                  <w:tcW w:w="757" w:type="pct"/>
                  <w:noWrap w:val="0"/>
                  <w:vAlign w:val="center"/>
                </w:tcPr>
                <w:p w14:paraId="35DE80FF">
                  <w:pPr>
                    <w:ind w:left="-105" w:leftChars="-50" w:right="-105" w:rightChars="-50"/>
                    <w:jc w:val="center"/>
                    <w:rPr>
                      <w:rFonts w:hint="default"/>
                      <w:b/>
                      <w:bCs/>
                      <w:color w:val="auto"/>
                      <w:szCs w:val="21"/>
                      <w:lang w:val="en-US" w:eastAsia="zh-CN"/>
                    </w:rPr>
                  </w:pPr>
                  <w:r>
                    <w:rPr>
                      <w:rFonts w:hint="eastAsia"/>
                      <w:b/>
                      <w:bCs/>
                      <w:color w:val="auto"/>
                      <w:szCs w:val="21"/>
                      <w:lang w:val="en-US" w:eastAsia="zh-CN"/>
                    </w:rPr>
                    <w:t>贡献值</w:t>
                  </w:r>
                </w:p>
              </w:tc>
              <w:tc>
                <w:tcPr>
                  <w:tcW w:w="661" w:type="pct"/>
                  <w:noWrap w:val="0"/>
                  <w:vAlign w:val="center"/>
                </w:tcPr>
                <w:p w14:paraId="3709230C">
                  <w:pPr>
                    <w:ind w:left="-105" w:leftChars="-50" w:right="-105" w:rightChars="-50"/>
                    <w:jc w:val="center"/>
                    <w:rPr>
                      <w:rFonts w:hint="default"/>
                      <w:b/>
                      <w:bCs/>
                      <w:color w:val="auto"/>
                      <w:szCs w:val="21"/>
                      <w:lang w:val="en-US" w:eastAsia="zh-CN"/>
                    </w:rPr>
                  </w:pPr>
                  <w:r>
                    <w:rPr>
                      <w:rFonts w:hint="eastAsia"/>
                      <w:b/>
                      <w:bCs/>
                      <w:color w:val="auto"/>
                      <w:szCs w:val="21"/>
                      <w:lang w:val="en-US" w:eastAsia="zh-CN"/>
                    </w:rPr>
                    <w:t>预测值</w:t>
                  </w:r>
                </w:p>
              </w:tc>
              <w:tc>
                <w:tcPr>
                  <w:tcW w:w="596" w:type="pct"/>
                  <w:noWrap w:val="0"/>
                  <w:vAlign w:val="center"/>
                </w:tcPr>
                <w:p w14:paraId="5F3C0769">
                  <w:pPr>
                    <w:ind w:left="-105" w:leftChars="-50" w:right="-105" w:rightChars="-50"/>
                    <w:jc w:val="center"/>
                    <w:rPr>
                      <w:rFonts w:hint="eastAsia" w:eastAsia="宋体"/>
                      <w:b/>
                      <w:bCs/>
                      <w:color w:val="auto"/>
                      <w:szCs w:val="21"/>
                      <w:lang w:val="en-US" w:eastAsia="zh-CN"/>
                    </w:rPr>
                  </w:pPr>
                  <w:r>
                    <w:rPr>
                      <w:rFonts w:hint="eastAsia"/>
                      <w:b/>
                      <w:bCs/>
                      <w:color w:val="auto"/>
                      <w:szCs w:val="21"/>
                      <w:lang w:val="en-US" w:eastAsia="zh-CN"/>
                    </w:rPr>
                    <w:t>标准值</w:t>
                  </w:r>
                </w:p>
              </w:tc>
              <w:tc>
                <w:tcPr>
                  <w:tcW w:w="835" w:type="pct"/>
                  <w:vMerge w:val="continue"/>
                  <w:noWrap w:val="0"/>
                  <w:vAlign w:val="center"/>
                </w:tcPr>
                <w:p w14:paraId="3C85AADF">
                  <w:pPr>
                    <w:jc w:val="center"/>
                    <w:rPr>
                      <w:b/>
                      <w:bCs/>
                      <w:color w:val="auto"/>
                      <w:szCs w:val="21"/>
                    </w:rPr>
                  </w:pPr>
                </w:p>
              </w:tc>
            </w:tr>
            <w:tr w14:paraId="10F76D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638" w:type="pct"/>
                  <w:vMerge w:val="restart"/>
                  <w:noWrap w:val="0"/>
                  <w:vAlign w:val="center"/>
                </w:tcPr>
                <w:p w14:paraId="3C540278">
                  <w:pPr>
                    <w:jc w:val="center"/>
                    <w:rPr>
                      <w:bCs/>
                      <w:color w:val="auto"/>
                      <w:szCs w:val="21"/>
                    </w:rPr>
                  </w:pPr>
                  <w:r>
                    <w:rPr>
                      <w:bCs/>
                      <w:color w:val="auto"/>
                      <w:szCs w:val="21"/>
                    </w:rPr>
                    <w:t>厂界</w:t>
                  </w:r>
                </w:p>
              </w:tc>
              <w:tc>
                <w:tcPr>
                  <w:tcW w:w="780" w:type="pct"/>
                  <w:noWrap w:val="0"/>
                  <w:vAlign w:val="center"/>
                </w:tcPr>
                <w:p w14:paraId="37E6F4B3">
                  <w:pPr>
                    <w:adjustRightInd w:val="0"/>
                    <w:snapToGrid w:val="0"/>
                    <w:jc w:val="center"/>
                    <w:rPr>
                      <w:bCs/>
                      <w:color w:val="auto"/>
                      <w:szCs w:val="21"/>
                    </w:rPr>
                  </w:pPr>
                  <w:r>
                    <w:rPr>
                      <w:bCs/>
                      <w:color w:val="auto"/>
                      <w:szCs w:val="21"/>
                    </w:rPr>
                    <w:t>东厂界1#</w:t>
                  </w:r>
                </w:p>
              </w:tc>
              <w:tc>
                <w:tcPr>
                  <w:tcW w:w="731" w:type="pct"/>
                  <w:noWrap w:val="0"/>
                  <w:vAlign w:val="center"/>
                </w:tcPr>
                <w:p w14:paraId="2E5B7803">
                  <w:pPr>
                    <w:adjustRightInd w:val="0"/>
                    <w:snapToGrid w:val="0"/>
                    <w:jc w:val="center"/>
                    <w:rPr>
                      <w:rFonts w:hint="default" w:eastAsia="宋体"/>
                      <w:color w:val="auto"/>
                      <w:kern w:val="2"/>
                      <w:sz w:val="21"/>
                      <w:szCs w:val="21"/>
                      <w:lang w:val="en-US" w:eastAsia="zh-CN" w:bidi="ar-SA"/>
                    </w:rPr>
                  </w:pPr>
                  <w:r>
                    <w:rPr>
                      <w:rFonts w:hint="eastAsia" w:eastAsia="宋体"/>
                      <w:color w:val="auto"/>
                      <w:sz w:val="21"/>
                      <w:szCs w:val="21"/>
                      <w:lang w:val="en-US" w:eastAsia="zh-CN"/>
                    </w:rPr>
                    <w:t>56</w:t>
                  </w:r>
                </w:p>
              </w:tc>
              <w:tc>
                <w:tcPr>
                  <w:tcW w:w="757" w:type="pct"/>
                  <w:noWrap w:val="0"/>
                  <w:vAlign w:val="center"/>
                </w:tcPr>
                <w:p w14:paraId="38ED11F4">
                  <w:pPr>
                    <w:adjustRightInd w:val="0"/>
                    <w:snapToGrid w:val="0"/>
                    <w:jc w:val="center"/>
                    <w:rPr>
                      <w:rFonts w:hint="default" w:eastAsia="宋体"/>
                      <w:color w:val="auto"/>
                      <w:sz w:val="21"/>
                      <w:szCs w:val="21"/>
                      <w:lang w:val="en-US" w:eastAsia="zh-CN"/>
                    </w:rPr>
                  </w:pPr>
                  <w:r>
                    <w:rPr>
                      <w:rFonts w:hint="eastAsia" w:eastAsia="宋体"/>
                      <w:color w:val="auto"/>
                      <w:sz w:val="21"/>
                      <w:szCs w:val="21"/>
                      <w:lang w:val="en-US" w:eastAsia="zh-CN"/>
                    </w:rPr>
                    <w:t>43</w:t>
                  </w:r>
                </w:p>
              </w:tc>
              <w:tc>
                <w:tcPr>
                  <w:tcW w:w="661" w:type="pct"/>
                  <w:noWrap w:val="0"/>
                  <w:vAlign w:val="center"/>
                </w:tcPr>
                <w:p w14:paraId="0C9A4367">
                  <w:pPr>
                    <w:adjustRightInd w:val="0"/>
                    <w:snapToGrid w:val="0"/>
                    <w:jc w:val="center"/>
                    <w:rPr>
                      <w:rFonts w:hint="eastAsia" w:eastAsia="宋体"/>
                      <w:color w:val="auto"/>
                      <w:kern w:val="2"/>
                      <w:sz w:val="21"/>
                      <w:szCs w:val="21"/>
                      <w:lang w:val="en-US" w:eastAsia="zh-CN" w:bidi="ar-SA"/>
                    </w:rPr>
                  </w:pPr>
                  <w:r>
                    <w:rPr>
                      <w:rFonts w:hint="eastAsia" w:eastAsia="宋体"/>
                      <w:color w:val="auto"/>
                      <w:sz w:val="21"/>
                      <w:szCs w:val="21"/>
                      <w:lang w:val="en-US" w:eastAsia="zh-CN"/>
                    </w:rPr>
                    <w:t>56</w:t>
                  </w:r>
                </w:p>
              </w:tc>
              <w:tc>
                <w:tcPr>
                  <w:tcW w:w="596" w:type="pct"/>
                  <w:vMerge w:val="restart"/>
                  <w:noWrap w:val="0"/>
                  <w:vAlign w:val="center"/>
                </w:tcPr>
                <w:p w14:paraId="751BDA6F">
                  <w:pPr>
                    <w:autoSpaceDE w:val="0"/>
                    <w:autoSpaceDN w:val="0"/>
                    <w:adjustRightInd w:val="0"/>
                    <w:jc w:val="center"/>
                    <w:rPr>
                      <w:rFonts w:hint="default" w:eastAsia="宋体"/>
                      <w:bCs/>
                      <w:color w:val="auto"/>
                      <w:szCs w:val="21"/>
                      <w:lang w:val="en-US" w:eastAsia="zh-CN"/>
                    </w:rPr>
                  </w:pPr>
                  <w:r>
                    <w:rPr>
                      <w:rFonts w:hint="eastAsia"/>
                      <w:bCs/>
                      <w:color w:val="auto"/>
                      <w:szCs w:val="21"/>
                      <w:lang w:val="en-US" w:eastAsia="zh-CN"/>
                    </w:rPr>
                    <w:t>65</w:t>
                  </w:r>
                </w:p>
              </w:tc>
              <w:tc>
                <w:tcPr>
                  <w:tcW w:w="835" w:type="pct"/>
                  <w:noWrap w:val="0"/>
                  <w:vAlign w:val="center"/>
                </w:tcPr>
                <w:p w14:paraId="7110C994">
                  <w:pPr>
                    <w:jc w:val="center"/>
                    <w:rPr>
                      <w:bCs/>
                      <w:color w:val="auto"/>
                      <w:szCs w:val="21"/>
                    </w:rPr>
                  </w:pPr>
                  <w:r>
                    <w:rPr>
                      <w:bCs/>
                      <w:color w:val="auto"/>
                      <w:szCs w:val="21"/>
                    </w:rPr>
                    <w:t>达标</w:t>
                  </w:r>
                </w:p>
              </w:tc>
            </w:tr>
            <w:tr w14:paraId="61E581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638" w:type="pct"/>
                  <w:vMerge w:val="continue"/>
                  <w:noWrap w:val="0"/>
                  <w:vAlign w:val="center"/>
                </w:tcPr>
                <w:p w14:paraId="3722627F">
                  <w:pPr>
                    <w:jc w:val="center"/>
                    <w:rPr>
                      <w:bCs/>
                      <w:color w:val="auto"/>
                      <w:szCs w:val="21"/>
                    </w:rPr>
                  </w:pPr>
                </w:p>
              </w:tc>
              <w:tc>
                <w:tcPr>
                  <w:tcW w:w="780" w:type="pct"/>
                  <w:noWrap w:val="0"/>
                  <w:vAlign w:val="center"/>
                </w:tcPr>
                <w:p w14:paraId="10DCE203">
                  <w:pPr>
                    <w:adjustRightInd w:val="0"/>
                    <w:snapToGrid w:val="0"/>
                    <w:jc w:val="center"/>
                    <w:rPr>
                      <w:bCs/>
                      <w:color w:val="auto"/>
                      <w:szCs w:val="21"/>
                    </w:rPr>
                  </w:pPr>
                  <w:r>
                    <w:rPr>
                      <w:bCs/>
                      <w:color w:val="auto"/>
                      <w:szCs w:val="21"/>
                    </w:rPr>
                    <w:t>南厂界2#</w:t>
                  </w:r>
                </w:p>
              </w:tc>
              <w:tc>
                <w:tcPr>
                  <w:tcW w:w="731" w:type="pct"/>
                  <w:noWrap w:val="0"/>
                  <w:vAlign w:val="center"/>
                </w:tcPr>
                <w:p w14:paraId="7657469E">
                  <w:pPr>
                    <w:adjustRightInd w:val="0"/>
                    <w:snapToGrid w:val="0"/>
                    <w:jc w:val="center"/>
                    <w:rPr>
                      <w:rFonts w:hint="default" w:eastAsia="宋体"/>
                      <w:color w:val="auto"/>
                      <w:kern w:val="2"/>
                      <w:sz w:val="21"/>
                      <w:szCs w:val="21"/>
                      <w:lang w:val="en-US" w:eastAsia="zh-CN" w:bidi="ar-SA"/>
                    </w:rPr>
                  </w:pPr>
                  <w:r>
                    <w:rPr>
                      <w:rFonts w:hint="eastAsia" w:eastAsia="宋体"/>
                      <w:color w:val="auto"/>
                      <w:sz w:val="21"/>
                      <w:szCs w:val="21"/>
                      <w:lang w:val="en-US" w:eastAsia="zh-CN"/>
                    </w:rPr>
                    <w:t>60</w:t>
                  </w:r>
                </w:p>
              </w:tc>
              <w:tc>
                <w:tcPr>
                  <w:tcW w:w="757" w:type="pct"/>
                  <w:noWrap w:val="0"/>
                  <w:vAlign w:val="center"/>
                </w:tcPr>
                <w:p w14:paraId="5204D81D">
                  <w:pPr>
                    <w:adjustRightInd w:val="0"/>
                    <w:snapToGrid w:val="0"/>
                    <w:jc w:val="center"/>
                    <w:rPr>
                      <w:rFonts w:hint="default" w:eastAsia="宋体"/>
                      <w:color w:val="auto"/>
                      <w:sz w:val="21"/>
                      <w:szCs w:val="21"/>
                      <w:lang w:val="en-US" w:eastAsia="zh-CN"/>
                    </w:rPr>
                  </w:pPr>
                  <w:r>
                    <w:rPr>
                      <w:rFonts w:hint="eastAsia" w:eastAsia="宋体"/>
                      <w:color w:val="auto"/>
                      <w:sz w:val="21"/>
                      <w:szCs w:val="21"/>
                      <w:lang w:val="en-US" w:eastAsia="zh-CN"/>
                    </w:rPr>
                    <w:t>41</w:t>
                  </w:r>
                </w:p>
              </w:tc>
              <w:tc>
                <w:tcPr>
                  <w:tcW w:w="661" w:type="pct"/>
                  <w:noWrap w:val="0"/>
                  <w:vAlign w:val="center"/>
                </w:tcPr>
                <w:p w14:paraId="3FD1551B">
                  <w:pPr>
                    <w:adjustRightInd w:val="0"/>
                    <w:snapToGrid w:val="0"/>
                    <w:jc w:val="center"/>
                    <w:rPr>
                      <w:rFonts w:hint="eastAsia" w:eastAsia="宋体"/>
                      <w:color w:val="auto"/>
                      <w:kern w:val="2"/>
                      <w:sz w:val="21"/>
                      <w:szCs w:val="21"/>
                      <w:lang w:val="en-US" w:eastAsia="zh-CN" w:bidi="ar-SA"/>
                    </w:rPr>
                  </w:pPr>
                  <w:r>
                    <w:rPr>
                      <w:rFonts w:hint="eastAsia" w:eastAsia="宋体"/>
                      <w:color w:val="auto"/>
                      <w:sz w:val="21"/>
                      <w:szCs w:val="21"/>
                      <w:lang w:val="en-US" w:eastAsia="zh-CN"/>
                    </w:rPr>
                    <w:t>60</w:t>
                  </w:r>
                </w:p>
              </w:tc>
              <w:tc>
                <w:tcPr>
                  <w:tcW w:w="596" w:type="pct"/>
                  <w:vMerge w:val="continue"/>
                  <w:noWrap w:val="0"/>
                  <w:vAlign w:val="center"/>
                </w:tcPr>
                <w:p w14:paraId="3960040F">
                  <w:pPr>
                    <w:autoSpaceDE w:val="0"/>
                    <w:autoSpaceDN w:val="0"/>
                    <w:adjustRightInd w:val="0"/>
                    <w:jc w:val="center"/>
                    <w:rPr>
                      <w:bCs/>
                      <w:color w:val="auto"/>
                      <w:szCs w:val="21"/>
                    </w:rPr>
                  </w:pPr>
                </w:p>
              </w:tc>
              <w:tc>
                <w:tcPr>
                  <w:tcW w:w="835" w:type="pct"/>
                  <w:noWrap w:val="0"/>
                  <w:vAlign w:val="center"/>
                </w:tcPr>
                <w:p w14:paraId="35F34681">
                  <w:pPr>
                    <w:jc w:val="center"/>
                    <w:rPr>
                      <w:bCs/>
                      <w:color w:val="auto"/>
                      <w:szCs w:val="21"/>
                    </w:rPr>
                  </w:pPr>
                  <w:r>
                    <w:rPr>
                      <w:bCs/>
                      <w:color w:val="auto"/>
                      <w:szCs w:val="21"/>
                    </w:rPr>
                    <w:t>达标</w:t>
                  </w:r>
                </w:p>
              </w:tc>
            </w:tr>
            <w:tr w14:paraId="686CE1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638" w:type="pct"/>
                  <w:vMerge w:val="continue"/>
                  <w:noWrap w:val="0"/>
                  <w:vAlign w:val="center"/>
                </w:tcPr>
                <w:p w14:paraId="53CD9010">
                  <w:pPr>
                    <w:jc w:val="center"/>
                    <w:rPr>
                      <w:bCs/>
                      <w:color w:val="auto"/>
                      <w:szCs w:val="21"/>
                    </w:rPr>
                  </w:pPr>
                </w:p>
              </w:tc>
              <w:tc>
                <w:tcPr>
                  <w:tcW w:w="780" w:type="pct"/>
                  <w:noWrap w:val="0"/>
                  <w:vAlign w:val="center"/>
                </w:tcPr>
                <w:p w14:paraId="259E2E86">
                  <w:pPr>
                    <w:adjustRightInd w:val="0"/>
                    <w:snapToGrid w:val="0"/>
                    <w:jc w:val="center"/>
                    <w:rPr>
                      <w:bCs/>
                      <w:color w:val="auto"/>
                      <w:szCs w:val="21"/>
                    </w:rPr>
                  </w:pPr>
                  <w:r>
                    <w:rPr>
                      <w:bCs/>
                      <w:color w:val="auto"/>
                      <w:szCs w:val="21"/>
                    </w:rPr>
                    <w:t>西厂界3#</w:t>
                  </w:r>
                </w:p>
              </w:tc>
              <w:tc>
                <w:tcPr>
                  <w:tcW w:w="731" w:type="pct"/>
                  <w:noWrap w:val="0"/>
                  <w:vAlign w:val="center"/>
                </w:tcPr>
                <w:p w14:paraId="72CAA9A3">
                  <w:pPr>
                    <w:adjustRightInd w:val="0"/>
                    <w:snapToGrid w:val="0"/>
                    <w:jc w:val="center"/>
                    <w:rPr>
                      <w:rFonts w:hint="default" w:eastAsia="宋体"/>
                      <w:color w:val="auto"/>
                      <w:kern w:val="2"/>
                      <w:sz w:val="21"/>
                      <w:szCs w:val="21"/>
                      <w:lang w:val="en-US" w:eastAsia="zh-CN" w:bidi="ar-SA"/>
                    </w:rPr>
                  </w:pPr>
                  <w:r>
                    <w:rPr>
                      <w:rFonts w:hint="eastAsia" w:eastAsia="宋体"/>
                      <w:color w:val="auto"/>
                      <w:sz w:val="21"/>
                      <w:szCs w:val="21"/>
                      <w:lang w:val="en-US" w:eastAsia="zh-CN"/>
                    </w:rPr>
                    <w:t>58</w:t>
                  </w:r>
                </w:p>
              </w:tc>
              <w:tc>
                <w:tcPr>
                  <w:tcW w:w="757" w:type="pct"/>
                  <w:noWrap w:val="0"/>
                  <w:vAlign w:val="center"/>
                </w:tcPr>
                <w:p w14:paraId="1D69944E">
                  <w:pPr>
                    <w:adjustRightInd w:val="0"/>
                    <w:snapToGrid w:val="0"/>
                    <w:jc w:val="center"/>
                    <w:rPr>
                      <w:rFonts w:hint="default" w:eastAsia="宋体"/>
                      <w:color w:val="auto"/>
                      <w:sz w:val="21"/>
                      <w:szCs w:val="21"/>
                      <w:lang w:val="en-US" w:eastAsia="zh-CN"/>
                    </w:rPr>
                  </w:pPr>
                  <w:r>
                    <w:rPr>
                      <w:rFonts w:hint="eastAsia" w:eastAsia="宋体"/>
                      <w:color w:val="auto"/>
                      <w:sz w:val="21"/>
                      <w:szCs w:val="21"/>
                      <w:lang w:val="en-US" w:eastAsia="zh-CN"/>
                    </w:rPr>
                    <w:t>43</w:t>
                  </w:r>
                </w:p>
              </w:tc>
              <w:tc>
                <w:tcPr>
                  <w:tcW w:w="661" w:type="pct"/>
                  <w:noWrap w:val="0"/>
                  <w:vAlign w:val="center"/>
                </w:tcPr>
                <w:p w14:paraId="6EAF6B7F">
                  <w:pPr>
                    <w:adjustRightInd w:val="0"/>
                    <w:snapToGrid w:val="0"/>
                    <w:jc w:val="center"/>
                    <w:rPr>
                      <w:rFonts w:hint="eastAsia" w:eastAsia="宋体"/>
                      <w:color w:val="auto"/>
                      <w:kern w:val="2"/>
                      <w:sz w:val="21"/>
                      <w:szCs w:val="21"/>
                      <w:lang w:val="en-US" w:eastAsia="zh-CN" w:bidi="ar-SA"/>
                    </w:rPr>
                  </w:pPr>
                  <w:r>
                    <w:rPr>
                      <w:rFonts w:hint="eastAsia" w:eastAsia="宋体"/>
                      <w:color w:val="auto"/>
                      <w:sz w:val="21"/>
                      <w:szCs w:val="21"/>
                      <w:lang w:val="en-US" w:eastAsia="zh-CN"/>
                    </w:rPr>
                    <w:t>58</w:t>
                  </w:r>
                </w:p>
              </w:tc>
              <w:tc>
                <w:tcPr>
                  <w:tcW w:w="596" w:type="pct"/>
                  <w:vMerge w:val="continue"/>
                  <w:noWrap w:val="0"/>
                  <w:vAlign w:val="center"/>
                </w:tcPr>
                <w:p w14:paraId="5D93F190">
                  <w:pPr>
                    <w:autoSpaceDE w:val="0"/>
                    <w:autoSpaceDN w:val="0"/>
                    <w:adjustRightInd w:val="0"/>
                    <w:jc w:val="center"/>
                    <w:rPr>
                      <w:bCs/>
                      <w:color w:val="auto"/>
                      <w:szCs w:val="21"/>
                    </w:rPr>
                  </w:pPr>
                </w:p>
              </w:tc>
              <w:tc>
                <w:tcPr>
                  <w:tcW w:w="835" w:type="pct"/>
                  <w:noWrap w:val="0"/>
                  <w:vAlign w:val="center"/>
                </w:tcPr>
                <w:p w14:paraId="10D53DF4">
                  <w:pPr>
                    <w:jc w:val="center"/>
                    <w:rPr>
                      <w:bCs/>
                      <w:color w:val="auto"/>
                      <w:szCs w:val="21"/>
                    </w:rPr>
                  </w:pPr>
                  <w:r>
                    <w:rPr>
                      <w:bCs/>
                      <w:color w:val="auto"/>
                      <w:szCs w:val="21"/>
                    </w:rPr>
                    <w:t>达标</w:t>
                  </w:r>
                </w:p>
              </w:tc>
            </w:tr>
            <w:tr w14:paraId="170775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000" w:type="pct"/>
                  <w:gridSpan w:val="7"/>
                  <w:noWrap w:val="0"/>
                  <w:vAlign w:val="center"/>
                </w:tcPr>
                <w:p w14:paraId="5591553B">
                  <w:pPr>
                    <w:jc w:val="both"/>
                    <w:rPr>
                      <w:rFonts w:hint="eastAsia" w:ascii="Times New Roman"/>
                      <w:color w:val="auto"/>
                      <w:sz w:val="21"/>
                      <w:szCs w:val="21"/>
                      <w:lang w:val="en-US" w:eastAsia="zh-CN"/>
                    </w:rPr>
                  </w:pPr>
                  <w:r>
                    <w:rPr>
                      <w:rFonts w:hint="eastAsia" w:ascii="Times New Roman"/>
                      <w:color w:val="auto"/>
                      <w:sz w:val="21"/>
                      <w:szCs w:val="21"/>
                      <w:lang w:val="en-US" w:eastAsia="zh-CN"/>
                    </w:rPr>
                    <w:t>注：本项目仅昼间生产，夜间不生产</w:t>
                  </w:r>
                </w:p>
              </w:tc>
            </w:tr>
          </w:tbl>
          <w:p w14:paraId="63FAEB4E">
            <w:pPr>
              <w:pStyle w:val="6"/>
              <w:spacing w:before="120" w:beforeLines="50" w:line="360" w:lineRule="auto"/>
              <w:ind w:firstLine="480" w:firstLineChars="200"/>
              <w:rPr>
                <w:color w:val="auto"/>
                <w:szCs w:val="24"/>
              </w:rPr>
            </w:pPr>
            <w:r>
              <w:rPr>
                <w:rFonts w:hint="eastAsia"/>
                <w:color w:val="auto"/>
                <w:szCs w:val="24"/>
              </w:rPr>
              <w:t>根据预测结果可知，项目运营期间，厂界四周噪声昼间贡献值满足《工业企业厂界环境噪声排放标准》（GB12348-2008）</w:t>
            </w:r>
            <w:r>
              <w:rPr>
                <w:rFonts w:hint="eastAsia"/>
                <w:color w:val="auto"/>
                <w:szCs w:val="24"/>
                <w:lang w:val="en-US" w:eastAsia="zh-CN"/>
              </w:rPr>
              <w:t>3</w:t>
            </w:r>
            <w:r>
              <w:rPr>
                <w:rFonts w:hint="eastAsia"/>
                <w:color w:val="auto"/>
                <w:szCs w:val="24"/>
              </w:rPr>
              <w:t>类标准要求。</w:t>
            </w:r>
          </w:p>
          <w:p w14:paraId="6BCB25BF">
            <w:pPr>
              <w:pStyle w:val="6"/>
              <w:spacing w:line="360" w:lineRule="auto"/>
              <w:ind w:firstLine="480" w:firstLineChars="200"/>
              <w:rPr>
                <w:rFonts w:hint="eastAsia"/>
                <w:color w:val="auto"/>
                <w:szCs w:val="24"/>
              </w:rPr>
            </w:pPr>
            <w:r>
              <w:rPr>
                <w:rFonts w:hint="eastAsia"/>
                <w:color w:val="auto"/>
                <w:szCs w:val="24"/>
              </w:rPr>
              <w:t>（4）监测计划</w:t>
            </w:r>
          </w:p>
          <w:p w14:paraId="7A0E75B3">
            <w:pPr>
              <w:pStyle w:val="6"/>
              <w:spacing w:line="360" w:lineRule="auto"/>
              <w:ind w:firstLine="480" w:firstLineChars="200"/>
              <w:rPr>
                <w:rFonts w:hint="eastAsia"/>
                <w:color w:val="auto"/>
                <w:szCs w:val="24"/>
              </w:rPr>
            </w:pPr>
            <w:r>
              <w:rPr>
                <w:rFonts w:hint="eastAsia"/>
                <w:color w:val="auto"/>
              </w:rPr>
              <w:t>根据《排污单位自行监测技术指南 总则》（HJ 819-2017），</w:t>
            </w:r>
            <w:r>
              <w:rPr>
                <w:color w:val="auto"/>
              </w:rPr>
              <w:t>本项目运营期噪声监测计划见下表。</w:t>
            </w:r>
          </w:p>
          <w:p w14:paraId="5A505350">
            <w:pPr>
              <w:pStyle w:val="63"/>
              <w:spacing w:line="240" w:lineRule="auto"/>
              <w:ind w:firstLine="0" w:firstLineChars="0"/>
              <w:jc w:val="center"/>
              <w:rPr>
                <w:rFonts w:hAnsi="Times New Roman" w:cs="Times New Roman"/>
                <w:b/>
                <w:bCs/>
                <w:color w:val="auto"/>
                <w:kern w:val="21"/>
                <w:szCs w:val="24"/>
              </w:rPr>
            </w:pPr>
            <w:r>
              <w:rPr>
                <w:rFonts w:hint="eastAsia" w:hAnsi="Times New Roman" w:cs="Times New Roman"/>
                <w:b/>
                <w:bCs/>
                <w:color w:val="auto"/>
                <w:kern w:val="21"/>
                <w:szCs w:val="24"/>
              </w:rPr>
              <w:t>表4-</w:t>
            </w:r>
            <w:r>
              <w:rPr>
                <w:rFonts w:hint="eastAsia" w:hAnsi="Times New Roman" w:cs="Times New Roman"/>
                <w:b/>
                <w:bCs/>
                <w:color w:val="auto"/>
                <w:kern w:val="21"/>
                <w:szCs w:val="24"/>
                <w:lang w:val="en-US" w:eastAsia="zh-CN"/>
              </w:rPr>
              <w:t>13</w:t>
            </w:r>
            <w:r>
              <w:rPr>
                <w:rFonts w:hint="eastAsia" w:hAnsi="Times New Roman" w:cs="Times New Roman"/>
                <w:b/>
                <w:bCs/>
                <w:color w:val="auto"/>
                <w:kern w:val="21"/>
                <w:szCs w:val="24"/>
              </w:rPr>
              <w:t xml:space="preserve">  项目噪声监测计划</w:t>
            </w:r>
          </w:p>
          <w:tbl>
            <w:tblPr>
              <w:tblStyle w:val="25"/>
              <w:tblW w:w="802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73"/>
              <w:gridCol w:w="1857"/>
              <w:gridCol w:w="1178"/>
              <w:gridCol w:w="1231"/>
              <w:gridCol w:w="2786"/>
            </w:tblGrid>
            <w:tr w14:paraId="133F40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54" w:hRule="atLeast"/>
                <w:jc w:val="center"/>
              </w:trPr>
              <w:tc>
                <w:tcPr>
                  <w:tcW w:w="606" w:type="pct"/>
                  <w:noWrap w:val="0"/>
                  <w:vAlign w:val="center"/>
                </w:tcPr>
                <w:p w14:paraId="349F87C4">
                  <w:pPr>
                    <w:jc w:val="center"/>
                    <w:rPr>
                      <w:b/>
                      <w:bCs/>
                      <w:color w:val="auto"/>
                      <w:szCs w:val="21"/>
                    </w:rPr>
                  </w:pPr>
                  <w:r>
                    <w:rPr>
                      <w:b/>
                      <w:bCs/>
                      <w:color w:val="auto"/>
                      <w:szCs w:val="21"/>
                    </w:rPr>
                    <w:t>类别</w:t>
                  </w:r>
                </w:p>
              </w:tc>
              <w:tc>
                <w:tcPr>
                  <w:tcW w:w="1157" w:type="pct"/>
                  <w:noWrap w:val="0"/>
                  <w:vAlign w:val="center"/>
                </w:tcPr>
                <w:p w14:paraId="5B45AD01">
                  <w:pPr>
                    <w:jc w:val="center"/>
                    <w:rPr>
                      <w:b/>
                      <w:bCs/>
                      <w:color w:val="auto"/>
                      <w:szCs w:val="21"/>
                    </w:rPr>
                  </w:pPr>
                  <w:r>
                    <w:rPr>
                      <w:b/>
                      <w:bCs/>
                      <w:color w:val="auto"/>
                      <w:szCs w:val="21"/>
                    </w:rPr>
                    <w:t>监测点位</w:t>
                  </w:r>
                </w:p>
              </w:tc>
              <w:tc>
                <w:tcPr>
                  <w:tcW w:w="733" w:type="pct"/>
                  <w:noWrap w:val="0"/>
                  <w:vAlign w:val="center"/>
                </w:tcPr>
                <w:p w14:paraId="437BC9E2">
                  <w:pPr>
                    <w:jc w:val="center"/>
                    <w:rPr>
                      <w:b/>
                      <w:bCs/>
                      <w:color w:val="auto"/>
                      <w:szCs w:val="21"/>
                    </w:rPr>
                  </w:pPr>
                  <w:r>
                    <w:rPr>
                      <w:b/>
                      <w:bCs/>
                      <w:color w:val="auto"/>
                      <w:szCs w:val="21"/>
                    </w:rPr>
                    <w:t>监测项目</w:t>
                  </w:r>
                </w:p>
              </w:tc>
              <w:tc>
                <w:tcPr>
                  <w:tcW w:w="766" w:type="pct"/>
                  <w:noWrap w:val="0"/>
                  <w:vAlign w:val="center"/>
                </w:tcPr>
                <w:p w14:paraId="5E3C6001">
                  <w:pPr>
                    <w:jc w:val="center"/>
                    <w:rPr>
                      <w:b/>
                      <w:bCs/>
                      <w:color w:val="auto"/>
                      <w:szCs w:val="21"/>
                    </w:rPr>
                  </w:pPr>
                  <w:r>
                    <w:rPr>
                      <w:b/>
                      <w:bCs/>
                      <w:color w:val="auto"/>
                      <w:szCs w:val="21"/>
                    </w:rPr>
                    <w:t>监测频次</w:t>
                  </w:r>
                </w:p>
              </w:tc>
              <w:tc>
                <w:tcPr>
                  <w:tcW w:w="1735" w:type="pct"/>
                  <w:noWrap w:val="0"/>
                  <w:vAlign w:val="center"/>
                </w:tcPr>
                <w:p w14:paraId="49061BF3">
                  <w:pPr>
                    <w:jc w:val="center"/>
                    <w:rPr>
                      <w:rFonts w:hint="eastAsia"/>
                      <w:b/>
                      <w:bCs/>
                      <w:color w:val="auto"/>
                      <w:szCs w:val="21"/>
                    </w:rPr>
                  </w:pPr>
                  <w:r>
                    <w:rPr>
                      <w:rFonts w:hint="eastAsia"/>
                      <w:b/>
                      <w:bCs/>
                      <w:color w:val="auto"/>
                      <w:szCs w:val="21"/>
                    </w:rPr>
                    <w:t>执行标准</w:t>
                  </w:r>
                </w:p>
              </w:tc>
            </w:tr>
            <w:tr w14:paraId="4421B1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06" w:type="pct"/>
                  <w:noWrap w:val="0"/>
                  <w:vAlign w:val="center"/>
                </w:tcPr>
                <w:p w14:paraId="7DA22B0E">
                  <w:pPr>
                    <w:jc w:val="center"/>
                    <w:rPr>
                      <w:color w:val="auto"/>
                      <w:szCs w:val="21"/>
                    </w:rPr>
                  </w:pPr>
                  <w:r>
                    <w:rPr>
                      <w:color w:val="auto"/>
                      <w:szCs w:val="21"/>
                    </w:rPr>
                    <w:t>噪声</w:t>
                  </w:r>
                </w:p>
              </w:tc>
              <w:tc>
                <w:tcPr>
                  <w:tcW w:w="1157" w:type="pct"/>
                  <w:noWrap w:val="0"/>
                  <w:vAlign w:val="center"/>
                </w:tcPr>
                <w:p w14:paraId="1A367128">
                  <w:pPr>
                    <w:jc w:val="center"/>
                    <w:rPr>
                      <w:rFonts w:hint="default" w:eastAsia="宋体"/>
                      <w:color w:val="auto"/>
                      <w:szCs w:val="21"/>
                      <w:lang w:val="en-US" w:eastAsia="zh-CN"/>
                    </w:rPr>
                  </w:pPr>
                  <w:r>
                    <w:rPr>
                      <w:rFonts w:hint="eastAsia"/>
                      <w:color w:val="auto"/>
                      <w:szCs w:val="21"/>
                      <w:lang w:val="en-US" w:eastAsia="zh-CN"/>
                    </w:rPr>
                    <w:t>厂界西侧、南侧、东侧</w:t>
                  </w:r>
                </w:p>
              </w:tc>
              <w:tc>
                <w:tcPr>
                  <w:tcW w:w="733" w:type="pct"/>
                  <w:noWrap w:val="0"/>
                  <w:vAlign w:val="center"/>
                </w:tcPr>
                <w:p w14:paraId="6F89C64C">
                  <w:pPr>
                    <w:jc w:val="center"/>
                    <w:rPr>
                      <w:color w:val="auto"/>
                      <w:szCs w:val="21"/>
                    </w:rPr>
                  </w:pPr>
                  <w:r>
                    <w:rPr>
                      <w:color w:val="auto"/>
                      <w:szCs w:val="21"/>
                    </w:rPr>
                    <w:t>L</w:t>
                  </w:r>
                  <w:r>
                    <w:rPr>
                      <w:color w:val="auto"/>
                      <w:szCs w:val="21"/>
                      <w:vertAlign w:val="subscript"/>
                    </w:rPr>
                    <w:t>Aeq</w:t>
                  </w:r>
                </w:p>
              </w:tc>
              <w:tc>
                <w:tcPr>
                  <w:tcW w:w="766" w:type="pct"/>
                  <w:noWrap w:val="0"/>
                  <w:vAlign w:val="center"/>
                </w:tcPr>
                <w:p w14:paraId="066DE3B9">
                  <w:pPr>
                    <w:jc w:val="center"/>
                    <w:rPr>
                      <w:rFonts w:hint="eastAsia"/>
                      <w:color w:val="auto"/>
                      <w:szCs w:val="21"/>
                    </w:rPr>
                  </w:pPr>
                  <w:r>
                    <w:rPr>
                      <w:rFonts w:hint="eastAsia"/>
                      <w:color w:val="auto"/>
                      <w:szCs w:val="21"/>
                    </w:rPr>
                    <w:t>1</w:t>
                  </w:r>
                  <w:r>
                    <w:rPr>
                      <w:color w:val="auto"/>
                      <w:szCs w:val="21"/>
                    </w:rPr>
                    <w:t>次</w:t>
                  </w:r>
                  <w:r>
                    <w:rPr>
                      <w:rFonts w:hint="eastAsia"/>
                      <w:color w:val="auto"/>
                      <w:szCs w:val="21"/>
                    </w:rPr>
                    <w:t>/季度</w:t>
                  </w:r>
                </w:p>
              </w:tc>
              <w:tc>
                <w:tcPr>
                  <w:tcW w:w="1735" w:type="pct"/>
                  <w:noWrap w:val="0"/>
                  <w:vAlign w:val="center"/>
                </w:tcPr>
                <w:p w14:paraId="00BAD4D5">
                  <w:pPr>
                    <w:jc w:val="center"/>
                    <w:rPr>
                      <w:rFonts w:hint="eastAsia"/>
                      <w:color w:val="auto"/>
                      <w:szCs w:val="21"/>
                    </w:rPr>
                  </w:pPr>
                  <w:r>
                    <w:rPr>
                      <w:color w:val="auto"/>
                      <w:szCs w:val="21"/>
                    </w:rPr>
                    <w:t>《工业企业厂界环境噪声排放标准》（GB12348-2008）</w:t>
                  </w:r>
                  <w:r>
                    <w:rPr>
                      <w:rFonts w:hint="eastAsia"/>
                      <w:color w:val="auto"/>
                      <w:szCs w:val="21"/>
                      <w:lang w:val="en-US" w:eastAsia="zh-CN"/>
                    </w:rPr>
                    <w:t>3</w:t>
                  </w:r>
                  <w:r>
                    <w:rPr>
                      <w:rFonts w:hint="eastAsia"/>
                      <w:color w:val="auto"/>
                      <w:szCs w:val="21"/>
                    </w:rPr>
                    <w:t>类标准</w:t>
                  </w:r>
                </w:p>
              </w:tc>
            </w:tr>
            <w:tr w14:paraId="233F10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000" w:type="pct"/>
                  <w:gridSpan w:val="5"/>
                  <w:noWrap w:val="0"/>
                  <w:vAlign w:val="center"/>
                </w:tcPr>
                <w:p w14:paraId="284B8155">
                  <w:pPr>
                    <w:jc w:val="both"/>
                    <w:rPr>
                      <w:rFonts w:hint="default" w:eastAsia="宋体"/>
                      <w:color w:val="auto"/>
                      <w:szCs w:val="21"/>
                      <w:lang w:val="en-US" w:eastAsia="zh-CN"/>
                    </w:rPr>
                  </w:pPr>
                  <w:r>
                    <w:rPr>
                      <w:rFonts w:hint="eastAsia"/>
                      <w:color w:val="auto"/>
                      <w:szCs w:val="21"/>
                      <w:lang w:val="en-US" w:eastAsia="zh-CN"/>
                    </w:rPr>
                    <w:t>注：北侧紧邻</w:t>
                  </w:r>
                  <w:r>
                    <w:rPr>
                      <w:rFonts w:hint="eastAsia"/>
                      <w:color w:val="auto"/>
                      <w:szCs w:val="21"/>
                      <w:highlight w:val="none"/>
                      <w:lang w:val="en-US" w:eastAsia="zh-CN" w:bidi="he-IL"/>
                    </w:rPr>
                    <w:t>厂房无监测条件，因此不监测。</w:t>
                  </w:r>
                </w:p>
              </w:tc>
            </w:tr>
          </w:tbl>
          <w:p w14:paraId="22CBB25B">
            <w:pPr>
              <w:pStyle w:val="6"/>
              <w:spacing w:before="120" w:beforeLines="50" w:line="360" w:lineRule="auto"/>
              <w:ind w:firstLine="482" w:firstLineChars="200"/>
              <w:rPr>
                <w:rFonts w:hint="eastAsia"/>
                <w:b/>
                <w:bCs/>
                <w:color w:val="auto"/>
                <w:szCs w:val="24"/>
              </w:rPr>
            </w:pPr>
            <w:r>
              <w:rPr>
                <w:rFonts w:hint="eastAsia"/>
                <w:b/>
                <w:bCs/>
                <w:color w:val="auto"/>
                <w:szCs w:val="24"/>
              </w:rPr>
              <w:t>4、固体废物</w:t>
            </w:r>
          </w:p>
          <w:p w14:paraId="688E6B85">
            <w:pPr>
              <w:pStyle w:val="6"/>
              <w:spacing w:line="360" w:lineRule="auto"/>
              <w:ind w:firstLine="480" w:firstLineChars="200"/>
              <w:rPr>
                <w:color w:val="auto"/>
                <w:szCs w:val="24"/>
              </w:rPr>
            </w:pPr>
            <w:r>
              <w:rPr>
                <w:rFonts w:hint="eastAsia"/>
                <w:color w:val="auto"/>
                <w:szCs w:val="24"/>
              </w:rPr>
              <w:t>项目运营期产生的固体废物主要为员工生活垃圾、</w:t>
            </w:r>
            <w:r>
              <w:rPr>
                <w:rFonts w:hint="eastAsia"/>
                <w:color w:val="auto"/>
                <w:szCs w:val="24"/>
                <w:lang w:val="en-US" w:eastAsia="zh-CN"/>
              </w:rPr>
              <w:t>一般工业固体废物（</w:t>
            </w:r>
            <w:r>
              <w:rPr>
                <w:rFonts w:hint="eastAsia" w:cs="Times New Roman"/>
                <w:color w:val="auto"/>
                <w:sz w:val="24"/>
                <w:lang w:val="en-US" w:eastAsia="zh-CN"/>
              </w:rPr>
              <w:t>废零部件、废轮胎、废焊丝、废打磨片、废锂电池</w:t>
            </w:r>
            <w:r>
              <w:rPr>
                <w:rFonts w:hint="eastAsia"/>
                <w:color w:val="auto"/>
                <w:szCs w:val="24"/>
                <w:lang w:val="en-US" w:eastAsia="zh-CN"/>
              </w:rPr>
              <w:t>）和危险废物（</w:t>
            </w:r>
            <w:r>
              <w:rPr>
                <w:rFonts w:hint="eastAsia" w:cs="Times New Roman"/>
                <w:color w:val="auto"/>
                <w:lang w:eastAsia="zh-CN"/>
              </w:rPr>
              <w:t>油泥</w:t>
            </w:r>
            <w:r>
              <w:rPr>
                <w:rFonts w:hint="eastAsia" w:ascii="Times New Roman" w:hAnsi="Times New Roman" w:eastAsia="宋体" w:cs="Times New Roman"/>
                <w:color w:val="auto"/>
                <w:lang w:eastAsia="zh-CN"/>
              </w:rPr>
              <w:t>、</w:t>
            </w:r>
            <w:r>
              <w:rPr>
                <w:rFonts w:hint="eastAsia" w:cs="Times New Roman"/>
                <w:color w:val="auto"/>
                <w:sz w:val="24"/>
                <w:lang w:val="en-US" w:eastAsia="zh-CN"/>
              </w:rPr>
              <w:t>废机滤、废机油、废刹车油、废变速箱油、废铅酸电池、废防冻液、废原子灰渣、废油漆桶、废油桶、废刹车片、废荧光灯管、废遮蔽纸、废过滤棉、废活性炭和废抹布</w:t>
            </w:r>
            <w:r>
              <w:rPr>
                <w:rFonts w:hint="eastAsia" w:ascii="Times New Roman" w:hAnsi="Times New Roman" w:eastAsia="宋体" w:cs="Times New Roman"/>
                <w:color w:val="auto"/>
                <w:lang w:eastAsia="zh-CN"/>
              </w:rPr>
              <w:t>）</w:t>
            </w:r>
            <w:r>
              <w:rPr>
                <w:rFonts w:hint="eastAsia"/>
                <w:color w:val="auto"/>
                <w:szCs w:val="24"/>
              </w:rPr>
              <w:t>。</w:t>
            </w:r>
          </w:p>
          <w:p w14:paraId="1FAADE5E">
            <w:pPr>
              <w:pStyle w:val="6"/>
              <w:spacing w:line="360" w:lineRule="auto"/>
              <w:ind w:firstLine="480" w:firstLineChars="200"/>
              <w:rPr>
                <w:rFonts w:hint="eastAsia"/>
                <w:color w:val="auto"/>
                <w:szCs w:val="24"/>
              </w:rPr>
            </w:pPr>
            <w:r>
              <w:rPr>
                <w:rFonts w:hint="eastAsia"/>
                <w:color w:val="auto"/>
                <w:szCs w:val="24"/>
              </w:rPr>
              <w:t>（</w:t>
            </w:r>
            <w:r>
              <w:rPr>
                <w:color w:val="auto"/>
                <w:szCs w:val="24"/>
              </w:rPr>
              <w:t>1</w:t>
            </w:r>
            <w:r>
              <w:rPr>
                <w:rFonts w:hint="eastAsia"/>
                <w:color w:val="auto"/>
                <w:szCs w:val="24"/>
              </w:rPr>
              <w:t>）生活垃圾</w:t>
            </w:r>
          </w:p>
          <w:p w14:paraId="0A037D75">
            <w:pPr>
              <w:pStyle w:val="6"/>
              <w:spacing w:line="360" w:lineRule="auto"/>
              <w:ind w:firstLine="480" w:firstLineChars="200"/>
              <w:rPr>
                <w:rFonts w:hint="eastAsia"/>
                <w:color w:val="auto"/>
                <w:szCs w:val="24"/>
              </w:rPr>
            </w:pPr>
            <w:r>
              <w:rPr>
                <w:color w:val="auto"/>
              </w:rPr>
              <w:t>项目</w:t>
            </w:r>
            <w:r>
              <w:rPr>
                <w:rFonts w:hint="eastAsia"/>
                <w:color w:val="auto"/>
              </w:rPr>
              <w:t>劳动定员</w:t>
            </w:r>
            <w:r>
              <w:rPr>
                <w:rFonts w:hint="eastAsia"/>
                <w:color w:val="auto"/>
                <w:lang w:val="en-US" w:eastAsia="zh-CN"/>
              </w:rPr>
              <w:t>58</w:t>
            </w:r>
            <w:r>
              <w:rPr>
                <w:color w:val="auto"/>
              </w:rPr>
              <w:t>人，日产生垃圾量按</w:t>
            </w:r>
            <w:r>
              <w:rPr>
                <w:rFonts w:hint="eastAsia"/>
                <w:color w:val="auto"/>
              </w:rPr>
              <w:t>0.5</w:t>
            </w:r>
            <w:r>
              <w:rPr>
                <w:color w:val="auto"/>
              </w:rPr>
              <w:t xml:space="preserve"> kg/人·d计，则员工</w:t>
            </w:r>
            <w:r>
              <w:rPr>
                <w:rFonts w:hint="eastAsia"/>
                <w:color w:val="auto"/>
              </w:rPr>
              <w:t>生活</w:t>
            </w:r>
            <w:r>
              <w:rPr>
                <w:color w:val="auto"/>
              </w:rPr>
              <w:t>垃圾产生量</w:t>
            </w:r>
            <w:r>
              <w:rPr>
                <w:rFonts w:hint="eastAsia"/>
                <w:color w:val="auto"/>
                <w:lang w:val="en-US" w:eastAsia="zh-CN"/>
              </w:rPr>
              <w:t>为29kg/d，10.585</w:t>
            </w:r>
            <w:r>
              <w:rPr>
                <w:rFonts w:hint="eastAsia"/>
                <w:color w:val="auto"/>
              </w:rPr>
              <w:t>t</w:t>
            </w:r>
            <w:r>
              <w:rPr>
                <w:color w:val="auto"/>
              </w:rPr>
              <w:t>/a</w:t>
            </w:r>
            <w:r>
              <w:rPr>
                <w:rFonts w:hint="eastAsia"/>
                <w:color w:val="auto"/>
              </w:rPr>
              <w:t>，生活</w:t>
            </w:r>
            <w:r>
              <w:rPr>
                <w:color w:val="auto"/>
              </w:rPr>
              <w:t>垃圾</w:t>
            </w:r>
            <w:r>
              <w:rPr>
                <w:rFonts w:hint="eastAsia"/>
                <w:color w:val="auto"/>
              </w:rPr>
              <w:t>经垃圾桶收集后，交由环卫部门统一收集清运。</w:t>
            </w:r>
          </w:p>
          <w:p w14:paraId="7BDA8D33">
            <w:pPr>
              <w:pStyle w:val="6"/>
              <w:spacing w:line="360" w:lineRule="auto"/>
              <w:ind w:firstLine="480" w:firstLineChars="20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2</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一般工业固体废物</w:t>
            </w:r>
          </w:p>
          <w:p w14:paraId="3737BEA7">
            <w:pPr>
              <w:pStyle w:val="6"/>
              <w:spacing w:line="360" w:lineRule="auto"/>
              <w:ind w:firstLine="480" w:firstLineChars="200"/>
              <w:rPr>
                <w:rFonts w:hint="default" w:cs="Times New Roman"/>
                <w:color w:val="auto"/>
                <w:sz w:val="24"/>
                <w:lang w:val="en-US" w:eastAsia="zh-CN"/>
              </w:rPr>
            </w:pPr>
            <w:r>
              <w:rPr>
                <w:rFonts w:hint="eastAsia" w:ascii="Times New Roman" w:hAnsi="Times New Roman" w:eastAsia="宋体" w:cs="Times New Roman"/>
                <w:color w:val="auto"/>
                <w:lang w:val="en-US" w:eastAsia="zh-CN"/>
              </w:rPr>
              <w:t>1）</w:t>
            </w:r>
            <w:r>
              <w:rPr>
                <w:rFonts w:hint="eastAsia" w:cs="Times New Roman"/>
                <w:color w:val="auto"/>
                <w:sz w:val="24"/>
                <w:lang w:val="en-US" w:eastAsia="zh-CN"/>
              </w:rPr>
              <w:t>废零部件、废轮胎</w:t>
            </w:r>
          </w:p>
          <w:p w14:paraId="61B3D505">
            <w:pPr>
              <w:pStyle w:val="6"/>
              <w:spacing w:line="360" w:lineRule="auto"/>
              <w:ind w:firstLine="480" w:firstLineChars="200"/>
              <w:rPr>
                <w:rFonts w:hint="default" w:cs="Times New Roman"/>
                <w:color w:val="auto"/>
                <w:sz w:val="24"/>
                <w:lang w:val="en-US" w:eastAsia="zh-CN"/>
              </w:rPr>
            </w:pPr>
            <w:r>
              <w:rPr>
                <w:rFonts w:hint="eastAsia" w:cs="Times New Roman"/>
                <w:color w:val="auto"/>
                <w:sz w:val="24"/>
                <w:lang w:val="en-US" w:eastAsia="zh-CN"/>
              </w:rPr>
              <w:t>本项目废零部件产生量为0.1</w:t>
            </w:r>
            <w:r>
              <w:rPr>
                <w:rFonts w:hint="eastAsia"/>
                <w:color w:val="auto"/>
                <w:szCs w:val="24"/>
                <w:lang w:val="en-US" w:eastAsia="zh-CN"/>
              </w:rPr>
              <w:t>t/a</w:t>
            </w:r>
            <w:r>
              <w:rPr>
                <w:rFonts w:hint="eastAsia" w:cs="Times New Roman"/>
                <w:color w:val="auto"/>
                <w:sz w:val="24"/>
                <w:lang w:val="en-US" w:eastAsia="zh-CN"/>
              </w:rPr>
              <w:t>，废轮胎产生量为2</w:t>
            </w:r>
            <w:r>
              <w:rPr>
                <w:rFonts w:hint="eastAsia"/>
                <w:color w:val="auto"/>
                <w:szCs w:val="24"/>
                <w:lang w:val="en-US" w:eastAsia="zh-CN"/>
              </w:rPr>
              <w:t>t/a</w:t>
            </w:r>
            <w:r>
              <w:rPr>
                <w:rFonts w:hint="eastAsia" w:cs="Times New Roman"/>
                <w:color w:val="auto"/>
                <w:sz w:val="24"/>
                <w:lang w:val="en-US" w:eastAsia="zh-CN"/>
              </w:rPr>
              <w:t>，</w:t>
            </w:r>
            <w:r>
              <w:rPr>
                <w:rFonts w:hint="eastAsia"/>
                <w:color w:val="auto"/>
                <w:szCs w:val="24"/>
                <w:lang w:val="en-US" w:eastAsia="zh-CN"/>
              </w:rPr>
              <w:t>集中收集后外售处置。</w:t>
            </w:r>
          </w:p>
          <w:p w14:paraId="1DAE6E41">
            <w:pPr>
              <w:pStyle w:val="6"/>
              <w:spacing w:line="360" w:lineRule="auto"/>
              <w:ind w:firstLine="480" w:firstLineChars="200"/>
              <w:rPr>
                <w:rFonts w:hint="eastAsia" w:cs="Times New Roman"/>
                <w:color w:val="auto"/>
                <w:sz w:val="24"/>
                <w:lang w:val="en-US" w:eastAsia="zh-CN"/>
              </w:rPr>
            </w:pPr>
            <w:r>
              <w:rPr>
                <w:rFonts w:hint="eastAsia" w:cs="Times New Roman"/>
                <w:color w:val="auto"/>
                <w:sz w:val="24"/>
                <w:lang w:val="en-US" w:eastAsia="zh-CN"/>
              </w:rPr>
              <w:t>2）废焊丝</w:t>
            </w:r>
          </w:p>
          <w:p w14:paraId="6958AAF6">
            <w:pPr>
              <w:pStyle w:val="6"/>
              <w:spacing w:line="360" w:lineRule="auto"/>
              <w:ind w:firstLine="480" w:firstLineChars="200"/>
              <w:rPr>
                <w:rFonts w:hint="eastAsia" w:cs="Times New Roman"/>
                <w:color w:val="auto"/>
                <w:sz w:val="24"/>
                <w:lang w:val="en-US" w:eastAsia="zh-CN"/>
              </w:rPr>
            </w:pPr>
            <w:r>
              <w:rPr>
                <w:rFonts w:hint="eastAsia" w:cs="Times New Roman"/>
                <w:color w:val="auto"/>
                <w:sz w:val="24"/>
                <w:lang w:val="en-US" w:eastAsia="zh-CN"/>
              </w:rPr>
              <w:t>焊接工序会产生一定量的废焊丝，</w:t>
            </w:r>
            <w:r>
              <w:rPr>
                <w:rFonts w:hint="eastAsia"/>
                <w:color w:val="auto"/>
                <w:szCs w:val="24"/>
              </w:rPr>
              <w:t>参考《机加工行业环境影响评价中常见污染物源强估算及污染治理》（湖北大学学报自然科学版，2010.9），焊渣产生量按焊丝/焊条5%计算，焊条使用量为0.</w:t>
            </w:r>
            <w:r>
              <w:rPr>
                <w:rFonts w:hint="eastAsia"/>
                <w:color w:val="auto"/>
                <w:szCs w:val="24"/>
                <w:lang w:val="en-US" w:eastAsia="zh-CN"/>
              </w:rPr>
              <w:t>015</w:t>
            </w:r>
            <w:r>
              <w:rPr>
                <w:rFonts w:hint="eastAsia"/>
                <w:color w:val="auto"/>
                <w:szCs w:val="24"/>
              </w:rPr>
              <w:t>t/a，则</w:t>
            </w:r>
            <w:r>
              <w:rPr>
                <w:rFonts w:hint="eastAsia"/>
                <w:color w:val="auto"/>
                <w:szCs w:val="24"/>
                <w:lang w:val="en-US" w:eastAsia="zh-CN"/>
              </w:rPr>
              <w:t>废焊丝</w:t>
            </w:r>
            <w:r>
              <w:rPr>
                <w:rFonts w:hint="eastAsia"/>
                <w:color w:val="auto"/>
                <w:szCs w:val="24"/>
              </w:rPr>
              <w:t>产生</w:t>
            </w:r>
            <w:r>
              <w:rPr>
                <w:rFonts w:hint="eastAsia"/>
                <w:color w:val="auto"/>
                <w:szCs w:val="24"/>
                <w:lang w:val="en-US" w:eastAsia="zh-CN"/>
              </w:rPr>
              <w:t>量</w:t>
            </w:r>
            <w:r>
              <w:rPr>
                <w:rFonts w:hint="eastAsia"/>
                <w:color w:val="auto"/>
                <w:szCs w:val="24"/>
              </w:rPr>
              <w:t>为</w:t>
            </w:r>
            <w:r>
              <w:rPr>
                <w:rFonts w:hint="eastAsia"/>
                <w:color w:val="auto"/>
                <w:szCs w:val="24"/>
                <w:lang w:val="en-US" w:eastAsia="zh-CN"/>
              </w:rPr>
              <w:t>0.00075t/a，集中收集后外售处置。</w:t>
            </w:r>
          </w:p>
          <w:p w14:paraId="4214A342">
            <w:pPr>
              <w:pStyle w:val="6"/>
              <w:spacing w:line="360" w:lineRule="auto"/>
              <w:ind w:firstLine="480" w:firstLineChars="200"/>
              <w:rPr>
                <w:rFonts w:hint="default" w:ascii="Times New Roman" w:hAnsi="Times New Roman" w:eastAsia="宋体" w:cs="Times New Roman"/>
                <w:color w:val="auto"/>
                <w:lang w:val="en-US" w:eastAsia="zh-CN"/>
              </w:rPr>
            </w:pPr>
            <w:r>
              <w:rPr>
                <w:rFonts w:hint="eastAsia" w:cs="Times New Roman"/>
                <w:color w:val="auto"/>
                <w:sz w:val="24"/>
                <w:lang w:val="en-US" w:eastAsia="zh-CN"/>
              </w:rPr>
              <w:t>3）废打磨片</w:t>
            </w:r>
          </w:p>
          <w:p w14:paraId="2830A07C">
            <w:pPr>
              <w:pStyle w:val="6"/>
              <w:spacing w:line="360" w:lineRule="auto"/>
              <w:ind w:firstLine="480" w:firstLineChars="200"/>
              <w:rPr>
                <w:rFonts w:hint="eastAsia" w:cs="Times New Roman"/>
                <w:color w:val="auto"/>
                <w:sz w:val="24"/>
                <w:lang w:val="en-US" w:eastAsia="zh-CN"/>
              </w:rPr>
            </w:pPr>
            <w:r>
              <w:rPr>
                <w:rFonts w:hint="eastAsia" w:cs="Times New Roman"/>
                <w:color w:val="auto"/>
                <w:sz w:val="24"/>
                <w:lang w:val="en-US" w:eastAsia="zh-CN"/>
              </w:rPr>
              <w:t>本项目打磨工序会产生一定量的废打磨片，产生量为</w:t>
            </w:r>
            <w:r>
              <w:rPr>
                <w:rFonts w:hint="eastAsia" w:ascii="Times New Roman" w:hAnsi="Times New Roman" w:eastAsia="宋体" w:cs="Times New Roman"/>
                <w:color w:val="auto"/>
                <w:lang w:val="en-US" w:eastAsia="zh-CN"/>
              </w:rPr>
              <w:t>0.1</w:t>
            </w:r>
            <w:r>
              <w:rPr>
                <w:rFonts w:hint="eastAsia"/>
                <w:color w:val="auto"/>
                <w:szCs w:val="24"/>
                <w:lang w:val="en-US" w:eastAsia="zh-CN"/>
              </w:rPr>
              <w:t>t/a</w:t>
            </w:r>
            <w:r>
              <w:rPr>
                <w:rFonts w:hint="eastAsia" w:ascii="Times New Roman" w:hAnsi="Times New Roman" w:eastAsia="宋体" w:cs="Times New Roman"/>
                <w:color w:val="auto"/>
                <w:lang w:val="en-US" w:eastAsia="zh-CN"/>
              </w:rPr>
              <w:t>，</w:t>
            </w:r>
            <w:r>
              <w:rPr>
                <w:rFonts w:hint="eastAsia"/>
                <w:color w:val="auto"/>
                <w:szCs w:val="24"/>
                <w:lang w:val="en-US" w:eastAsia="zh-CN"/>
              </w:rPr>
              <w:t>集中收集后外售处置。</w:t>
            </w:r>
          </w:p>
          <w:p w14:paraId="795F5185">
            <w:pPr>
              <w:pStyle w:val="6"/>
              <w:spacing w:line="360" w:lineRule="auto"/>
              <w:ind w:firstLine="480" w:firstLineChars="200"/>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val="en-US" w:eastAsia="zh-CN"/>
              </w:rPr>
              <w:t>4）</w:t>
            </w:r>
            <w:r>
              <w:rPr>
                <w:rFonts w:ascii="Times New Roman" w:hAnsi="Times New Roman" w:eastAsia="宋体" w:cs="Times New Roman"/>
                <w:color w:val="auto"/>
              </w:rPr>
              <w:t>废</w:t>
            </w:r>
            <w:r>
              <w:rPr>
                <w:rFonts w:hint="eastAsia" w:ascii="Times New Roman" w:hAnsi="Times New Roman" w:eastAsia="宋体" w:cs="Times New Roman"/>
                <w:color w:val="auto"/>
                <w:lang w:val="en-US" w:eastAsia="zh-CN"/>
              </w:rPr>
              <w:t>锂电池</w:t>
            </w:r>
          </w:p>
          <w:p w14:paraId="5D9AB447">
            <w:pPr>
              <w:pStyle w:val="6"/>
              <w:spacing w:line="360" w:lineRule="auto"/>
              <w:ind w:firstLine="480" w:firstLineChars="200"/>
              <w:rPr>
                <w:rFonts w:hint="default" w:ascii="Times New Roman" w:hAnsi="Times New Roman" w:eastAsia="宋体" w:cs="Times New Roman"/>
                <w:color w:val="auto"/>
                <w:lang w:val="en-US" w:eastAsia="zh-CN"/>
              </w:rPr>
            </w:pPr>
            <w:r>
              <w:rPr>
                <w:rFonts w:ascii="Times New Roman" w:hAnsi="Times New Roman" w:eastAsia="宋体" w:cs="Times New Roman"/>
                <w:color w:val="auto"/>
              </w:rPr>
              <w:t>本项目</w:t>
            </w:r>
            <w:r>
              <w:rPr>
                <w:rFonts w:hint="eastAsia" w:ascii="Times New Roman" w:hAnsi="Times New Roman" w:eastAsia="宋体" w:cs="Times New Roman"/>
                <w:color w:val="auto"/>
                <w:lang w:val="en-US" w:eastAsia="zh-CN"/>
              </w:rPr>
              <w:t>废锂电池年产生量为</w:t>
            </w:r>
            <w:r>
              <w:rPr>
                <w:rFonts w:hint="eastAsia" w:eastAsia="宋体"/>
                <w:color w:val="auto"/>
                <w:szCs w:val="21"/>
                <w:lang w:val="en-US" w:eastAsia="zh-CN"/>
              </w:rPr>
              <w:t>5块</w:t>
            </w:r>
            <w:r>
              <w:rPr>
                <w:rFonts w:hint="eastAsia" w:ascii="Times New Roman" w:hAnsi="Times New Roman" w:eastAsia="宋体" w:cs="Times New Roman"/>
                <w:color w:val="auto"/>
                <w:lang w:val="en-US" w:eastAsia="zh-CN"/>
              </w:rPr>
              <w:t>，收集暂存后由厂家回收处置。</w:t>
            </w:r>
          </w:p>
          <w:p w14:paraId="7A73586E">
            <w:pPr>
              <w:pStyle w:val="6"/>
              <w:spacing w:line="360" w:lineRule="auto"/>
              <w:ind w:firstLine="480" w:firstLineChars="20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3</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危险废物</w:t>
            </w:r>
          </w:p>
          <w:p w14:paraId="010B17B4">
            <w:pPr>
              <w:pStyle w:val="6"/>
              <w:spacing w:line="360" w:lineRule="auto"/>
              <w:ind w:firstLine="480" w:firstLineChars="200"/>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val="en-US" w:eastAsia="zh-CN"/>
              </w:rPr>
              <w:t>1）</w:t>
            </w:r>
            <w:r>
              <w:rPr>
                <w:rFonts w:hint="eastAsia" w:cs="Times New Roman"/>
                <w:color w:val="auto"/>
                <w:lang w:eastAsia="zh-CN"/>
              </w:rPr>
              <w:t>油泥</w:t>
            </w:r>
          </w:p>
          <w:p w14:paraId="6458AB71">
            <w:pPr>
              <w:pStyle w:val="6"/>
              <w:spacing w:line="360" w:lineRule="auto"/>
              <w:ind w:firstLine="480" w:firstLineChars="200"/>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val="en-US" w:eastAsia="zh-CN"/>
              </w:rPr>
              <w:t>根据《汽车维修业污染防治技术规范》（</w:t>
            </w:r>
            <w:r>
              <w:rPr>
                <w:rFonts w:hint="eastAsia" w:ascii="Times New Roman" w:hAnsi="Times New Roman" w:eastAsia="宋体" w:cs="Times New Roman"/>
                <w:color w:val="auto"/>
              </w:rPr>
              <w:t>DB</w:t>
            </w:r>
            <w:r>
              <w:rPr>
                <w:rFonts w:hint="eastAsia" w:ascii="Times New Roman" w:hAnsi="Times New Roman" w:eastAsia="宋体" w:cs="Times New Roman"/>
                <w:color w:val="auto"/>
                <w:lang w:val="en-US" w:eastAsia="zh-CN"/>
              </w:rPr>
              <w:t xml:space="preserve"> </w:t>
            </w:r>
            <w:r>
              <w:rPr>
                <w:rFonts w:hint="eastAsia" w:ascii="Times New Roman" w:hAnsi="Times New Roman" w:eastAsia="宋体" w:cs="Times New Roman"/>
                <w:color w:val="auto"/>
              </w:rPr>
              <w:t>61/T 1261</w:t>
            </w:r>
            <w:r>
              <w:rPr>
                <w:rFonts w:hint="eastAsia" w:ascii="Times New Roman" w:hAnsi="Times New Roman" w:eastAsia="宋体" w:cs="Times New Roman"/>
                <w:color w:val="auto"/>
                <w:lang w:val="en-US" w:eastAsia="zh-CN"/>
              </w:rPr>
              <w:t>-</w:t>
            </w:r>
            <w:r>
              <w:rPr>
                <w:rFonts w:hint="eastAsia" w:ascii="Times New Roman" w:hAnsi="Times New Roman" w:eastAsia="宋体" w:cs="Times New Roman"/>
                <w:color w:val="auto"/>
              </w:rPr>
              <w:t>2019</w:t>
            </w:r>
            <w:r>
              <w:rPr>
                <w:rFonts w:hint="eastAsia" w:ascii="Times New Roman" w:hAnsi="Times New Roman" w:eastAsia="宋体" w:cs="Times New Roman"/>
                <w:color w:val="auto"/>
                <w:lang w:eastAsia="zh-CN"/>
              </w:rPr>
              <w:t>），</w:t>
            </w:r>
            <w:r>
              <w:rPr>
                <w:rFonts w:ascii="Times New Roman" w:hAnsi="Times New Roman" w:eastAsia="宋体" w:cs="Times New Roman"/>
                <w:color w:val="auto"/>
              </w:rPr>
              <w:t>本项目生产废水经隔油</w:t>
            </w:r>
            <w:r>
              <w:rPr>
                <w:rFonts w:hint="eastAsia" w:ascii="Times New Roman" w:hAnsi="Times New Roman" w:eastAsia="宋体" w:cs="Times New Roman"/>
                <w:color w:val="auto"/>
                <w:lang w:val="en-US" w:eastAsia="zh-CN"/>
              </w:rPr>
              <w:t>池、</w:t>
            </w:r>
            <w:r>
              <w:rPr>
                <w:rFonts w:ascii="Times New Roman" w:hAnsi="Times New Roman" w:eastAsia="宋体" w:cs="Times New Roman"/>
                <w:color w:val="auto"/>
              </w:rPr>
              <w:t>沉淀</w:t>
            </w:r>
            <w:r>
              <w:rPr>
                <w:rFonts w:hint="eastAsia" w:ascii="Times New Roman" w:hAnsi="Times New Roman" w:eastAsia="宋体" w:cs="Times New Roman"/>
                <w:color w:val="auto"/>
                <w:lang w:val="en-US" w:eastAsia="zh-CN"/>
              </w:rPr>
              <w:t>池</w:t>
            </w:r>
            <w:r>
              <w:rPr>
                <w:rFonts w:ascii="Times New Roman" w:hAnsi="Times New Roman" w:eastAsia="宋体" w:cs="Times New Roman"/>
                <w:color w:val="auto"/>
              </w:rPr>
              <w:t>处理后会产生</w:t>
            </w:r>
            <w:r>
              <w:rPr>
                <w:rFonts w:hint="eastAsia" w:cs="Times New Roman"/>
                <w:color w:val="auto"/>
                <w:lang w:eastAsia="zh-CN"/>
              </w:rPr>
              <w:t>油泥</w:t>
            </w:r>
            <w:r>
              <w:rPr>
                <w:rFonts w:ascii="Times New Roman" w:hAnsi="Times New Roman" w:eastAsia="宋体" w:cs="Times New Roman"/>
                <w:color w:val="auto"/>
              </w:rPr>
              <w:t>，</w:t>
            </w:r>
            <w:r>
              <w:rPr>
                <w:rFonts w:hint="eastAsia" w:ascii="Times New Roman" w:hAnsi="Times New Roman" w:eastAsia="宋体" w:cs="Times New Roman"/>
                <w:color w:val="auto"/>
                <w:lang w:val="en-US" w:eastAsia="zh-CN"/>
              </w:rPr>
              <w:t>属于危险废物，</w:t>
            </w:r>
            <w:r>
              <w:rPr>
                <w:rFonts w:ascii="Times New Roman" w:hAnsi="Times New Roman" w:eastAsia="宋体" w:cs="Times New Roman"/>
                <w:color w:val="auto"/>
              </w:rPr>
              <w:t>产生量约为</w:t>
            </w:r>
            <w:r>
              <w:rPr>
                <w:rFonts w:hint="eastAsia" w:cs="Times New Roman"/>
                <w:color w:val="auto"/>
                <w:lang w:eastAsia="zh-CN"/>
              </w:rPr>
              <w:t>0.76</w:t>
            </w:r>
            <w:r>
              <w:rPr>
                <w:rFonts w:ascii="Times New Roman" w:hAnsi="Times New Roman" w:eastAsia="宋体" w:cs="Times New Roman"/>
                <w:color w:val="auto"/>
              </w:rPr>
              <w:t>t/a，</w:t>
            </w:r>
            <w:r>
              <w:rPr>
                <w:color w:val="auto"/>
              </w:rPr>
              <w:t>暂存</w:t>
            </w:r>
            <w:r>
              <w:rPr>
                <w:rFonts w:hint="eastAsia"/>
                <w:color w:val="auto"/>
              </w:rPr>
              <w:t>于</w:t>
            </w:r>
            <w:r>
              <w:rPr>
                <w:rFonts w:hint="eastAsia"/>
                <w:color w:val="auto"/>
                <w:lang w:val="en-US" w:eastAsia="zh-CN"/>
              </w:rPr>
              <w:t>危废贮存库1#</w:t>
            </w:r>
            <w:r>
              <w:rPr>
                <w:rFonts w:hint="eastAsia"/>
                <w:color w:val="auto"/>
              </w:rPr>
              <w:t>，委托有</w:t>
            </w:r>
            <w:r>
              <w:rPr>
                <w:color w:val="auto"/>
              </w:rPr>
              <w:t>资质单位处置。</w:t>
            </w:r>
            <w:r>
              <w:rPr>
                <w:rFonts w:hint="eastAsia"/>
                <w:color w:val="auto"/>
                <w:szCs w:val="24"/>
              </w:rPr>
              <w:t>根据</w:t>
            </w:r>
            <w:r>
              <w:rPr>
                <w:rFonts w:hint="eastAsia"/>
                <w:color w:val="auto"/>
                <w:szCs w:val="24"/>
                <w:lang w:eastAsia="zh-CN"/>
              </w:rPr>
              <w:t>《国家危险废物名录》（2025年版）</w:t>
            </w:r>
            <w:r>
              <w:rPr>
                <w:rFonts w:hint="eastAsia"/>
                <w:color w:val="auto"/>
                <w:szCs w:val="24"/>
              </w:rPr>
              <w:t>，</w:t>
            </w:r>
            <w:r>
              <w:rPr>
                <w:color w:val="auto"/>
              </w:rPr>
              <w:t>类别为</w:t>
            </w:r>
            <w:r>
              <w:rPr>
                <w:rFonts w:hint="eastAsia"/>
                <w:color w:val="auto"/>
                <w:lang w:eastAsia="zh-CN"/>
              </w:rPr>
              <w:t>“</w:t>
            </w:r>
            <w:r>
              <w:rPr>
                <w:color w:val="auto"/>
              </w:rPr>
              <w:t>HW</w:t>
            </w:r>
            <w:r>
              <w:rPr>
                <w:rFonts w:hint="eastAsia"/>
                <w:color w:val="auto"/>
                <w:lang w:val="en-US" w:eastAsia="zh-CN"/>
              </w:rPr>
              <w:t>08</w:t>
            </w:r>
            <w:r>
              <w:rPr>
                <w:rFonts w:hint="eastAsia"/>
                <w:color w:val="auto"/>
              </w:rPr>
              <w:t>废矿物油与含矿物油废物</w:t>
            </w:r>
            <w:r>
              <w:rPr>
                <w:rFonts w:hint="eastAsia"/>
                <w:color w:val="auto"/>
                <w:lang w:eastAsia="zh-CN"/>
              </w:rPr>
              <w:t>”</w:t>
            </w:r>
            <w:r>
              <w:rPr>
                <w:color w:val="auto"/>
              </w:rPr>
              <w:t>，废物代码</w:t>
            </w:r>
            <w:r>
              <w:rPr>
                <w:rFonts w:hint="eastAsia" w:ascii="Times New Roman" w:hAnsi="Times New Roman" w:eastAsia="宋体" w:cs="Times New Roman"/>
                <w:color w:val="auto"/>
              </w:rPr>
              <w:t>900-2</w:t>
            </w:r>
            <w:r>
              <w:rPr>
                <w:rFonts w:hint="eastAsia" w:cs="Times New Roman"/>
                <w:color w:val="auto"/>
                <w:lang w:val="en-US" w:eastAsia="zh-CN"/>
              </w:rPr>
              <w:t>10</w:t>
            </w:r>
            <w:r>
              <w:rPr>
                <w:rFonts w:hint="eastAsia" w:ascii="Times New Roman" w:hAnsi="Times New Roman" w:eastAsia="宋体" w:cs="Times New Roman"/>
                <w:color w:val="auto"/>
              </w:rPr>
              <w:t>-08</w:t>
            </w:r>
            <w:r>
              <w:rPr>
                <w:rFonts w:hint="eastAsia" w:ascii="Times New Roman" w:hAnsi="Times New Roman" w:eastAsia="宋体" w:cs="Times New Roman"/>
                <w:color w:val="auto"/>
                <w:lang w:eastAsia="zh-CN"/>
              </w:rPr>
              <w:t>。</w:t>
            </w:r>
          </w:p>
          <w:p w14:paraId="6F165799">
            <w:pPr>
              <w:pStyle w:val="6"/>
              <w:spacing w:line="360" w:lineRule="auto"/>
              <w:ind w:firstLine="480" w:firstLineChars="200"/>
              <w:rPr>
                <w:rFonts w:hint="default" w:cs="Times New Roman"/>
                <w:color w:val="auto"/>
                <w:sz w:val="24"/>
                <w:lang w:val="en-US" w:eastAsia="zh-CN"/>
              </w:rPr>
            </w:pPr>
            <w:r>
              <w:rPr>
                <w:rFonts w:hint="eastAsia" w:cs="Times New Roman"/>
                <w:color w:val="auto"/>
                <w:sz w:val="24"/>
                <w:lang w:val="en-US" w:eastAsia="zh-CN"/>
              </w:rPr>
              <w:t>2）废矿物油（废机油、废刹车油、废变速箱油等）</w:t>
            </w:r>
          </w:p>
          <w:p w14:paraId="3CAA9EE5">
            <w:pPr>
              <w:pStyle w:val="6"/>
              <w:spacing w:line="360" w:lineRule="auto"/>
              <w:ind w:firstLine="480" w:firstLineChars="200"/>
              <w:rPr>
                <w:rFonts w:hint="eastAsia" w:cs="Times New Roman"/>
                <w:color w:val="auto"/>
                <w:sz w:val="24"/>
                <w:lang w:val="en-US" w:eastAsia="zh-CN"/>
              </w:rPr>
            </w:pPr>
            <w:r>
              <w:rPr>
                <w:rFonts w:hint="eastAsia"/>
                <w:color w:val="auto"/>
                <w:lang w:val="en-US" w:eastAsia="zh-CN"/>
              </w:rPr>
              <w:t>本项目</w:t>
            </w:r>
            <w:r>
              <w:rPr>
                <w:rFonts w:hint="eastAsia" w:cs="Times New Roman"/>
                <w:color w:val="auto"/>
                <w:sz w:val="24"/>
                <w:lang w:val="en-US" w:eastAsia="zh-CN"/>
              </w:rPr>
              <w:t>废矿物油</w:t>
            </w:r>
            <w:r>
              <w:rPr>
                <w:rFonts w:hint="eastAsia"/>
                <w:color w:val="auto"/>
                <w:lang w:val="en-US" w:eastAsia="zh-CN"/>
              </w:rPr>
              <w:t>产生量为7.8t/a，</w:t>
            </w:r>
            <w:r>
              <w:rPr>
                <w:color w:val="auto"/>
              </w:rPr>
              <w:t>暂存</w:t>
            </w:r>
            <w:r>
              <w:rPr>
                <w:rFonts w:hint="eastAsia"/>
                <w:color w:val="auto"/>
              </w:rPr>
              <w:t>于</w:t>
            </w:r>
            <w:r>
              <w:rPr>
                <w:rFonts w:hint="eastAsia"/>
                <w:color w:val="auto"/>
                <w:lang w:val="en-US" w:eastAsia="zh-CN"/>
              </w:rPr>
              <w:t>危废贮存库1#</w:t>
            </w:r>
            <w:r>
              <w:rPr>
                <w:rFonts w:hint="eastAsia"/>
                <w:color w:val="auto"/>
              </w:rPr>
              <w:t>，委托有</w:t>
            </w:r>
            <w:r>
              <w:rPr>
                <w:color w:val="auto"/>
              </w:rPr>
              <w:t>资质单位处置。根据《国家危险废物名录》（202</w:t>
            </w:r>
            <w:r>
              <w:rPr>
                <w:rFonts w:hint="eastAsia"/>
                <w:color w:val="auto"/>
              </w:rPr>
              <w:t>5</w:t>
            </w:r>
            <w:r>
              <w:rPr>
                <w:color w:val="auto"/>
              </w:rPr>
              <w:t>年</w:t>
            </w:r>
            <w:r>
              <w:rPr>
                <w:rFonts w:hint="eastAsia"/>
                <w:color w:val="auto"/>
              </w:rPr>
              <w:t>版</w:t>
            </w:r>
            <w:r>
              <w:rPr>
                <w:color w:val="auto"/>
              </w:rPr>
              <w:t>），</w:t>
            </w:r>
            <w:r>
              <w:rPr>
                <w:rFonts w:hint="eastAsia" w:cs="Times New Roman"/>
                <w:color w:val="auto"/>
                <w:sz w:val="24"/>
                <w:lang w:val="en-US" w:eastAsia="zh-CN"/>
              </w:rPr>
              <w:t>废矿物油</w:t>
            </w:r>
            <w:r>
              <w:rPr>
                <w:color w:val="auto"/>
              </w:rPr>
              <w:t>属于危险废物，类别为</w:t>
            </w:r>
            <w:r>
              <w:rPr>
                <w:rFonts w:hint="eastAsia"/>
                <w:color w:val="auto"/>
                <w:lang w:eastAsia="zh-CN"/>
              </w:rPr>
              <w:t>“</w:t>
            </w:r>
            <w:r>
              <w:rPr>
                <w:color w:val="auto"/>
              </w:rPr>
              <w:t>HW08废矿物油与含矿物油废物</w:t>
            </w:r>
            <w:r>
              <w:rPr>
                <w:rFonts w:hint="eastAsia"/>
                <w:color w:val="auto"/>
                <w:lang w:eastAsia="zh-CN"/>
              </w:rPr>
              <w:t>”</w:t>
            </w:r>
            <w:r>
              <w:rPr>
                <w:color w:val="auto"/>
              </w:rPr>
              <w:t>，废物代码900-2</w:t>
            </w:r>
            <w:r>
              <w:rPr>
                <w:rFonts w:hint="eastAsia"/>
                <w:color w:val="auto"/>
                <w:lang w:val="en-US" w:eastAsia="zh-CN"/>
              </w:rPr>
              <w:t>14</w:t>
            </w:r>
            <w:r>
              <w:rPr>
                <w:color w:val="auto"/>
              </w:rPr>
              <w:t>-08。</w:t>
            </w:r>
          </w:p>
          <w:p w14:paraId="362D001F">
            <w:pPr>
              <w:pStyle w:val="6"/>
              <w:spacing w:line="360" w:lineRule="auto"/>
              <w:ind w:firstLine="480" w:firstLineChars="200"/>
              <w:rPr>
                <w:rFonts w:hint="eastAsia" w:cs="Times New Roman"/>
                <w:color w:val="auto"/>
                <w:sz w:val="24"/>
                <w:lang w:val="en-US" w:eastAsia="zh-CN"/>
              </w:rPr>
            </w:pPr>
            <w:r>
              <w:rPr>
                <w:rFonts w:hint="eastAsia" w:cs="Times New Roman"/>
                <w:color w:val="auto"/>
                <w:sz w:val="24"/>
                <w:lang w:val="en-US" w:eastAsia="zh-CN"/>
              </w:rPr>
              <w:t>3）废油桶</w:t>
            </w:r>
          </w:p>
          <w:p w14:paraId="4C1485C2">
            <w:pPr>
              <w:pStyle w:val="6"/>
              <w:spacing w:line="360" w:lineRule="auto"/>
              <w:ind w:firstLine="480" w:firstLineChars="200"/>
              <w:rPr>
                <w:rFonts w:hint="eastAsia" w:cs="Times New Roman"/>
                <w:color w:val="auto"/>
                <w:sz w:val="24"/>
                <w:lang w:val="en-US" w:eastAsia="zh-CN"/>
              </w:rPr>
            </w:pPr>
            <w:r>
              <w:rPr>
                <w:rFonts w:hint="eastAsia"/>
                <w:color w:val="auto"/>
                <w:lang w:val="en-US" w:eastAsia="zh-CN"/>
              </w:rPr>
              <w:t>本项目废油桶产生量为1.5t/a，</w:t>
            </w:r>
            <w:r>
              <w:rPr>
                <w:color w:val="auto"/>
              </w:rPr>
              <w:t>暂存</w:t>
            </w:r>
            <w:r>
              <w:rPr>
                <w:rFonts w:hint="eastAsia"/>
                <w:color w:val="auto"/>
              </w:rPr>
              <w:t>于</w:t>
            </w:r>
            <w:r>
              <w:rPr>
                <w:rFonts w:hint="eastAsia"/>
                <w:color w:val="auto"/>
                <w:lang w:val="en-US" w:eastAsia="zh-CN"/>
              </w:rPr>
              <w:t>危废贮存库1#</w:t>
            </w:r>
            <w:r>
              <w:rPr>
                <w:rFonts w:hint="eastAsia"/>
                <w:color w:val="auto"/>
              </w:rPr>
              <w:t>，委托有</w:t>
            </w:r>
            <w:r>
              <w:rPr>
                <w:color w:val="auto"/>
              </w:rPr>
              <w:t>资质单位处置。根据</w:t>
            </w:r>
            <w:r>
              <w:rPr>
                <w:rFonts w:hint="eastAsia"/>
                <w:color w:val="auto"/>
              </w:rPr>
              <w:t>《国家危险废物名录》（2025年版）</w:t>
            </w:r>
            <w:r>
              <w:rPr>
                <w:color w:val="auto"/>
              </w:rPr>
              <w:t>，废</w:t>
            </w:r>
            <w:r>
              <w:rPr>
                <w:rFonts w:hint="eastAsia"/>
                <w:color w:val="auto"/>
              </w:rPr>
              <w:t>油桶</w:t>
            </w:r>
            <w:r>
              <w:rPr>
                <w:color w:val="auto"/>
              </w:rPr>
              <w:t>属于危险废物，类别为</w:t>
            </w:r>
            <w:r>
              <w:rPr>
                <w:rFonts w:hint="eastAsia"/>
                <w:color w:val="auto"/>
                <w:lang w:eastAsia="zh-CN"/>
              </w:rPr>
              <w:t>“</w:t>
            </w:r>
            <w:r>
              <w:rPr>
                <w:color w:val="auto"/>
              </w:rPr>
              <w:t>HW08废矿物油与含矿物油废物</w:t>
            </w:r>
            <w:r>
              <w:rPr>
                <w:rFonts w:hint="eastAsia"/>
                <w:color w:val="auto"/>
                <w:lang w:eastAsia="zh-CN"/>
              </w:rPr>
              <w:t>”</w:t>
            </w:r>
            <w:r>
              <w:rPr>
                <w:color w:val="auto"/>
              </w:rPr>
              <w:t>，废物代码900-2</w:t>
            </w:r>
            <w:r>
              <w:rPr>
                <w:rFonts w:hint="eastAsia"/>
                <w:color w:val="auto"/>
              </w:rPr>
              <w:t>49</w:t>
            </w:r>
            <w:r>
              <w:rPr>
                <w:color w:val="auto"/>
              </w:rPr>
              <w:t>-08。</w:t>
            </w:r>
          </w:p>
          <w:p w14:paraId="4DD2BDD8">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cs="Times New Roman"/>
                <w:color w:val="auto"/>
                <w:sz w:val="24"/>
                <w:lang w:val="en-US" w:eastAsia="zh-CN"/>
              </w:rPr>
            </w:pPr>
            <w:r>
              <w:rPr>
                <w:rFonts w:hint="eastAsia" w:cs="Times New Roman"/>
                <w:color w:val="auto"/>
                <w:sz w:val="24"/>
                <w:lang w:val="en-US" w:eastAsia="zh-CN"/>
              </w:rPr>
              <w:t>4）废铅酸电池</w:t>
            </w:r>
          </w:p>
          <w:p w14:paraId="06408251">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cs="Times New Roman"/>
                <w:color w:val="auto"/>
                <w:sz w:val="24"/>
                <w:lang w:val="en-US" w:eastAsia="zh-CN"/>
              </w:rPr>
            </w:pPr>
            <w:r>
              <w:rPr>
                <w:rFonts w:hint="eastAsia"/>
                <w:color w:val="auto"/>
                <w:lang w:val="en-US" w:eastAsia="zh-CN"/>
              </w:rPr>
              <w:t>本项目废铅酸电池产生量为10块/a，</w:t>
            </w:r>
            <w:r>
              <w:rPr>
                <w:color w:val="auto"/>
              </w:rPr>
              <w:t>暂存</w:t>
            </w:r>
            <w:r>
              <w:rPr>
                <w:rFonts w:hint="eastAsia"/>
                <w:color w:val="auto"/>
              </w:rPr>
              <w:t>于</w:t>
            </w:r>
            <w:r>
              <w:rPr>
                <w:rFonts w:hint="eastAsia"/>
                <w:color w:val="auto"/>
                <w:lang w:val="en-US" w:eastAsia="zh-CN"/>
              </w:rPr>
              <w:t>危废贮存库1#</w:t>
            </w:r>
            <w:r>
              <w:rPr>
                <w:rFonts w:hint="eastAsia"/>
                <w:color w:val="auto"/>
              </w:rPr>
              <w:t>，委托有</w:t>
            </w:r>
            <w:r>
              <w:rPr>
                <w:color w:val="auto"/>
              </w:rPr>
              <w:t>资质单位处置。</w:t>
            </w:r>
            <w:r>
              <w:rPr>
                <w:rFonts w:ascii="Times New Roman" w:hAnsi="Times New Roman" w:cs="Times New Roman"/>
                <w:color w:val="auto"/>
                <w:sz w:val="24"/>
              </w:rPr>
              <w:t>根据《国家危险废物名录》（</w:t>
            </w:r>
            <w:r>
              <w:rPr>
                <w:color w:val="auto"/>
              </w:rPr>
              <w:t>202</w:t>
            </w:r>
            <w:r>
              <w:rPr>
                <w:rFonts w:hint="eastAsia"/>
                <w:color w:val="auto"/>
              </w:rPr>
              <w:t>5</w:t>
            </w:r>
            <w:r>
              <w:rPr>
                <w:color w:val="auto"/>
              </w:rPr>
              <w:t>年</w:t>
            </w:r>
            <w:r>
              <w:rPr>
                <w:rFonts w:hint="eastAsia"/>
                <w:color w:val="auto"/>
              </w:rPr>
              <w:t>版</w:t>
            </w:r>
            <w:r>
              <w:rPr>
                <w:rFonts w:ascii="Times New Roman" w:hAnsi="Times New Roman" w:cs="Times New Roman"/>
                <w:color w:val="auto"/>
                <w:sz w:val="24"/>
              </w:rPr>
              <w:t>），</w:t>
            </w:r>
            <w:r>
              <w:rPr>
                <w:rFonts w:hint="eastAsia" w:cs="Times New Roman"/>
                <w:color w:val="auto"/>
                <w:sz w:val="24"/>
                <w:lang w:val="en-US" w:eastAsia="zh-CN"/>
              </w:rPr>
              <w:t>废铅酸电池</w:t>
            </w:r>
            <w:r>
              <w:rPr>
                <w:rFonts w:ascii="Times New Roman" w:hAnsi="Times New Roman" w:cs="Times New Roman"/>
                <w:color w:val="auto"/>
                <w:sz w:val="24"/>
              </w:rPr>
              <w:t>属于危险废物，废物类别为</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rPr>
              <w:t>HW31含铅废物</w:t>
            </w:r>
            <w:r>
              <w:rPr>
                <w:rFonts w:hint="eastAsia" w:ascii="Times New Roman" w:hAnsi="Times New Roman" w:cs="Times New Roman"/>
                <w:color w:val="auto"/>
                <w:sz w:val="24"/>
                <w:lang w:eastAsia="zh-CN"/>
              </w:rPr>
              <w:t>”</w:t>
            </w:r>
            <w:r>
              <w:rPr>
                <w:rFonts w:ascii="Times New Roman" w:hAnsi="Times New Roman" w:cs="Times New Roman"/>
                <w:color w:val="auto"/>
                <w:sz w:val="24"/>
              </w:rPr>
              <w:t>，废物代码</w:t>
            </w:r>
            <w:r>
              <w:rPr>
                <w:rFonts w:hint="eastAsia" w:ascii="Times New Roman" w:hAnsi="Times New Roman" w:cs="Times New Roman"/>
                <w:color w:val="auto"/>
                <w:sz w:val="24"/>
                <w:lang w:val="en-US" w:eastAsia="zh-CN"/>
              </w:rPr>
              <w:t>为“</w:t>
            </w:r>
            <w:r>
              <w:rPr>
                <w:rFonts w:hint="eastAsia" w:ascii="Times New Roman" w:hAnsi="Times New Roman" w:cs="Times New Roman"/>
                <w:color w:val="auto"/>
                <w:sz w:val="24"/>
              </w:rPr>
              <w:t>900-052-31</w:t>
            </w:r>
            <w:r>
              <w:rPr>
                <w:rFonts w:hint="eastAsia" w:ascii="Times New Roman" w:hAnsi="Times New Roman" w:cs="Times New Roman"/>
                <w:color w:val="auto"/>
                <w:sz w:val="24"/>
                <w:lang w:eastAsia="zh-CN"/>
              </w:rPr>
              <w:t>，废铅蓄电池及废铅蓄电池拆解过程中产生的废铅板、废铅膏和酸液”</w:t>
            </w:r>
            <w:r>
              <w:rPr>
                <w:rFonts w:ascii="Times New Roman" w:hAnsi="Times New Roman" w:cs="Times New Roman"/>
                <w:color w:val="auto"/>
                <w:sz w:val="24"/>
              </w:rPr>
              <w:t>。</w:t>
            </w:r>
          </w:p>
          <w:p w14:paraId="69574243">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cs="Times New Roman"/>
                <w:color w:val="auto"/>
                <w:sz w:val="24"/>
                <w:lang w:val="en-US" w:eastAsia="zh-CN"/>
              </w:rPr>
            </w:pPr>
            <w:r>
              <w:rPr>
                <w:rFonts w:hint="eastAsia" w:cs="Times New Roman"/>
                <w:color w:val="auto"/>
                <w:sz w:val="24"/>
                <w:lang w:val="en-US" w:eastAsia="zh-CN"/>
              </w:rPr>
              <w:t>5）废原子灰渣</w:t>
            </w:r>
          </w:p>
          <w:p w14:paraId="204F1B5E">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cs="Times New Roman"/>
                <w:color w:val="auto"/>
                <w:sz w:val="24"/>
                <w:lang w:val="en-US" w:eastAsia="zh-CN"/>
              </w:rPr>
            </w:pPr>
            <w:r>
              <w:rPr>
                <w:rFonts w:hint="eastAsia"/>
                <w:color w:val="auto"/>
                <w:lang w:val="en-US" w:eastAsia="zh-CN"/>
              </w:rPr>
              <w:t>本项目原子灰刮涂中废原子灰渣产生量为0.03t/a，</w:t>
            </w:r>
            <w:r>
              <w:rPr>
                <w:color w:val="auto"/>
              </w:rPr>
              <w:t>暂存</w:t>
            </w:r>
            <w:r>
              <w:rPr>
                <w:rFonts w:hint="eastAsia"/>
                <w:color w:val="auto"/>
              </w:rPr>
              <w:t>于</w:t>
            </w:r>
            <w:r>
              <w:rPr>
                <w:rFonts w:hint="eastAsia"/>
                <w:color w:val="auto"/>
                <w:lang w:eastAsia="zh-CN"/>
              </w:rPr>
              <w:t>危废贮存库2#</w:t>
            </w:r>
            <w:r>
              <w:rPr>
                <w:rFonts w:hint="eastAsia"/>
                <w:color w:val="auto"/>
              </w:rPr>
              <w:t>，委托有</w:t>
            </w:r>
            <w:r>
              <w:rPr>
                <w:color w:val="auto"/>
              </w:rPr>
              <w:t>资质单位处置。</w:t>
            </w:r>
            <w:r>
              <w:rPr>
                <w:rFonts w:hint="eastAsia"/>
                <w:color w:val="auto"/>
              </w:rPr>
              <w:t>根据《国家危险废物名录》（</w:t>
            </w:r>
            <w:r>
              <w:rPr>
                <w:color w:val="auto"/>
              </w:rPr>
              <w:t>202</w:t>
            </w:r>
            <w:r>
              <w:rPr>
                <w:rFonts w:hint="eastAsia"/>
                <w:color w:val="auto"/>
              </w:rPr>
              <w:t>5</w:t>
            </w:r>
            <w:r>
              <w:rPr>
                <w:color w:val="auto"/>
              </w:rPr>
              <w:t>年</w:t>
            </w:r>
            <w:r>
              <w:rPr>
                <w:rFonts w:hint="eastAsia"/>
                <w:color w:val="auto"/>
              </w:rPr>
              <w:t>版），</w:t>
            </w:r>
            <w:r>
              <w:rPr>
                <w:rFonts w:hint="eastAsia"/>
                <w:color w:val="auto"/>
                <w:lang w:eastAsia="zh-CN"/>
              </w:rPr>
              <w:t>废原子灰渣</w:t>
            </w:r>
            <w:r>
              <w:rPr>
                <w:rFonts w:hint="eastAsia"/>
                <w:color w:val="auto"/>
              </w:rPr>
              <w:t>属于危险废物，废物类别为“HW12染料、涂料废物”，废物代码为“900-252-12，使用油漆（不包括水性漆）、有机溶剂进行喷漆、上漆过程中产生的废物”。</w:t>
            </w:r>
          </w:p>
          <w:p w14:paraId="10DAA63D">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cs="Times New Roman"/>
                <w:color w:val="auto"/>
                <w:sz w:val="24"/>
                <w:lang w:val="en-US" w:eastAsia="zh-CN"/>
              </w:rPr>
            </w:pPr>
            <w:r>
              <w:rPr>
                <w:rFonts w:hint="eastAsia" w:cs="Times New Roman"/>
                <w:color w:val="auto"/>
                <w:sz w:val="24"/>
                <w:lang w:val="en-US" w:eastAsia="zh-CN"/>
              </w:rPr>
              <w:t>6）废遮蔽纸</w:t>
            </w:r>
          </w:p>
          <w:p w14:paraId="57C82647">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cs="Times New Roman"/>
                <w:color w:val="auto"/>
                <w:sz w:val="24"/>
                <w:lang w:val="en-US" w:eastAsia="zh-CN"/>
              </w:rPr>
            </w:pPr>
            <w:r>
              <w:rPr>
                <w:rFonts w:hint="eastAsia"/>
                <w:color w:val="auto"/>
                <w:lang w:val="en-US" w:eastAsia="zh-CN"/>
              </w:rPr>
              <w:t>本项目喷漆过程中</w:t>
            </w:r>
            <w:r>
              <w:rPr>
                <w:rFonts w:hint="eastAsia" w:cs="Times New Roman"/>
                <w:color w:val="auto"/>
                <w:sz w:val="24"/>
                <w:lang w:val="en-US" w:eastAsia="zh-CN"/>
              </w:rPr>
              <w:t>废遮蔽纸</w:t>
            </w:r>
            <w:r>
              <w:rPr>
                <w:rFonts w:hint="eastAsia"/>
                <w:color w:val="auto"/>
                <w:lang w:val="en-US" w:eastAsia="zh-CN"/>
              </w:rPr>
              <w:t>产生量为0.2t，</w:t>
            </w:r>
            <w:r>
              <w:rPr>
                <w:color w:val="auto"/>
              </w:rPr>
              <w:t>暂存</w:t>
            </w:r>
            <w:r>
              <w:rPr>
                <w:rFonts w:hint="eastAsia"/>
                <w:color w:val="auto"/>
              </w:rPr>
              <w:t>于</w:t>
            </w:r>
            <w:r>
              <w:rPr>
                <w:rFonts w:hint="eastAsia"/>
                <w:color w:val="auto"/>
                <w:lang w:eastAsia="zh-CN"/>
              </w:rPr>
              <w:t>危废贮存库2#</w:t>
            </w:r>
            <w:r>
              <w:rPr>
                <w:rFonts w:hint="eastAsia"/>
                <w:color w:val="auto"/>
              </w:rPr>
              <w:t>，委托有</w:t>
            </w:r>
            <w:r>
              <w:rPr>
                <w:color w:val="auto"/>
              </w:rPr>
              <w:t>资质单位处置。</w:t>
            </w:r>
            <w:r>
              <w:rPr>
                <w:rFonts w:hint="eastAsia"/>
                <w:color w:val="auto"/>
              </w:rPr>
              <w:t>根据《国家危险废物名录》（</w:t>
            </w:r>
            <w:r>
              <w:rPr>
                <w:color w:val="auto"/>
              </w:rPr>
              <w:t>202</w:t>
            </w:r>
            <w:r>
              <w:rPr>
                <w:rFonts w:hint="eastAsia"/>
                <w:color w:val="auto"/>
              </w:rPr>
              <w:t>5</w:t>
            </w:r>
            <w:r>
              <w:rPr>
                <w:color w:val="auto"/>
              </w:rPr>
              <w:t>年</w:t>
            </w:r>
            <w:r>
              <w:rPr>
                <w:rFonts w:hint="eastAsia"/>
                <w:color w:val="auto"/>
              </w:rPr>
              <w:t>版），</w:t>
            </w:r>
            <w:r>
              <w:rPr>
                <w:rFonts w:hint="eastAsia" w:cs="Times New Roman"/>
                <w:color w:val="auto"/>
                <w:sz w:val="24"/>
                <w:lang w:val="en-US" w:eastAsia="zh-CN"/>
              </w:rPr>
              <w:t>废遮蔽纸</w:t>
            </w:r>
            <w:r>
              <w:rPr>
                <w:rFonts w:hint="eastAsia"/>
                <w:color w:val="auto"/>
              </w:rPr>
              <w:t>属于危险废物，废物类别为“HW</w:t>
            </w:r>
            <w:r>
              <w:rPr>
                <w:rFonts w:hint="eastAsia"/>
                <w:color w:val="auto"/>
                <w:lang w:val="en-US" w:eastAsia="zh-CN"/>
              </w:rPr>
              <w:t>49其他</w:t>
            </w:r>
            <w:r>
              <w:rPr>
                <w:rFonts w:hint="eastAsia"/>
                <w:color w:val="auto"/>
              </w:rPr>
              <w:t>废物”，废物代码为“900-</w:t>
            </w:r>
            <w:r>
              <w:rPr>
                <w:rFonts w:hint="eastAsia"/>
                <w:color w:val="auto"/>
                <w:lang w:val="en-US" w:eastAsia="zh-CN"/>
              </w:rPr>
              <w:t>041-49</w:t>
            </w:r>
            <w:r>
              <w:rPr>
                <w:rFonts w:hint="eastAsia"/>
                <w:color w:val="auto"/>
              </w:rPr>
              <w:t>，含有或者沾染毒性、感染性危险废物的废弃的包装物、容器、过滤吸附介质”。</w:t>
            </w:r>
          </w:p>
          <w:p w14:paraId="4248F26C">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cs="Times New Roman"/>
                <w:color w:val="auto"/>
                <w:sz w:val="24"/>
                <w:lang w:val="en-US" w:eastAsia="zh-CN"/>
              </w:rPr>
            </w:pPr>
            <w:r>
              <w:rPr>
                <w:rFonts w:hint="eastAsia" w:cs="Times New Roman"/>
                <w:color w:val="auto"/>
                <w:sz w:val="24"/>
                <w:lang w:val="en-US" w:eastAsia="zh-CN"/>
              </w:rPr>
              <w:t>7）废油漆桶</w:t>
            </w:r>
          </w:p>
          <w:p w14:paraId="12D7C4FE">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cs="Times New Roman"/>
                <w:color w:val="auto"/>
                <w:sz w:val="24"/>
                <w:lang w:val="en-US" w:eastAsia="zh-CN"/>
              </w:rPr>
            </w:pPr>
            <w:r>
              <w:rPr>
                <w:rFonts w:hint="eastAsia"/>
                <w:color w:val="auto"/>
                <w:lang w:val="en-US" w:eastAsia="zh-CN"/>
              </w:rPr>
              <w:t>本项目废油漆桶产生量为0.3ta，</w:t>
            </w:r>
            <w:r>
              <w:rPr>
                <w:color w:val="auto"/>
              </w:rPr>
              <w:t>暂存</w:t>
            </w:r>
            <w:r>
              <w:rPr>
                <w:rFonts w:hint="eastAsia"/>
                <w:color w:val="auto"/>
              </w:rPr>
              <w:t>于</w:t>
            </w:r>
            <w:r>
              <w:rPr>
                <w:rFonts w:hint="eastAsia"/>
                <w:color w:val="auto"/>
                <w:lang w:val="en-US" w:eastAsia="zh-CN"/>
              </w:rPr>
              <w:t>危废贮存库1#</w:t>
            </w:r>
            <w:r>
              <w:rPr>
                <w:rFonts w:hint="eastAsia"/>
                <w:color w:val="auto"/>
              </w:rPr>
              <w:t>，委托有</w:t>
            </w:r>
            <w:r>
              <w:rPr>
                <w:color w:val="auto"/>
              </w:rPr>
              <w:t>资质单位处置。</w:t>
            </w:r>
            <w:r>
              <w:rPr>
                <w:rFonts w:ascii="Times New Roman" w:hAnsi="Times New Roman" w:cs="Times New Roman"/>
                <w:color w:val="auto"/>
                <w:sz w:val="24"/>
              </w:rPr>
              <w:t>根据《国家危险废物名录》（</w:t>
            </w:r>
            <w:r>
              <w:rPr>
                <w:color w:val="auto"/>
              </w:rPr>
              <w:t>202</w:t>
            </w:r>
            <w:r>
              <w:rPr>
                <w:rFonts w:hint="eastAsia"/>
                <w:color w:val="auto"/>
              </w:rPr>
              <w:t>5</w:t>
            </w:r>
            <w:r>
              <w:rPr>
                <w:color w:val="auto"/>
              </w:rPr>
              <w:t>年</w:t>
            </w:r>
            <w:r>
              <w:rPr>
                <w:rFonts w:hint="eastAsia"/>
                <w:color w:val="auto"/>
              </w:rPr>
              <w:t>版</w:t>
            </w:r>
            <w:r>
              <w:rPr>
                <w:rFonts w:ascii="Times New Roman" w:hAnsi="Times New Roman" w:cs="Times New Roman"/>
                <w:color w:val="auto"/>
                <w:sz w:val="24"/>
              </w:rPr>
              <w:t>），</w:t>
            </w:r>
            <w:r>
              <w:rPr>
                <w:rFonts w:hint="eastAsia" w:cs="Times New Roman"/>
                <w:color w:val="auto"/>
                <w:sz w:val="24"/>
                <w:lang w:val="en-US" w:eastAsia="zh-CN"/>
              </w:rPr>
              <w:t>废油漆桶</w:t>
            </w:r>
            <w:r>
              <w:rPr>
                <w:rFonts w:ascii="Times New Roman" w:hAnsi="Times New Roman" w:cs="Times New Roman"/>
                <w:color w:val="auto"/>
                <w:sz w:val="24"/>
              </w:rPr>
              <w:t>属于危险废物，废物类别为</w:t>
            </w:r>
            <w:r>
              <w:rPr>
                <w:rFonts w:hint="eastAsia" w:ascii="Times New Roman" w:hAnsi="Times New Roman" w:cs="Times New Roman"/>
                <w:color w:val="auto"/>
                <w:sz w:val="24"/>
                <w:lang w:eastAsia="zh-CN"/>
              </w:rPr>
              <w:t>“</w:t>
            </w:r>
            <w:r>
              <w:rPr>
                <w:rFonts w:ascii="Times New Roman" w:hAnsi="Times New Roman" w:cs="Times New Roman"/>
                <w:color w:val="auto"/>
                <w:sz w:val="24"/>
              </w:rPr>
              <w:t>HW49</w:t>
            </w:r>
            <w:r>
              <w:rPr>
                <w:rFonts w:hint="eastAsia" w:ascii="Times New Roman" w:hAnsi="Times New Roman" w:cs="Times New Roman"/>
                <w:color w:val="auto"/>
                <w:sz w:val="24"/>
                <w:lang w:val="en-US" w:eastAsia="zh-CN"/>
              </w:rPr>
              <w:t>其他废物”</w:t>
            </w:r>
            <w:r>
              <w:rPr>
                <w:rFonts w:ascii="Times New Roman" w:hAnsi="Times New Roman" w:cs="Times New Roman"/>
                <w:color w:val="auto"/>
                <w:sz w:val="24"/>
              </w:rPr>
              <w:t>，废物代码900-041-49。</w:t>
            </w:r>
          </w:p>
          <w:p w14:paraId="728449ED">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cs="Times New Roman"/>
                <w:color w:val="auto"/>
                <w:sz w:val="24"/>
                <w:lang w:val="en-US" w:eastAsia="zh-CN"/>
              </w:rPr>
            </w:pPr>
            <w:r>
              <w:rPr>
                <w:rFonts w:hint="eastAsia" w:cs="Times New Roman"/>
                <w:color w:val="auto"/>
                <w:sz w:val="24"/>
                <w:lang w:val="en-US" w:eastAsia="zh-CN"/>
              </w:rPr>
              <w:t>8）废防冻液</w:t>
            </w:r>
          </w:p>
          <w:p w14:paraId="2B57D226">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cs="Times New Roman"/>
                <w:color w:val="auto"/>
                <w:sz w:val="24"/>
                <w:lang w:val="en-US" w:eastAsia="zh-CN"/>
              </w:rPr>
            </w:pPr>
            <w:r>
              <w:rPr>
                <w:rFonts w:hint="eastAsia"/>
                <w:color w:val="auto"/>
                <w:lang w:val="en-US" w:eastAsia="zh-CN"/>
              </w:rPr>
              <w:t>本项目运营过程中废防冻液产生量为0.4t/a，</w:t>
            </w:r>
            <w:r>
              <w:rPr>
                <w:color w:val="auto"/>
              </w:rPr>
              <w:t>暂存</w:t>
            </w:r>
            <w:r>
              <w:rPr>
                <w:rFonts w:hint="eastAsia"/>
                <w:color w:val="auto"/>
              </w:rPr>
              <w:t>于</w:t>
            </w:r>
            <w:r>
              <w:rPr>
                <w:rFonts w:hint="eastAsia"/>
                <w:color w:val="auto"/>
                <w:lang w:val="en-US" w:eastAsia="zh-CN"/>
              </w:rPr>
              <w:t>危废贮存库1#</w:t>
            </w:r>
            <w:r>
              <w:rPr>
                <w:rFonts w:hint="eastAsia"/>
                <w:color w:val="auto"/>
              </w:rPr>
              <w:t>，委托有</w:t>
            </w:r>
            <w:r>
              <w:rPr>
                <w:color w:val="auto"/>
              </w:rPr>
              <w:t>资质单位处置。</w:t>
            </w:r>
            <w:r>
              <w:rPr>
                <w:rFonts w:hint="eastAsia"/>
                <w:color w:val="auto"/>
              </w:rPr>
              <w:t>根据《国家危险废物名录》（</w:t>
            </w:r>
            <w:r>
              <w:rPr>
                <w:color w:val="auto"/>
              </w:rPr>
              <w:t>202</w:t>
            </w:r>
            <w:r>
              <w:rPr>
                <w:rFonts w:hint="eastAsia"/>
                <w:color w:val="auto"/>
              </w:rPr>
              <w:t>5</w:t>
            </w:r>
            <w:r>
              <w:rPr>
                <w:color w:val="auto"/>
              </w:rPr>
              <w:t>年</w:t>
            </w:r>
            <w:r>
              <w:rPr>
                <w:rFonts w:hint="eastAsia"/>
                <w:color w:val="auto"/>
              </w:rPr>
              <w:t>版），</w:t>
            </w:r>
            <w:r>
              <w:rPr>
                <w:rFonts w:hint="eastAsia" w:ascii="Times New Roman" w:hAnsi="Times New Roman" w:eastAsia="宋体" w:cs="Times New Roman"/>
                <w:color w:val="auto"/>
                <w:lang w:val="en-US" w:eastAsia="zh-CN"/>
              </w:rPr>
              <w:t>废防冻液</w:t>
            </w:r>
            <w:r>
              <w:rPr>
                <w:rFonts w:hint="eastAsia"/>
                <w:color w:val="auto"/>
              </w:rPr>
              <w:t>属于危险废物，废物类别为“HW06废有机溶剂与含有机溶剂废物”，废物代码为900-402-06。</w:t>
            </w:r>
          </w:p>
          <w:p w14:paraId="7991EA09">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cs="Times New Roman"/>
                <w:color w:val="auto"/>
                <w:sz w:val="24"/>
                <w:lang w:val="en-US" w:eastAsia="zh-CN"/>
              </w:rPr>
            </w:pPr>
            <w:r>
              <w:rPr>
                <w:rFonts w:hint="eastAsia" w:cs="Times New Roman"/>
                <w:color w:val="auto"/>
                <w:sz w:val="24"/>
                <w:lang w:val="en-US" w:eastAsia="zh-CN"/>
              </w:rPr>
              <w:t>9）废过滤棉</w:t>
            </w:r>
          </w:p>
          <w:p w14:paraId="50361D1D">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cs="Times New Roman"/>
                <w:color w:val="auto"/>
                <w:sz w:val="24"/>
                <w:lang w:val="en-US" w:eastAsia="zh-CN"/>
              </w:rPr>
            </w:pPr>
            <w:r>
              <w:rPr>
                <w:rFonts w:hint="eastAsia"/>
                <w:color w:val="auto"/>
                <w:lang w:val="en-US" w:eastAsia="zh-CN"/>
              </w:rPr>
              <w:t>本项目废气处理过程中废过滤棉产生量为1.88t/a，</w:t>
            </w:r>
            <w:r>
              <w:rPr>
                <w:color w:val="auto"/>
              </w:rPr>
              <w:t>暂存</w:t>
            </w:r>
            <w:r>
              <w:rPr>
                <w:rFonts w:hint="eastAsia"/>
                <w:color w:val="auto"/>
              </w:rPr>
              <w:t>于</w:t>
            </w:r>
            <w:r>
              <w:rPr>
                <w:rFonts w:hint="eastAsia"/>
                <w:color w:val="auto"/>
                <w:lang w:eastAsia="zh-CN"/>
              </w:rPr>
              <w:t>危废贮存库2#</w:t>
            </w:r>
            <w:r>
              <w:rPr>
                <w:rFonts w:hint="eastAsia"/>
                <w:color w:val="auto"/>
              </w:rPr>
              <w:t>，委托有</w:t>
            </w:r>
            <w:r>
              <w:rPr>
                <w:color w:val="auto"/>
              </w:rPr>
              <w:t>资质单位处置。</w:t>
            </w:r>
            <w:r>
              <w:rPr>
                <w:rFonts w:ascii="Times New Roman" w:hAnsi="Times New Roman" w:cs="Times New Roman"/>
                <w:color w:val="auto"/>
                <w:sz w:val="24"/>
              </w:rPr>
              <w:t>根据《国家危险废物名录》（</w:t>
            </w:r>
            <w:r>
              <w:rPr>
                <w:color w:val="auto"/>
              </w:rPr>
              <w:t>202</w:t>
            </w:r>
            <w:r>
              <w:rPr>
                <w:rFonts w:hint="eastAsia"/>
                <w:color w:val="auto"/>
              </w:rPr>
              <w:t>5</w:t>
            </w:r>
            <w:r>
              <w:rPr>
                <w:color w:val="auto"/>
              </w:rPr>
              <w:t>年</w:t>
            </w:r>
            <w:r>
              <w:rPr>
                <w:rFonts w:hint="eastAsia"/>
                <w:color w:val="auto"/>
              </w:rPr>
              <w:t>版</w:t>
            </w:r>
            <w:r>
              <w:rPr>
                <w:rFonts w:ascii="Times New Roman" w:hAnsi="Times New Roman" w:cs="Times New Roman"/>
                <w:color w:val="auto"/>
                <w:sz w:val="24"/>
              </w:rPr>
              <w:t>），</w:t>
            </w:r>
            <w:r>
              <w:rPr>
                <w:rFonts w:hint="eastAsia" w:cs="Times New Roman"/>
                <w:color w:val="auto"/>
                <w:sz w:val="24"/>
                <w:lang w:val="en-US" w:eastAsia="zh-CN"/>
              </w:rPr>
              <w:t>废过滤棉</w:t>
            </w:r>
            <w:r>
              <w:rPr>
                <w:rFonts w:ascii="Times New Roman" w:hAnsi="Times New Roman" w:cs="Times New Roman"/>
                <w:color w:val="auto"/>
                <w:sz w:val="24"/>
              </w:rPr>
              <w:t>属于危险废物，废物类别为</w:t>
            </w:r>
            <w:r>
              <w:rPr>
                <w:rFonts w:hint="eastAsia" w:ascii="Times New Roman" w:hAnsi="Times New Roman" w:cs="Times New Roman"/>
                <w:color w:val="auto"/>
                <w:sz w:val="24"/>
                <w:lang w:eastAsia="zh-CN"/>
              </w:rPr>
              <w:t>“</w:t>
            </w:r>
            <w:r>
              <w:rPr>
                <w:rFonts w:ascii="Times New Roman" w:hAnsi="Times New Roman" w:cs="Times New Roman"/>
                <w:color w:val="auto"/>
                <w:sz w:val="24"/>
              </w:rPr>
              <w:t>HW49</w:t>
            </w:r>
            <w:r>
              <w:rPr>
                <w:rFonts w:hint="eastAsia" w:ascii="Times New Roman" w:hAnsi="Times New Roman" w:cs="Times New Roman"/>
                <w:color w:val="auto"/>
                <w:sz w:val="24"/>
                <w:lang w:val="en-US" w:eastAsia="zh-CN"/>
              </w:rPr>
              <w:t>其他废物</w:t>
            </w:r>
            <w:r>
              <w:rPr>
                <w:rFonts w:hint="eastAsia" w:ascii="Times New Roman" w:hAnsi="Times New Roman" w:cs="Times New Roman"/>
                <w:color w:val="auto"/>
                <w:sz w:val="24"/>
                <w:lang w:eastAsia="zh-CN"/>
              </w:rPr>
              <w:t>”</w:t>
            </w:r>
            <w:r>
              <w:rPr>
                <w:rFonts w:ascii="Times New Roman" w:hAnsi="Times New Roman" w:cs="Times New Roman"/>
                <w:color w:val="auto"/>
                <w:sz w:val="24"/>
              </w:rPr>
              <w:t>，废物代码900-041-49。</w:t>
            </w:r>
          </w:p>
          <w:p w14:paraId="45AB8C41">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cs="Times New Roman"/>
                <w:color w:val="auto"/>
                <w:sz w:val="24"/>
                <w:lang w:val="en-US" w:eastAsia="zh-CN"/>
              </w:rPr>
            </w:pPr>
            <w:r>
              <w:rPr>
                <w:rFonts w:hint="eastAsia" w:cs="Times New Roman"/>
                <w:color w:val="auto"/>
                <w:sz w:val="24"/>
                <w:lang w:val="en-US" w:eastAsia="zh-CN"/>
              </w:rPr>
              <w:t>10）废活性炭</w:t>
            </w:r>
          </w:p>
          <w:p w14:paraId="5E599ADC">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color w:val="auto"/>
                <w:sz w:val="24"/>
              </w:rPr>
            </w:pPr>
            <w:r>
              <w:rPr>
                <w:bCs/>
                <w:color w:val="auto"/>
                <w:sz w:val="24"/>
              </w:rPr>
              <w:t>本项目</w:t>
            </w:r>
            <w:r>
              <w:rPr>
                <w:rFonts w:hint="eastAsia"/>
                <w:bCs/>
                <w:color w:val="auto"/>
                <w:sz w:val="24"/>
              </w:rPr>
              <w:t>采用活性炭吸附装置吸附有机废气，</w:t>
            </w:r>
            <w:r>
              <w:rPr>
                <w:color w:val="auto"/>
                <w:sz w:val="24"/>
              </w:rPr>
              <w:t>活性炭吸附装置中的活性炭需</w:t>
            </w:r>
            <w:r>
              <w:rPr>
                <w:rFonts w:hint="eastAsia"/>
                <w:color w:val="auto"/>
                <w:sz w:val="24"/>
              </w:rPr>
              <w:t>定期更换，</w:t>
            </w:r>
            <w:r>
              <w:rPr>
                <w:color w:val="auto"/>
                <w:sz w:val="24"/>
              </w:rPr>
              <w:t>更换下来的废活性炭为危险废物</w:t>
            </w:r>
            <w:r>
              <w:rPr>
                <w:rFonts w:hint="eastAsia"/>
                <w:color w:val="auto"/>
                <w:sz w:val="24"/>
              </w:rPr>
              <w:t>。</w:t>
            </w:r>
          </w:p>
          <w:p w14:paraId="05D1A61C">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color w:val="auto"/>
                <w:sz w:val="24"/>
                <w:lang w:eastAsia="zh-CN"/>
              </w:rPr>
            </w:pPr>
            <w:r>
              <w:rPr>
                <w:rFonts w:hint="eastAsia"/>
                <w:color w:val="auto"/>
                <w:sz w:val="24"/>
                <w:highlight w:val="none"/>
              </w:rPr>
              <w:t>本项目</w:t>
            </w:r>
            <w:r>
              <w:rPr>
                <w:rFonts w:hint="eastAsia"/>
                <w:color w:val="auto"/>
                <w:sz w:val="24"/>
                <w:highlight w:val="none"/>
                <w:lang w:val="en-US" w:eastAsia="zh-CN"/>
              </w:rPr>
              <w:t>1个中涂房、3个喷烤漆房、调漆和危废贮存库2#</w:t>
            </w:r>
            <w:r>
              <w:rPr>
                <w:bCs/>
                <w:color w:val="auto"/>
                <w:sz w:val="24"/>
              </w:rPr>
              <w:t>活性炭吸附</w:t>
            </w:r>
            <w:r>
              <w:rPr>
                <w:rFonts w:hint="eastAsia"/>
                <w:bCs/>
                <w:color w:val="auto"/>
                <w:sz w:val="24"/>
              </w:rPr>
              <w:t>装置吸附</w:t>
            </w:r>
            <w:r>
              <w:rPr>
                <w:bCs/>
                <w:color w:val="auto"/>
                <w:sz w:val="24"/>
              </w:rPr>
              <w:t>的</w:t>
            </w:r>
            <w:r>
              <w:rPr>
                <w:rFonts w:hint="eastAsia"/>
                <w:bCs/>
                <w:color w:val="auto"/>
                <w:sz w:val="24"/>
              </w:rPr>
              <w:t>有机废气量</w:t>
            </w:r>
            <w:r>
              <w:rPr>
                <w:bCs/>
                <w:color w:val="auto"/>
                <w:sz w:val="24"/>
              </w:rPr>
              <w:t>为</w:t>
            </w:r>
            <w:r>
              <w:rPr>
                <w:rFonts w:hint="eastAsia"/>
                <w:bCs/>
                <w:color w:val="auto"/>
                <w:sz w:val="24"/>
                <w:lang w:val="en-US" w:eastAsia="zh-CN"/>
              </w:rPr>
              <w:t>0.593</w:t>
            </w:r>
            <w:r>
              <w:rPr>
                <w:bCs/>
                <w:color w:val="auto"/>
                <w:sz w:val="24"/>
              </w:rPr>
              <w:t>t/a，</w:t>
            </w:r>
            <w:r>
              <w:rPr>
                <w:rFonts w:hint="eastAsia"/>
                <w:color w:val="auto"/>
                <w:sz w:val="24"/>
                <w:highlight w:val="none"/>
              </w:rPr>
              <w:t>有机废气处理采用蜂窝活性炭，根据市环发〔2022〕65号文件：原则上活性炭更换周期一般不应超过累计运行500小时或3个月（从严执行），本项目喷烤漆工序年工作时间为870h，因此从严考虑</w:t>
            </w:r>
            <w:r>
              <w:rPr>
                <w:rFonts w:hint="eastAsia"/>
                <w:color w:val="auto"/>
                <w:sz w:val="24"/>
                <w:highlight w:val="none"/>
                <w:lang w:eastAsia="zh-CN"/>
              </w:rPr>
              <w:t>，</w:t>
            </w:r>
            <w:r>
              <w:rPr>
                <w:rFonts w:hint="eastAsia"/>
                <w:color w:val="auto"/>
                <w:sz w:val="24"/>
                <w:lang w:val="en-US" w:eastAsia="zh-CN"/>
              </w:rPr>
              <w:t>活性炭</w:t>
            </w:r>
            <w:r>
              <w:rPr>
                <w:rFonts w:hint="eastAsia"/>
                <w:color w:val="auto"/>
                <w:sz w:val="24"/>
              </w:rPr>
              <w:t>每</w:t>
            </w:r>
            <w:r>
              <w:rPr>
                <w:rFonts w:hint="eastAsia"/>
                <w:color w:val="auto"/>
                <w:sz w:val="24"/>
                <w:lang w:val="en-US" w:eastAsia="zh-CN"/>
              </w:rPr>
              <w:t>3个月更换1次，</w:t>
            </w:r>
            <w:r>
              <w:rPr>
                <w:rFonts w:hint="eastAsia"/>
                <w:color w:val="auto"/>
                <w:sz w:val="24"/>
              </w:rPr>
              <w:t>年更换</w:t>
            </w:r>
            <w:r>
              <w:rPr>
                <w:rFonts w:hint="eastAsia"/>
                <w:color w:val="auto"/>
                <w:sz w:val="24"/>
                <w:lang w:val="en-US" w:eastAsia="zh-CN"/>
              </w:rPr>
              <w:t>4</w:t>
            </w:r>
            <w:r>
              <w:rPr>
                <w:rFonts w:hint="eastAsia"/>
                <w:color w:val="auto"/>
                <w:sz w:val="24"/>
              </w:rPr>
              <w:t>次</w:t>
            </w:r>
            <w:r>
              <w:rPr>
                <w:rFonts w:hint="eastAsia"/>
                <w:color w:val="auto"/>
                <w:sz w:val="24"/>
                <w:lang w:eastAsia="zh-CN"/>
              </w:rPr>
              <w:t>，</w:t>
            </w:r>
            <w:r>
              <w:rPr>
                <w:rFonts w:hint="eastAsia"/>
                <w:color w:val="auto"/>
                <w:sz w:val="24"/>
                <w:highlight w:val="none"/>
                <w:lang w:val="en-US" w:eastAsia="zh-CN"/>
              </w:rPr>
              <w:t>单个活性炭设施填充量为0.67t</w:t>
            </w:r>
            <w:r>
              <w:rPr>
                <w:rFonts w:hint="eastAsia"/>
                <w:color w:val="auto"/>
                <w:sz w:val="24"/>
                <w:highlight w:val="none"/>
              </w:rPr>
              <w:t>，</w:t>
            </w:r>
            <w:r>
              <w:rPr>
                <w:rFonts w:hint="eastAsia"/>
                <w:color w:val="auto"/>
                <w:sz w:val="24"/>
                <w:highlight w:val="none"/>
                <w:lang w:val="en-US" w:eastAsia="zh-CN"/>
              </w:rPr>
              <w:t>1个中涂房和3个喷烤漆房</w:t>
            </w:r>
            <w:r>
              <w:rPr>
                <w:rFonts w:hint="eastAsia"/>
                <w:color w:val="auto"/>
                <w:sz w:val="24"/>
                <w:highlight w:val="none"/>
              </w:rPr>
              <w:t>需要的活性炭量为</w:t>
            </w:r>
            <w:r>
              <w:rPr>
                <w:rFonts w:hint="eastAsia"/>
                <w:color w:val="auto"/>
                <w:sz w:val="24"/>
                <w:highlight w:val="none"/>
                <w:lang w:val="en-US" w:eastAsia="zh-CN"/>
              </w:rPr>
              <w:t>10.72</w:t>
            </w:r>
            <w:r>
              <w:rPr>
                <w:rFonts w:hint="eastAsia"/>
                <w:color w:val="auto"/>
                <w:sz w:val="24"/>
                <w:highlight w:val="none"/>
              </w:rPr>
              <w:t>t/a，则</w:t>
            </w:r>
            <w:r>
              <w:rPr>
                <w:bCs/>
                <w:color w:val="auto"/>
                <w:sz w:val="24"/>
                <w:highlight w:val="none"/>
              </w:rPr>
              <w:t>废活性炭产生量为</w:t>
            </w:r>
            <w:r>
              <w:rPr>
                <w:rFonts w:hint="eastAsia"/>
                <w:bCs/>
                <w:color w:val="auto"/>
                <w:sz w:val="24"/>
                <w:highlight w:val="none"/>
                <w:lang w:val="en-US" w:eastAsia="zh-CN"/>
              </w:rPr>
              <w:t>11.313</w:t>
            </w:r>
            <w:r>
              <w:rPr>
                <w:bCs/>
                <w:color w:val="auto"/>
                <w:sz w:val="24"/>
                <w:highlight w:val="none"/>
              </w:rPr>
              <w:t>t/a</w:t>
            </w:r>
            <w:r>
              <w:rPr>
                <w:rFonts w:hint="eastAsia"/>
                <w:bCs/>
                <w:color w:val="auto"/>
                <w:sz w:val="24"/>
                <w:highlight w:val="none"/>
              </w:rPr>
              <w:t>（含吸附的有机废气量）</w:t>
            </w:r>
            <w:r>
              <w:rPr>
                <w:rFonts w:hint="eastAsia"/>
                <w:color w:val="auto"/>
                <w:sz w:val="24"/>
                <w:lang w:eastAsia="zh-CN"/>
              </w:rPr>
              <w:t>。</w:t>
            </w:r>
          </w:p>
          <w:p w14:paraId="4B524426">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default" w:eastAsia="宋体"/>
                <w:bCs/>
                <w:color w:val="auto"/>
                <w:sz w:val="24"/>
                <w:lang w:val="en-US" w:eastAsia="zh-CN"/>
              </w:rPr>
            </w:pPr>
            <w:r>
              <w:rPr>
                <w:rFonts w:hint="eastAsia"/>
                <w:bCs/>
                <w:color w:val="auto"/>
                <w:sz w:val="24"/>
                <w:highlight w:val="none"/>
                <w:lang w:val="en-US" w:eastAsia="zh-CN"/>
              </w:rPr>
              <w:t>涂原子灰废气采用颗粒活性炭吸附的有机废气量为0.018t/a，活性炭</w:t>
            </w:r>
            <w:r>
              <w:rPr>
                <w:rFonts w:hint="eastAsia"/>
                <w:color w:val="auto"/>
                <w:sz w:val="24"/>
              </w:rPr>
              <w:t>每</w:t>
            </w:r>
            <w:r>
              <w:rPr>
                <w:rFonts w:hint="eastAsia"/>
                <w:color w:val="auto"/>
                <w:sz w:val="24"/>
                <w:lang w:val="en-US" w:eastAsia="zh-CN"/>
              </w:rPr>
              <w:t>3个月更换1次，</w:t>
            </w:r>
            <w:r>
              <w:rPr>
                <w:rFonts w:hint="eastAsia"/>
                <w:color w:val="auto"/>
                <w:sz w:val="24"/>
              </w:rPr>
              <w:t>年更换</w:t>
            </w:r>
            <w:r>
              <w:rPr>
                <w:rFonts w:hint="eastAsia"/>
                <w:color w:val="auto"/>
                <w:sz w:val="24"/>
                <w:lang w:val="en-US" w:eastAsia="zh-CN"/>
              </w:rPr>
              <w:t>4</w:t>
            </w:r>
            <w:r>
              <w:rPr>
                <w:rFonts w:hint="eastAsia"/>
                <w:color w:val="auto"/>
                <w:sz w:val="24"/>
              </w:rPr>
              <w:t>次</w:t>
            </w:r>
            <w:r>
              <w:rPr>
                <w:rFonts w:hint="eastAsia"/>
                <w:color w:val="auto"/>
                <w:sz w:val="24"/>
                <w:lang w:eastAsia="zh-CN"/>
              </w:rPr>
              <w:t>，</w:t>
            </w:r>
            <w:r>
              <w:rPr>
                <w:rFonts w:hint="eastAsia"/>
                <w:color w:val="auto"/>
                <w:sz w:val="24"/>
                <w:lang w:val="en-US" w:eastAsia="zh-CN"/>
              </w:rPr>
              <w:t>单个活性炭设施填充量为</w:t>
            </w:r>
            <w:r>
              <w:rPr>
                <w:rFonts w:hint="eastAsia"/>
                <w:bCs/>
                <w:color w:val="auto"/>
                <w:sz w:val="24"/>
                <w:highlight w:val="none"/>
                <w:lang w:val="en-US" w:eastAsia="zh-CN"/>
              </w:rPr>
              <w:t>0.04t/a，</w:t>
            </w:r>
            <w:r>
              <w:rPr>
                <w:rFonts w:hint="eastAsia"/>
                <w:color w:val="auto"/>
                <w:sz w:val="24"/>
                <w:lang w:val="en-US" w:eastAsia="zh-CN"/>
              </w:rPr>
              <w:t>需要活性炭量为0.32t/a，</w:t>
            </w:r>
            <w:r>
              <w:rPr>
                <w:rFonts w:hint="eastAsia"/>
                <w:color w:val="auto"/>
                <w:sz w:val="24"/>
                <w:highlight w:val="none"/>
              </w:rPr>
              <w:t>则</w:t>
            </w:r>
            <w:r>
              <w:rPr>
                <w:bCs/>
                <w:color w:val="auto"/>
                <w:sz w:val="24"/>
                <w:highlight w:val="none"/>
              </w:rPr>
              <w:t>废活性炭产生量为</w:t>
            </w:r>
            <w:r>
              <w:rPr>
                <w:rFonts w:hint="eastAsia"/>
                <w:bCs/>
                <w:color w:val="auto"/>
                <w:sz w:val="24"/>
                <w:highlight w:val="none"/>
                <w:lang w:val="en-US" w:eastAsia="zh-CN"/>
              </w:rPr>
              <w:t>0.338</w:t>
            </w:r>
            <w:r>
              <w:rPr>
                <w:bCs/>
                <w:color w:val="auto"/>
                <w:sz w:val="24"/>
                <w:highlight w:val="none"/>
              </w:rPr>
              <w:t>t/a</w:t>
            </w:r>
            <w:r>
              <w:rPr>
                <w:rFonts w:hint="eastAsia"/>
                <w:bCs/>
                <w:color w:val="auto"/>
                <w:sz w:val="24"/>
                <w:highlight w:val="none"/>
              </w:rPr>
              <w:t>（含吸附的</w:t>
            </w:r>
            <w:r>
              <w:rPr>
                <w:rFonts w:hint="eastAsia"/>
                <w:bCs/>
                <w:color w:val="auto"/>
                <w:sz w:val="24"/>
                <w:highlight w:val="none"/>
                <w:lang w:val="en-US" w:eastAsia="zh-CN"/>
              </w:rPr>
              <w:t>有机</w:t>
            </w:r>
            <w:r>
              <w:rPr>
                <w:rFonts w:hint="eastAsia"/>
                <w:bCs/>
                <w:color w:val="auto"/>
                <w:sz w:val="24"/>
                <w:highlight w:val="none"/>
              </w:rPr>
              <w:t>废气量）</w:t>
            </w:r>
            <w:r>
              <w:rPr>
                <w:rFonts w:hint="eastAsia"/>
                <w:bCs/>
                <w:color w:val="auto"/>
                <w:sz w:val="24"/>
                <w:highlight w:val="none"/>
                <w:lang w:eastAsia="zh-CN"/>
              </w:rPr>
              <w:t>。</w:t>
            </w:r>
          </w:p>
          <w:p w14:paraId="1D060B0E">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default" w:eastAsia="宋体"/>
                <w:color w:val="auto"/>
                <w:sz w:val="24"/>
                <w:lang w:val="en-US" w:eastAsia="zh-CN"/>
              </w:rPr>
            </w:pPr>
            <w:r>
              <w:rPr>
                <w:rFonts w:hint="eastAsia"/>
                <w:color w:val="auto"/>
                <w:sz w:val="24"/>
                <w:lang w:val="en-US" w:eastAsia="zh-CN"/>
              </w:rPr>
              <w:t>危废贮存库1#采用蜂窝活性炭吸附有机废气量为0.001t/a，</w:t>
            </w:r>
            <w:r>
              <w:rPr>
                <w:rFonts w:hint="eastAsia"/>
                <w:bCs/>
                <w:color w:val="auto"/>
                <w:sz w:val="24"/>
                <w:highlight w:val="none"/>
                <w:lang w:val="en-US" w:eastAsia="zh-CN"/>
              </w:rPr>
              <w:t>活性炭</w:t>
            </w:r>
            <w:r>
              <w:rPr>
                <w:rFonts w:hint="eastAsia"/>
                <w:color w:val="auto"/>
                <w:sz w:val="24"/>
              </w:rPr>
              <w:t>每</w:t>
            </w:r>
            <w:r>
              <w:rPr>
                <w:rFonts w:hint="eastAsia"/>
                <w:color w:val="auto"/>
                <w:sz w:val="24"/>
                <w:lang w:val="en-US" w:eastAsia="zh-CN"/>
              </w:rPr>
              <w:t>3个月更换1次，</w:t>
            </w:r>
            <w:r>
              <w:rPr>
                <w:rFonts w:hint="eastAsia"/>
                <w:color w:val="auto"/>
                <w:sz w:val="24"/>
              </w:rPr>
              <w:t>年更换</w:t>
            </w:r>
            <w:r>
              <w:rPr>
                <w:rFonts w:hint="eastAsia"/>
                <w:color w:val="auto"/>
                <w:sz w:val="24"/>
                <w:lang w:val="en-US" w:eastAsia="zh-CN"/>
              </w:rPr>
              <w:t>4</w:t>
            </w:r>
            <w:r>
              <w:rPr>
                <w:rFonts w:hint="eastAsia"/>
                <w:color w:val="auto"/>
                <w:sz w:val="24"/>
              </w:rPr>
              <w:t>次</w:t>
            </w:r>
            <w:r>
              <w:rPr>
                <w:rFonts w:hint="eastAsia"/>
                <w:color w:val="auto"/>
                <w:sz w:val="24"/>
                <w:lang w:eastAsia="zh-CN"/>
              </w:rPr>
              <w:t>，</w:t>
            </w:r>
            <w:r>
              <w:rPr>
                <w:rFonts w:hint="eastAsia"/>
                <w:color w:val="auto"/>
                <w:sz w:val="24"/>
                <w:lang w:val="en-US" w:eastAsia="zh-CN"/>
              </w:rPr>
              <w:t>活性炭设施填充量为</w:t>
            </w:r>
            <w:r>
              <w:rPr>
                <w:rFonts w:hint="eastAsia"/>
                <w:bCs/>
                <w:color w:val="auto"/>
                <w:sz w:val="24"/>
                <w:highlight w:val="none"/>
                <w:lang w:val="en-US" w:eastAsia="zh-CN"/>
              </w:rPr>
              <w:t>0.03t/a，</w:t>
            </w:r>
            <w:r>
              <w:rPr>
                <w:rFonts w:hint="eastAsia"/>
                <w:color w:val="auto"/>
                <w:sz w:val="24"/>
                <w:lang w:val="en-US" w:eastAsia="zh-CN"/>
              </w:rPr>
              <w:t>需要活性炭量为0.12t/a，</w:t>
            </w:r>
            <w:r>
              <w:rPr>
                <w:rFonts w:hint="eastAsia"/>
                <w:color w:val="auto"/>
                <w:sz w:val="24"/>
                <w:highlight w:val="none"/>
              </w:rPr>
              <w:t>则</w:t>
            </w:r>
            <w:r>
              <w:rPr>
                <w:bCs/>
                <w:color w:val="auto"/>
                <w:sz w:val="24"/>
                <w:highlight w:val="none"/>
              </w:rPr>
              <w:t>废活性炭产生量为</w:t>
            </w:r>
            <w:r>
              <w:rPr>
                <w:rFonts w:hint="eastAsia"/>
                <w:bCs/>
                <w:color w:val="auto"/>
                <w:sz w:val="24"/>
                <w:highlight w:val="none"/>
                <w:lang w:val="en-US" w:eastAsia="zh-CN"/>
              </w:rPr>
              <w:t>0.121</w:t>
            </w:r>
            <w:r>
              <w:rPr>
                <w:bCs/>
                <w:color w:val="auto"/>
                <w:sz w:val="24"/>
                <w:highlight w:val="none"/>
              </w:rPr>
              <w:t>t/a</w:t>
            </w:r>
            <w:r>
              <w:rPr>
                <w:rFonts w:hint="eastAsia"/>
                <w:bCs/>
                <w:color w:val="auto"/>
                <w:sz w:val="24"/>
                <w:highlight w:val="none"/>
              </w:rPr>
              <w:t>（含吸附的</w:t>
            </w:r>
            <w:r>
              <w:rPr>
                <w:rFonts w:hint="eastAsia"/>
                <w:bCs/>
                <w:color w:val="auto"/>
                <w:sz w:val="24"/>
                <w:highlight w:val="none"/>
                <w:lang w:val="en-US" w:eastAsia="zh-CN"/>
              </w:rPr>
              <w:t>有机</w:t>
            </w:r>
            <w:r>
              <w:rPr>
                <w:rFonts w:hint="eastAsia"/>
                <w:bCs/>
                <w:color w:val="auto"/>
                <w:sz w:val="24"/>
                <w:highlight w:val="none"/>
              </w:rPr>
              <w:t>废气量）</w:t>
            </w:r>
            <w:r>
              <w:rPr>
                <w:rFonts w:hint="eastAsia"/>
                <w:bCs/>
                <w:color w:val="auto"/>
                <w:sz w:val="24"/>
                <w:highlight w:val="none"/>
                <w:lang w:eastAsia="zh-CN"/>
              </w:rPr>
              <w:t>。</w:t>
            </w:r>
          </w:p>
          <w:p w14:paraId="09936D07">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cs="Times New Roman"/>
                <w:color w:val="auto"/>
                <w:sz w:val="24"/>
                <w:lang w:val="en-US" w:eastAsia="zh-CN"/>
              </w:rPr>
            </w:pPr>
            <w:r>
              <w:rPr>
                <w:rFonts w:hint="eastAsia"/>
                <w:color w:val="auto"/>
                <w:sz w:val="24"/>
              </w:rPr>
              <w:t>废活性炭产生量</w:t>
            </w:r>
            <w:r>
              <w:rPr>
                <w:rFonts w:hint="eastAsia"/>
                <w:color w:val="auto"/>
                <w:sz w:val="24"/>
                <w:lang w:val="en-US" w:eastAsia="zh-CN"/>
              </w:rPr>
              <w:t>共11.772</w:t>
            </w:r>
            <w:r>
              <w:rPr>
                <w:rFonts w:hint="eastAsia"/>
                <w:color w:val="auto"/>
                <w:sz w:val="24"/>
              </w:rPr>
              <w:t>t/a。</w:t>
            </w:r>
            <w:r>
              <w:rPr>
                <w:rFonts w:hint="eastAsia"/>
                <w:bCs/>
                <w:color w:val="auto"/>
                <w:sz w:val="24"/>
              </w:rPr>
              <w:t>根据《国家危险废物名录》（2025年版），废活性炭属危险废物，废物类别为“HW49其他废物”，废物代码为900-039-49〔烟气、VOCs治理过程（不包括餐饮行业油烟治理过程）产生的废活性炭〕。废活性炭收集后暂存于</w:t>
            </w:r>
            <w:r>
              <w:rPr>
                <w:rFonts w:hint="eastAsia"/>
                <w:bCs/>
                <w:color w:val="auto"/>
                <w:sz w:val="24"/>
                <w:lang w:eastAsia="zh-CN"/>
              </w:rPr>
              <w:t>危废贮存库2#</w:t>
            </w:r>
            <w:r>
              <w:rPr>
                <w:rFonts w:hint="eastAsia"/>
                <w:bCs/>
                <w:color w:val="auto"/>
                <w:sz w:val="24"/>
              </w:rPr>
              <w:t>，与其他危废分开存储，委托有资质单位处置。</w:t>
            </w:r>
          </w:p>
          <w:p w14:paraId="2A923ADF">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default" w:ascii="Times New Roman" w:hAnsi="Times New Roman" w:eastAsia="宋体" w:cs="Times New Roman"/>
                <w:color w:val="auto"/>
                <w:lang w:val="en-US" w:eastAsia="zh-CN"/>
              </w:rPr>
            </w:pPr>
            <w:r>
              <w:rPr>
                <w:rFonts w:hint="eastAsia" w:cs="Times New Roman"/>
                <w:color w:val="auto"/>
                <w:sz w:val="24"/>
                <w:lang w:val="en-US" w:eastAsia="zh-CN"/>
              </w:rPr>
              <w:t>11）废抹布</w:t>
            </w:r>
          </w:p>
          <w:p w14:paraId="7C04B2BD">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color w:val="auto"/>
              </w:rPr>
            </w:pPr>
            <w:r>
              <w:rPr>
                <w:rFonts w:hint="eastAsia"/>
                <w:color w:val="auto"/>
                <w:lang w:val="en-US" w:eastAsia="zh-CN"/>
              </w:rPr>
              <w:t>本项目运行过程中废抹布产生量为0.3t/a，</w:t>
            </w:r>
            <w:r>
              <w:rPr>
                <w:color w:val="auto"/>
              </w:rPr>
              <w:t>暂存</w:t>
            </w:r>
            <w:r>
              <w:rPr>
                <w:rFonts w:hint="eastAsia"/>
                <w:color w:val="auto"/>
              </w:rPr>
              <w:t>于</w:t>
            </w:r>
            <w:r>
              <w:rPr>
                <w:rFonts w:hint="eastAsia"/>
                <w:color w:val="auto"/>
                <w:lang w:val="en-US" w:eastAsia="zh-CN"/>
              </w:rPr>
              <w:t>危废贮存库1#</w:t>
            </w:r>
            <w:r>
              <w:rPr>
                <w:rFonts w:hint="eastAsia"/>
                <w:color w:val="auto"/>
              </w:rPr>
              <w:t>，委托有</w:t>
            </w:r>
            <w:r>
              <w:rPr>
                <w:color w:val="auto"/>
              </w:rPr>
              <w:t>资质单位处置。根据</w:t>
            </w:r>
            <w:r>
              <w:rPr>
                <w:rFonts w:hint="eastAsia"/>
                <w:color w:val="auto"/>
              </w:rPr>
              <w:t>《国家危险废物名录》（2025年版）</w:t>
            </w:r>
            <w:r>
              <w:rPr>
                <w:color w:val="auto"/>
              </w:rPr>
              <w:t>，废</w:t>
            </w:r>
            <w:r>
              <w:rPr>
                <w:rFonts w:hint="eastAsia" w:cs="Times New Roman"/>
                <w:color w:val="auto"/>
                <w:sz w:val="24"/>
                <w:lang w:val="en-US" w:eastAsia="zh-CN"/>
              </w:rPr>
              <w:t>抹布</w:t>
            </w:r>
            <w:r>
              <w:rPr>
                <w:color w:val="auto"/>
              </w:rPr>
              <w:t>属于危险废物，类别为</w:t>
            </w:r>
            <w:r>
              <w:rPr>
                <w:rFonts w:hint="eastAsia" w:ascii="Times New Roman" w:hAnsi="Times New Roman" w:cs="Times New Roman"/>
                <w:color w:val="auto"/>
                <w:sz w:val="24"/>
                <w:lang w:eastAsia="zh-CN"/>
              </w:rPr>
              <w:t>“</w:t>
            </w:r>
            <w:r>
              <w:rPr>
                <w:rFonts w:ascii="Times New Roman" w:hAnsi="Times New Roman" w:cs="Times New Roman"/>
                <w:color w:val="auto"/>
                <w:sz w:val="24"/>
              </w:rPr>
              <w:t>HW49</w:t>
            </w:r>
            <w:r>
              <w:rPr>
                <w:rFonts w:hint="eastAsia" w:ascii="Times New Roman" w:hAnsi="Times New Roman" w:cs="Times New Roman"/>
                <w:color w:val="auto"/>
                <w:sz w:val="24"/>
                <w:lang w:val="en-US" w:eastAsia="zh-CN"/>
              </w:rPr>
              <w:t>其他废物</w:t>
            </w:r>
            <w:r>
              <w:rPr>
                <w:rFonts w:hint="eastAsia" w:ascii="Times New Roman" w:hAnsi="Times New Roman" w:cs="Times New Roman"/>
                <w:color w:val="auto"/>
                <w:sz w:val="24"/>
                <w:lang w:eastAsia="zh-CN"/>
              </w:rPr>
              <w:t>”</w:t>
            </w:r>
            <w:r>
              <w:rPr>
                <w:rFonts w:ascii="Times New Roman" w:hAnsi="Times New Roman" w:cs="Times New Roman"/>
                <w:color w:val="auto"/>
                <w:sz w:val="24"/>
              </w:rPr>
              <w:t>，废物代码900-041-49</w:t>
            </w:r>
            <w:r>
              <w:rPr>
                <w:color w:val="auto"/>
              </w:rPr>
              <w:t>。</w:t>
            </w:r>
          </w:p>
          <w:p w14:paraId="2B3DFE85">
            <w:pPr>
              <w:pStyle w:val="6"/>
              <w:spacing w:line="360" w:lineRule="auto"/>
              <w:ind w:firstLine="480" w:firstLineChars="200"/>
              <w:rPr>
                <w:rFonts w:hint="eastAsia"/>
                <w:color w:val="auto"/>
                <w:lang w:val="en-US" w:eastAsia="zh-CN"/>
              </w:rPr>
            </w:pPr>
            <w:r>
              <w:rPr>
                <w:rFonts w:hint="eastAsia"/>
                <w:color w:val="auto"/>
                <w:lang w:val="en-US" w:eastAsia="zh-CN"/>
              </w:rPr>
              <w:t>12）废刹车片</w:t>
            </w:r>
          </w:p>
          <w:p w14:paraId="45DBBDDB">
            <w:pPr>
              <w:pStyle w:val="6"/>
              <w:spacing w:line="360" w:lineRule="auto"/>
              <w:ind w:firstLine="480" w:firstLineChars="200"/>
              <w:rPr>
                <w:rFonts w:hint="eastAsia"/>
                <w:color w:val="auto"/>
                <w:lang w:val="en-US" w:eastAsia="zh-CN"/>
              </w:rPr>
            </w:pPr>
            <w:r>
              <w:rPr>
                <w:rFonts w:hint="eastAsia" w:ascii="Times New Roman" w:hAnsi="Times New Roman" w:eastAsia="宋体" w:cs="Times New Roman"/>
                <w:color w:val="auto"/>
                <w:lang w:val="en-US" w:eastAsia="zh-CN"/>
              </w:rPr>
              <w:t>本项目运行过程中废</w:t>
            </w:r>
            <w:r>
              <w:rPr>
                <w:rFonts w:hint="eastAsia" w:cs="Times New Roman"/>
                <w:color w:val="auto"/>
                <w:lang w:val="en-US" w:eastAsia="zh-CN"/>
              </w:rPr>
              <w:t>刹车片</w:t>
            </w:r>
            <w:r>
              <w:rPr>
                <w:rFonts w:hint="eastAsia" w:ascii="Times New Roman" w:hAnsi="Times New Roman" w:eastAsia="宋体" w:cs="Times New Roman"/>
                <w:color w:val="auto"/>
                <w:lang w:val="en-US" w:eastAsia="zh-CN"/>
              </w:rPr>
              <w:t>产生量为5副/a，暂存于</w:t>
            </w:r>
            <w:r>
              <w:rPr>
                <w:rFonts w:hint="eastAsia" w:cs="Times New Roman"/>
                <w:color w:val="auto"/>
                <w:lang w:val="en-US" w:eastAsia="zh-CN"/>
              </w:rPr>
              <w:t>危废贮存库2#</w:t>
            </w:r>
            <w:r>
              <w:rPr>
                <w:rFonts w:hint="eastAsia" w:ascii="Times New Roman" w:hAnsi="Times New Roman" w:eastAsia="宋体" w:cs="Times New Roman"/>
                <w:color w:val="auto"/>
                <w:lang w:val="en-US" w:eastAsia="zh-CN"/>
              </w:rPr>
              <w:t>，委托有资质单位处置。</w:t>
            </w:r>
            <w:r>
              <w:rPr>
                <w:rFonts w:hint="eastAsia"/>
                <w:color w:val="auto"/>
              </w:rPr>
              <w:t>根据《国家危险废物名录》（</w:t>
            </w:r>
            <w:r>
              <w:rPr>
                <w:color w:val="auto"/>
              </w:rPr>
              <w:t>202</w:t>
            </w:r>
            <w:r>
              <w:rPr>
                <w:rFonts w:hint="eastAsia"/>
                <w:color w:val="auto"/>
              </w:rPr>
              <w:t>5</w:t>
            </w:r>
            <w:r>
              <w:rPr>
                <w:color w:val="auto"/>
              </w:rPr>
              <w:t>年</w:t>
            </w:r>
            <w:r>
              <w:rPr>
                <w:rFonts w:hint="eastAsia"/>
                <w:color w:val="auto"/>
              </w:rPr>
              <w:t>版），</w:t>
            </w:r>
            <w:r>
              <w:rPr>
                <w:rFonts w:hint="eastAsia"/>
                <w:color w:val="auto"/>
                <w:lang w:val="en-US" w:eastAsia="zh-CN"/>
              </w:rPr>
              <w:t>废刹车片</w:t>
            </w:r>
            <w:r>
              <w:rPr>
                <w:rFonts w:hint="eastAsia"/>
                <w:color w:val="auto"/>
              </w:rPr>
              <w:t>属于危险废物，废物类别为“HW36</w:t>
            </w:r>
            <w:r>
              <w:rPr>
                <w:rFonts w:hint="eastAsia"/>
                <w:color w:val="auto"/>
                <w:lang w:val="en-US" w:eastAsia="zh-CN"/>
              </w:rPr>
              <w:t>石棉废物</w:t>
            </w:r>
            <w:r>
              <w:rPr>
                <w:rFonts w:hint="eastAsia"/>
                <w:color w:val="auto"/>
              </w:rPr>
              <w:t>”，废物代码为900-</w:t>
            </w:r>
            <w:r>
              <w:rPr>
                <w:rFonts w:hint="eastAsia"/>
                <w:color w:val="auto"/>
                <w:lang w:val="en-US" w:eastAsia="zh-CN"/>
              </w:rPr>
              <w:t>032-36</w:t>
            </w:r>
            <w:r>
              <w:rPr>
                <w:rFonts w:hint="eastAsia"/>
                <w:color w:val="auto"/>
              </w:rPr>
              <w:t>。</w:t>
            </w:r>
          </w:p>
          <w:p w14:paraId="4FBECB21">
            <w:pPr>
              <w:pStyle w:val="6"/>
              <w:spacing w:line="360" w:lineRule="auto"/>
              <w:ind w:firstLine="480" w:firstLineChars="200"/>
              <w:rPr>
                <w:rFonts w:hint="eastAsia"/>
                <w:color w:val="auto"/>
                <w:lang w:val="en-US" w:eastAsia="zh-CN"/>
              </w:rPr>
            </w:pPr>
            <w:r>
              <w:rPr>
                <w:rFonts w:hint="eastAsia"/>
                <w:color w:val="auto"/>
                <w:lang w:val="en-US" w:eastAsia="zh-CN"/>
              </w:rPr>
              <w:t>13）废荧光灯管</w:t>
            </w:r>
          </w:p>
          <w:p w14:paraId="39026153">
            <w:pPr>
              <w:pStyle w:val="6"/>
              <w:spacing w:line="360" w:lineRule="auto"/>
              <w:ind w:firstLine="480" w:firstLineChars="200"/>
              <w:rPr>
                <w:rFonts w:hint="eastAsia"/>
                <w:color w:val="auto"/>
              </w:rPr>
            </w:pPr>
            <w:r>
              <w:rPr>
                <w:rFonts w:hint="eastAsia"/>
                <w:color w:val="auto"/>
                <w:lang w:val="en-US" w:eastAsia="zh-CN"/>
              </w:rPr>
              <w:t>本项目日常照明过程中废荧光灯管产生量为5根/a，</w:t>
            </w:r>
            <w:r>
              <w:rPr>
                <w:color w:val="auto"/>
              </w:rPr>
              <w:t>暂存</w:t>
            </w:r>
            <w:r>
              <w:rPr>
                <w:rFonts w:hint="eastAsia"/>
                <w:color w:val="auto"/>
              </w:rPr>
              <w:t>于</w:t>
            </w:r>
            <w:r>
              <w:rPr>
                <w:rFonts w:hint="eastAsia"/>
                <w:color w:val="auto"/>
                <w:lang w:eastAsia="zh-CN"/>
              </w:rPr>
              <w:t>危废贮存库2#</w:t>
            </w:r>
            <w:r>
              <w:rPr>
                <w:rFonts w:hint="eastAsia"/>
                <w:color w:val="auto"/>
              </w:rPr>
              <w:t>，委托有</w:t>
            </w:r>
            <w:r>
              <w:rPr>
                <w:color w:val="auto"/>
              </w:rPr>
              <w:t>资质单位处置。</w:t>
            </w:r>
            <w:r>
              <w:rPr>
                <w:rFonts w:hint="eastAsia"/>
                <w:color w:val="auto"/>
              </w:rPr>
              <w:t>根据《国家危险废物名录》（</w:t>
            </w:r>
            <w:r>
              <w:rPr>
                <w:color w:val="auto"/>
              </w:rPr>
              <w:t>202</w:t>
            </w:r>
            <w:r>
              <w:rPr>
                <w:rFonts w:hint="eastAsia"/>
                <w:color w:val="auto"/>
              </w:rPr>
              <w:t>5</w:t>
            </w:r>
            <w:r>
              <w:rPr>
                <w:color w:val="auto"/>
              </w:rPr>
              <w:t>年</w:t>
            </w:r>
            <w:r>
              <w:rPr>
                <w:rFonts w:hint="eastAsia"/>
                <w:color w:val="auto"/>
              </w:rPr>
              <w:t>版），</w:t>
            </w:r>
            <w:r>
              <w:rPr>
                <w:rFonts w:hint="eastAsia" w:cs="Times New Roman"/>
                <w:color w:val="auto"/>
                <w:sz w:val="24"/>
                <w:lang w:val="en-US" w:eastAsia="zh-CN"/>
              </w:rPr>
              <w:t>废荧光灯管</w:t>
            </w:r>
            <w:r>
              <w:rPr>
                <w:rFonts w:hint="eastAsia"/>
                <w:color w:val="auto"/>
              </w:rPr>
              <w:t>属于危险废物，废物类别为“HW29含汞废物”，废物代码为900-023-29。</w:t>
            </w:r>
          </w:p>
          <w:p w14:paraId="5C8ABF2B">
            <w:pPr>
              <w:pStyle w:val="6"/>
              <w:spacing w:line="360" w:lineRule="auto"/>
              <w:ind w:firstLine="480" w:firstLineChars="200"/>
              <w:rPr>
                <w:rFonts w:hint="eastAsia"/>
                <w:color w:val="auto"/>
              </w:rPr>
            </w:pPr>
            <w:r>
              <w:rPr>
                <w:rFonts w:hint="eastAsia"/>
                <w:color w:val="auto"/>
                <w:lang w:val="en-US" w:eastAsia="zh-CN"/>
              </w:rPr>
              <w:t>14）</w:t>
            </w:r>
            <w:r>
              <w:rPr>
                <w:rFonts w:hint="eastAsia"/>
                <w:color w:val="auto"/>
              </w:rPr>
              <w:t>废机滤</w:t>
            </w:r>
          </w:p>
          <w:p w14:paraId="3559FB1A">
            <w:pPr>
              <w:pStyle w:val="6"/>
              <w:spacing w:line="360" w:lineRule="auto"/>
              <w:ind w:firstLine="480" w:firstLineChars="200"/>
              <w:rPr>
                <w:rFonts w:hint="default" w:eastAsia="宋体" w:cs="Times New Roman"/>
                <w:color w:val="auto"/>
                <w:sz w:val="24"/>
                <w:lang w:val="en-US" w:eastAsia="zh-CN"/>
              </w:rPr>
            </w:pPr>
            <w:r>
              <w:rPr>
                <w:rFonts w:hint="eastAsia"/>
                <w:color w:val="auto"/>
                <w:lang w:val="en-US" w:eastAsia="zh-CN"/>
              </w:rPr>
              <w:t>本项目</w:t>
            </w:r>
            <w:r>
              <w:rPr>
                <w:rFonts w:hint="eastAsia" w:cs="Times New Roman"/>
                <w:color w:val="auto"/>
                <w:sz w:val="24"/>
                <w:lang w:val="en-US" w:eastAsia="zh-CN"/>
              </w:rPr>
              <w:t>更换零部件工序废机滤产生量为2.6</w:t>
            </w:r>
            <w:r>
              <w:rPr>
                <w:rFonts w:hint="eastAsia"/>
                <w:color w:val="auto"/>
                <w:szCs w:val="24"/>
                <w:lang w:val="en-US" w:eastAsia="zh-CN"/>
              </w:rPr>
              <w:t>t/a</w:t>
            </w:r>
            <w:r>
              <w:rPr>
                <w:rFonts w:hint="eastAsia" w:cs="Times New Roman"/>
                <w:color w:val="auto"/>
                <w:sz w:val="24"/>
                <w:lang w:val="en-US" w:eastAsia="zh-CN"/>
              </w:rPr>
              <w:t>，</w:t>
            </w:r>
            <w:r>
              <w:rPr>
                <w:color w:val="auto"/>
              </w:rPr>
              <w:t>暂存</w:t>
            </w:r>
            <w:r>
              <w:rPr>
                <w:rFonts w:hint="eastAsia"/>
                <w:color w:val="auto"/>
              </w:rPr>
              <w:t>于</w:t>
            </w:r>
            <w:r>
              <w:rPr>
                <w:rFonts w:hint="eastAsia"/>
                <w:color w:val="auto"/>
                <w:lang w:val="en-US" w:eastAsia="zh-CN"/>
              </w:rPr>
              <w:t>危废贮存库1#</w:t>
            </w:r>
            <w:r>
              <w:rPr>
                <w:rFonts w:hint="eastAsia"/>
                <w:color w:val="auto"/>
              </w:rPr>
              <w:t>，委托有</w:t>
            </w:r>
            <w:r>
              <w:rPr>
                <w:color w:val="auto"/>
              </w:rPr>
              <w:t>资质单位处置。根据</w:t>
            </w:r>
            <w:r>
              <w:rPr>
                <w:rFonts w:hint="eastAsia"/>
                <w:color w:val="auto"/>
              </w:rPr>
              <w:t>《国家危险废物名录》（2025年版）</w:t>
            </w:r>
            <w:r>
              <w:rPr>
                <w:color w:val="auto"/>
              </w:rPr>
              <w:t>，</w:t>
            </w:r>
            <w:r>
              <w:rPr>
                <w:rFonts w:hint="eastAsia"/>
                <w:color w:val="auto"/>
              </w:rPr>
              <w:t>废机滤</w:t>
            </w:r>
            <w:r>
              <w:rPr>
                <w:color w:val="auto"/>
              </w:rPr>
              <w:t>属于危险废物，类别为</w:t>
            </w:r>
            <w:r>
              <w:rPr>
                <w:rFonts w:hint="eastAsia"/>
                <w:color w:val="auto"/>
                <w:lang w:eastAsia="zh-CN"/>
              </w:rPr>
              <w:t>“</w:t>
            </w:r>
            <w:r>
              <w:rPr>
                <w:color w:val="auto"/>
              </w:rPr>
              <w:t>HW08废矿物油与含矿物油废物</w:t>
            </w:r>
            <w:r>
              <w:rPr>
                <w:rFonts w:hint="eastAsia"/>
                <w:color w:val="auto"/>
                <w:lang w:eastAsia="zh-CN"/>
              </w:rPr>
              <w:t>”</w:t>
            </w:r>
            <w:r>
              <w:rPr>
                <w:color w:val="auto"/>
              </w:rPr>
              <w:t>，废物代码900-2</w:t>
            </w:r>
            <w:r>
              <w:rPr>
                <w:rFonts w:hint="eastAsia"/>
                <w:color w:val="auto"/>
              </w:rPr>
              <w:t>49</w:t>
            </w:r>
            <w:r>
              <w:rPr>
                <w:color w:val="auto"/>
              </w:rPr>
              <w:t>-08。</w:t>
            </w:r>
          </w:p>
          <w:p w14:paraId="3FF0B60D">
            <w:pPr>
              <w:pStyle w:val="6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Ansi="Times New Roman" w:cs="Times New Roman"/>
                <w:b/>
                <w:bCs/>
                <w:color w:val="auto"/>
                <w:kern w:val="21"/>
                <w:szCs w:val="24"/>
              </w:rPr>
            </w:pPr>
            <w:r>
              <w:rPr>
                <w:rFonts w:hint="eastAsia" w:hAnsi="Times New Roman" w:cs="Times New Roman"/>
                <w:b/>
                <w:bCs/>
                <w:color w:val="auto"/>
                <w:kern w:val="21"/>
                <w:szCs w:val="24"/>
              </w:rPr>
              <w:t>表4-1</w:t>
            </w:r>
            <w:r>
              <w:rPr>
                <w:rFonts w:hint="eastAsia" w:hAnsi="Times New Roman" w:cs="Times New Roman"/>
                <w:b/>
                <w:bCs/>
                <w:color w:val="auto"/>
                <w:kern w:val="21"/>
                <w:szCs w:val="24"/>
                <w:lang w:val="en-US" w:eastAsia="zh-CN"/>
              </w:rPr>
              <w:t>4</w:t>
            </w:r>
            <w:r>
              <w:rPr>
                <w:rFonts w:hint="eastAsia" w:hAnsi="Times New Roman" w:cs="Times New Roman"/>
                <w:b/>
                <w:bCs/>
                <w:color w:val="auto"/>
                <w:kern w:val="21"/>
                <w:szCs w:val="24"/>
              </w:rPr>
              <w:t xml:space="preserve">  项目固废产排情况</w:t>
            </w:r>
          </w:p>
          <w:tbl>
            <w:tblPr>
              <w:tblStyle w:val="25"/>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3"/>
              <w:gridCol w:w="1016"/>
              <w:gridCol w:w="669"/>
              <w:gridCol w:w="866"/>
              <w:gridCol w:w="866"/>
              <w:gridCol w:w="884"/>
              <w:gridCol w:w="900"/>
              <w:gridCol w:w="450"/>
              <w:gridCol w:w="900"/>
              <w:gridCol w:w="967"/>
            </w:tblGrid>
            <w:tr w14:paraId="7D9920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6" w:type="pct"/>
                  <w:noWrap w:val="0"/>
                  <w:vAlign w:val="center"/>
                </w:tcPr>
                <w:p w14:paraId="324AA874">
                  <w:pPr>
                    <w:jc w:val="center"/>
                    <w:rPr>
                      <w:b/>
                      <w:bCs/>
                      <w:color w:val="auto"/>
                      <w:szCs w:val="21"/>
                    </w:rPr>
                  </w:pPr>
                  <w:r>
                    <w:rPr>
                      <w:rFonts w:hint="eastAsia"/>
                      <w:b/>
                      <w:bCs/>
                      <w:color w:val="auto"/>
                      <w:szCs w:val="21"/>
                    </w:rPr>
                    <w:t>产生环节</w:t>
                  </w:r>
                </w:p>
              </w:tc>
              <w:tc>
                <w:tcPr>
                  <w:tcW w:w="639" w:type="pct"/>
                  <w:noWrap w:val="0"/>
                  <w:vAlign w:val="center"/>
                </w:tcPr>
                <w:p w14:paraId="71E25142">
                  <w:pPr>
                    <w:jc w:val="center"/>
                    <w:rPr>
                      <w:b/>
                      <w:bCs/>
                      <w:color w:val="auto"/>
                      <w:szCs w:val="21"/>
                    </w:rPr>
                  </w:pPr>
                  <w:r>
                    <w:rPr>
                      <w:rFonts w:hint="eastAsia"/>
                      <w:b/>
                      <w:bCs/>
                      <w:color w:val="auto"/>
                      <w:szCs w:val="21"/>
                    </w:rPr>
                    <w:t>名称</w:t>
                  </w:r>
                </w:p>
              </w:tc>
              <w:tc>
                <w:tcPr>
                  <w:tcW w:w="421" w:type="pct"/>
                  <w:noWrap w:val="0"/>
                  <w:vAlign w:val="center"/>
                </w:tcPr>
                <w:p w14:paraId="6FF1B7EF">
                  <w:pPr>
                    <w:jc w:val="center"/>
                    <w:rPr>
                      <w:b/>
                      <w:bCs/>
                      <w:color w:val="auto"/>
                      <w:szCs w:val="21"/>
                    </w:rPr>
                  </w:pPr>
                  <w:r>
                    <w:rPr>
                      <w:rFonts w:hint="eastAsia"/>
                      <w:b/>
                      <w:bCs/>
                      <w:color w:val="auto"/>
                      <w:szCs w:val="21"/>
                    </w:rPr>
                    <w:t>属性</w:t>
                  </w:r>
                </w:p>
              </w:tc>
              <w:tc>
                <w:tcPr>
                  <w:tcW w:w="545" w:type="pct"/>
                  <w:noWrap w:val="0"/>
                  <w:vAlign w:val="center"/>
                </w:tcPr>
                <w:p w14:paraId="7E188796">
                  <w:pPr>
                    <w:jc w:val="center"/>
                    <w:rPr>
                      <w:b/>
                      <w:bCs/>
                      <w:color w:val="auto"/>
                      <w:szCs w:val="21"/>
                    </w:rPr>
                  </w:pPr>
                  <w:r>
                    <w:rPr>
                      <w:rFonts w:hint="eastAsia"/>
                      <w:b/>
                      <w:bCs/>
                      <w:color w:val="auto"/>
                      <w:szCs w:val="21"/>
                    </w:rPr>
                    <w:t>废物类别</w:t>
                  </w:r>
                </w:p>
              </w:tc>
              <w:tc>
                <w:tcPr>
                  <w:tcW w:w="545" w:type="pct"/>
                  <w:noWrap w:val="0"/>
                  <w:vAlign w:val="center"/>
                </w:tcPr>
                <w:p w14:paraId="708D0D14">
                  <w:pPr>
                    <w:jc w:val="center"/>
                    <w:rPr>
                      <w:b/>
                      <w:bCs/>
                      <w:color w:val="auto"/>
                      <w:szCs w:val="21"/>
                    </w:rPr>
                  </w:pPr>
                  <w:r>
                    <w:rPr>
                      <w:rFonts w:hint="eastAsia"/>
                      <w:b/>
                      <w:bCs/>
                      <w:color w:val="auto"/>
                      <w:szCs w:val="21"/>
                    </w:rPr>
                    <w:t>代码</w:t>
                  </w:r>
                </w:p>
              </w:tc>
              <w:tc>
                <w:tcPr>
                  <w:tcW w:w="556" w:type="pct"/>
                  <w:noWrap w:val="0"/>
                  <w:vAlign w:val="center"/>
                </w:tcPr>
                <w:p w14:paraId="58DDDF2C">
                  <w:pPr>
                    <w:jc w:val="center"/>
                    <w:rPr>
                      <w:b/>
                      <w:bCs/>
                      <w:color w:val="auto"/>
                      <w:szCs w:val="21"/>
                    </w:rPr>
                  </w:pPr>
                  <w:r>
                    <w:rPr>
                      <w:rFonts w:hint="eastAsia"/>
                      <w:b/>
                      <w:bCs/>
                      <w:color w:val="auto"/>
                      <w:szCs w:val="21"/>
                    </w:rPr>
                    <w:t>主要有毒有害物质名称</w:t>
                  </w:r>
                </w:p>
              </w:tc>
              <w:tc>
                <w:tcPr>
                  <w:tcW w:w="566" w:type="pct"/>
                  <w:noWrap w:val="0"/>
                  <w:vAlign w:val="center"/>
                </w:tcPr>
                <w:p w14:paraId="777F9A2F">
                  <w:pPr>
                    <w:jc w:val="center"/>
                    <w:rPr>
                      <w:b/>
                      <w:bCs/>
                      <w:color w:val="auto"/>
                      <w:szCs w:val="21"/>
                    </w:rPr>
                  </w:pPr>
                  <w:r>
                    <w:rPr>
                      <w:rFonts w:hint="eastAsia"/>
                      <w:b/>
                      <w:bCs/>
                      <w:color w:val="auto"/>
                      <w:szCs w:val="21"/>
                    </w:rPr>
                    <w:t>产生量（t/a）</w:t>
                  </w:r>
                </w:p>
              </w:tc>
              <w:tc>
                <w:tcPr>
                  <w:tcW w:w="283" w:type="pct"/>
                  <w:noWrap w:val="0"/>
                  <w:vAlign w:val="center"/>
                </w:tcPr>
                <w:p w14:paraId="175B09B1">
                  <w:pPr>
                    <w:jc w:val="center"/>
                    <w:rPr>
                      <w:b/>
                      <w:bCs/>
                      <w:color w:val="auto"/>
                      <w:szCs w:val="21"/>
                    </w:rPr>
                  </w:pPr>
                  <w:r>
                    <w:rPr>
                      <w:rFonts w:hint="eastAsia"/>
                      <w:b/>
                      <w:bCs/>
                      <w:color w:val="auto"/>
                      <w:szCs w:val="21"/>
                    </w:rPr>
                    <w:t>贮存方式</w:t>
                  </w:r>
                </w:p>
              </w:tc>
              <w:tc>
                <w:tcPr>
                  <w:tcW w:w="566" w:type="pct"/>
                  <w:noWrap w:val="0"/>
                  <w:vAlign w:val="center"/>
                </w:tcPr>
                <w:p w14:paraId="47FE2C9E">
                  <w:pPr>
                    <w:jc w:val="center"/>
                    <w:rPr>
                      <w:b/>
                      <w:bCs/>
                      <w:color w:val="auto"/>
                      <w:szCs w:val="21"/>
                    </w:rPr>
                  </w:pPr>
                  <w:r>
                    <w:rPr>
                      <w:rFonts w:hint="eastAsia"/>
                      <w:b/>
                      <w:bCs/>
                      <w:color w:val="auto"/>
                      <w:szCs w:val="21"/>
                    </w:rPr>
                    <w:t>利用处置方式和去向</w:t>
                  </w:r>
                </w:p>
              </w:tc>
              <w:tc>
                <w:tcPr>
                  <w:tcW w:w="608" w:type="pct"/>
                  <w:noWrap w:val="0"/>
                  <w:vAlign w:val="center"/>
                </w:tcPr>
                <w:p w14:paraId="5C93ABE6">
                  <w:pPr>
                    <w:jc w:val="center"/>
                    <w:rPr>
                      <w:b/>
                      <w:bCs/>
                      <w:color w:val="auto"/>
                      <w:szCs w:val="21"/>
                    </w:rPr>
                  </w:pPr>
                  <w:r>
                    <w:rPr>
                      <w:rFonts w:hint="eastAsia"/>
                      <w:b/>
                      <w:bCs/>
                      <w:color w:val="auto"/>
                      <w:szCs w:val="21"/>
                    </w:rPr>
                    <w:t>利用或处置量(t/a)</w:t>
                  </w:r>
                </w:p>
              </w:tc>
            </w:tr>
            <w:tr w14:paraId="279CC9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6" w:type="pct"/>
                  <w:noWrap w:val="0"/>
                  <w:vAlign w:val="center"/>
                </w:tcPr>
                <w:p w14:paraId="5B44CD3A">
                  <w:pPr>
                    <w:jc w:val="center"/>
                    <w:rPr>
                      <w:color w:val="auto"/>
                      <w:szCs w:val="21"/>
                    </w:rPr>
                  </w:pPr>
                  <w:r>
                    <w:rPr>
                      <w:rFonts w:hint="eastAsia"/>
                      <w:color w:val="auto"/>
                      <w:szCs w:val="21"/>
                    </w:rPr>
                    <w:t>生活办公</w:t>
                  </w:r>
                </w:p>
              </w:tc>
              <w:tc>
                <w:tcPr>
                  <w:tcW w:w="639" w:type="pct"/>
                  <w:noWrap w:val="0"/>
                  <w:vAlign w:val="center"/>
                </w:tcPr>
                <w:p w14:paraId="2917B8AA">
                  <w:pPr>
                    <w:jc w:val="center"/>
                    <w:rPr>
                      <w:color w:val="auto"/>
                      <w:szCs w:val="21"/>
                    </w:rPr>
                  </w:pPr>
                  <w:r>
                    <w:rPr>
                      <w:rFonts w:hint="eastAsia"/>
                      <w:color w:val="auto"/>
                      <w:szCs w:val="21"/>
                    </w:rPr>
                    <w:t>生活垃圾</w:t>
                  </w:r>
                </w:p>
              </w:tc>
              <w:tc>
                <w:tcPr>
                  <w:tcW w:w="421" w:type="pct"/>
                  <w:noWrap w:val="0"/>
                  <w:vAlign w:val="center"/>
                </w:tcPr>
                <w:p w14:paraId="342C2EE8">
                  <w:pPr>
                    <w:jc w:val="center"/>
                    <w:rPr>
                      <w:color w:val="auto"/>
                      <w:szCs w:val="21"/>
                    </w:rPr>
                  </w:pPr>
                  <w:r>
                    <w:rPr>
                      <w:rFonts w:hint="eastAsia"/>
                      <w:color w:val="auto"/>
                      <w:szCs w:val="21"/>
                    </w:rPr>
                    <w:t>/</w:t>
                  </w:r>
                </w:p>
              </w:tc>
              <w:tc>
                <w:tcPr>
                  <w:tcW w:w="545" w:type="pct"/>
                  <w:noWrap w:val="0"/>
                  <w:vAlign w:val="center"/>
                </w:tcPr>
                <w:p w14:paraId="454F9E6E">
                  <w:pPr>
                    <w:jc w:val="center"/>
                    <w:rPr>
                      <w:color w:val="auto"/>
                      <w:szCs w:val="21"/>
                    </w:rPr>
                  </w:pPr>
                  <w:r>
                    <w:rPr>
                      <w:rFonts w:hint="eastAsia"/>
                      <w:color w:val="auto"/>
                      <w:szCs w:val="21"/>
                    </w:rPr>
                    <w:t>/</w:t>
                  </w:r>
                </w:p>
              </w:tc>
              <w:tc>
                <w:tcPr>
                  <w:tcW w:w="545" w:type="pct"/>
                  <w:noWrap w:val="0"/>
                  <w:vAlign w:val="center"/>
                </w:tcPr>
                <w:p w14:paraId="255D189B">
                  <w:pPr>
                    <w:jc w:val="center"/>
                    <w:rPr>
                      <w:color w:val="auto"/>
                      <w:szCs w:val="21"/>
                    </w:rPr>
                  </w:pPr>
                  <w:r>
                    <w:rPr>
                      <w:rFonts w:hint="eastAsia"/>
                      <w:color w:val="auto"/>
                      <w:szCs w:val="21"/>
                    </w:rPr>
                    <w:t>/</w:t>
                  </w:r>
                </w:p>
              </w:tc>
              <w:tc>
                <w:tcPr>
                  <w:tcW w:w="556" w:type="pct"/>
                  <w:noWrap w:val="0"/>
                  <w:vAlign w:val="center"/>
                </w:tcPr>
                <w:p w14:paraId="06AA7E3A">
                  <w:pPr>
                    <w:jc w:val="center"/>
                    <w:rPr>
                      <w:color w:val="auto"/>
                      <w:szCs w:val="21"/>
                    </w:rPr>
                  </w:pPr>
                  <w:r>
                    <w:rPr>
                      <w:rFonts w:hint="eastAsia"/>
                      <w:color w:val="auto"/>
                      <w:szCs w:val="21"/>
                    </w:rPr>
                    <w:t>/</w:t>
                  </w:r>
                </w:p>
              </w:tc>
              <w:tc>
                <w:tcPr>
                  <w:tcW w:w="566" w:type="pct"/>
                  <w:noWrap w:val="0"/>
                  <w:vAlign w:val="center"/>
                </w:tcPr>
                <w:p w14:paraId="5FEB84A5">
                  <w:pPr>
                    <w:jc w:val="center"/>
                    <w:rPr>
                      <w:color w:val="auto"/>
                      <w:szCs w:val="21"/>
                    </w:rPr>
                  </w:pPr>
                  <w:r>
                    <w:rPr>
                      <w:rFonts w:hint="eastAsia"/>
                      <w:color w:val="auto"/>
                      <w:szCs w:val="21"/>
                    </w:rPr>
                    <w:t>0.825</w:t>
                  </w:r>
                </w:p>
              </w:tc>
              <w:tc>
                <w:tcPr>
                  <w:tcW w:w="283" w:type="pct"/>
                  <w:noWrap w:val="0"/>
                  <w:vAlign w:val="center"/>
                </w:tcPr>
                <w:p w14:paraId="0B45228E">
                  <w:pPr>
                    <w:jc w:val="center"/>
                    <w:rPr>
                      <w:color w:val="auto"/>
                      <w:szCs w:val="21"/>
                    </w:rPr>
                  </w:pPr>
                  <w:r>
                    <w:rPr>
                      <w:rFonts w:hint="eastAsia"/>
                      <w:color w:val="auto"/>
                      <w:szCs w:val="21"/>
                    </w:rPr>
                    <w:t>垃圾桶</w:t>
                  </w:r>
                </w:p>
              </w:tc>
              <w:tc>
                <w:tcPr>
                  <w:tcW w:w="566" w:type="pct"/>
                  <w:noWrap w:val="0"/>
                  <w:vAlign w:val="center"/>
                </w:tcPr>
                <w:p w14:paraId="065CE714">
                  <w:pPr>
                    <w:jc w:val="center"/>
                    <w:rPr>
                      <w:color w:val="auto"/>
                      <w:szCs w:val="21"/>
                    </w:rPr>
                  </w:pPr>
                  <w:r>
                    <w:rPr>
                      <w:rFonts w:hint="eastAsia"/>
                      <w:color w:val="auto"/>
                      <w:szCs w:val="21"/>
                    </w:rPr>
                    <w:t>定期交由环卫部门清运</w:t>
                  </w:r>
                </w:p>
              </w:tc>
              <w:tc>
                <w:tcPr>
                  <w:tcW w:w="608" w:type="pct"/>
                  <w:noWrap w:val="0"/>
                  <w:vAlign w:val="center"/>
                </w:tcPr>
                <w:p w14:paraId="2FFE7913">
                  <w:pPr>
                    <w:jc w:val="center"/>
                    <w:rPr>
                      <w:color w:val="auto"/>
                      <w:szCs w:val="21"/>
                    </w:rPr>
                  </w:pPr>
                  <w:r>
                    <w:rPr>
                      <w:rFonts w:hint="eastAsia"/>
                      <w:color w:val="auto"/>
                      <w:szCs w:val="21"/>
                    </w:rPr>
                    <w:t>0.825</w:t>
                  </w:r>
                </w:p>
              </w:tc>
            </w:tr>
            <w:tr w14:paraId="4596B1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6" w:type="pct"/>
                  <w:vMerge w:val="restart"/>
                  <w:noWrap w:val="0"/>
                  <w:vAlign w:val="center"/>
                </w:tcPr>
                <w:p w14:paraId="0CD8B939">
                  <w:pPr>
                    <w:jc w:val="center"/>
                    <w:rPr>
                      <w:color w:val="auto"/>
                      <w:szCs w:val="21"/>
                    </w:rPr>
                  </w:pPr>
                  <w:r>
                    <w:rPr>
                      <w:rFonts w:hint="eastAsia"/>
                      <w:color w:val="auto"/>
                      <w:szCs w:val="21"/>
                    </w:rPr>
                    <w:t>生产</w:t>
                  </w:r>
                  <w:r>
                    <w:rPr>
                      <w:color w:val="auto"/>
                      <w:szCs w:val="21"/>
                    </w:rPr>
                    <w:t>活动</w:t>
                  </w:r>
                </w:p>
              </w:tc>
              <w:tc>
                <w:tcPr>
                  <w:tcW w:w="639" w:type="pct"/>
                  <w:noWrap w:val="0"/>
                  <w:vAlign w:val="center"/>
                </w:tcPr>
                <w:p w14:paraId="10E21C05">
                  <w:pPr>
                    <w:jc w:val="center"/>
                    <w:rPr>
                      <w:color w:val="auto"/>
                      <w:szCs w:val="21"/>
                    </w:rPr>
                  </w:pPr>
                  <w:r>
                    <w:rPr>
                      <w:rFonts w:hint="eastAsia"/>
                      <w:color w:val="auto"/>
                      <w:szCs w:val="21"/>
                      <w:lang w:val="en-US" w:eastAsia="zh-CN"/>
                    </w:rPr>
                    <w:t>废零部件</w:t>
                  </w:r>
                </w:p>
              </w:tc>
              <w:tc>
                <w:tcPr>
                  <w:tcW w:w="421" w:type="pct"/>
                  <w:vMerge w:val="restart"/>
                  <w:noWrap w:val="0"/>
                  <w:vAlign w:val="center"/>
                </w:tcPr>
                <w:p w14:paraId="12F2E7AD">
                  <w:pPr>
                    <w:pStyle w:val="44"/>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一般固废</w:t>
                  </w:r>
                </w:p>
              </w:tc>
              <w:tc>
                <w:tcPr>
                  <w:tcW w:w="545" w:type="pct"/>
                  <w:vMerge w:val="restart"/>
                  <w:noWrap w:val="0"/>
                  <w:vAlign w:val="center"/>
                </w:tcPr>
                <w:p w14:paraId="0A2A47BE">
                  <w:pPr>
                    <w:pStyle w:val="44"/>
                    <w:jc w:val="center"/>
                    <w:rPr>
                      <w:rFonts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SW17</w:t>
                  </w:r>
                </w:p>
              </w:tc>
              <w:tc>
                <w:tcPr>
                  <w:tcW w:w="545" w:type="pct"/>
                  <w:noWrap w:val="0"/>
                  <w:vAlign w:val="center"/>
                </w:tcPr>
                <w:p w14:paraId="1A4E2EF9">
                  <w:pPr>
                    <w:pStyle w:val="44"/>
                    <w:jc w:val="center"/>
                    <w:rPr>
                      <w:rFonts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rPr>
                    <w:t>900-013-S17</w:t>
                  </w:r>
                </w:p>
              </w:tc>
              <w:tc>
                <w:tcPr>
                  <w:tcW w:w="556" w:type="pct"/>
                  <w:noWrap w:val="0"/>
                  <w:vAlign w:val="center"/>
                </w:tcPr>
                <w:p w14:paraId="481A7E39">
                  <w:pPr>
                    <w:jc w:val="center"/>
                    <w:rPr>
                      <w:color w:val="auto"/>
                      <w:kern w:val="2"/>
                      <w:sz w:val="21"/>
                      <w:szCs w:val="21"/>
                      <w:lang w:val="en-US" w:eastAsia="zh-CN" w:bidi="ar-SA"/>
                    </w:rPr>
                  </w:pPr>
                  <w:r>
                    <w:rPr>
                      <w:rFonts w:hint="eastAsia"/>
                      <w:color w:val="auto"/>
                      <w:szCs w:val="21"/>
                    </w:rPr>
                    <w:t>/</w:t>
                  </w:r>
                </w:p>
              </w:tc>
              <w:tc>
                <w:tcPr>
                  <w:tcW w:w="566" w:type="pct"/>
                  <w:noWrap w:val="0"/>
                  <w:vAlign w:val="center"/>
                </w:tcPr>
                <w:p w14:paraId="6327172A">
                  <w:pPr>
                    <w:jc w:val="center"/>
                    <w:rPr>
                      <w:rFonts w:hint="default" w:eastAsia="宋体"/>
                      <w:color w:val="auto"/>
                      <w:kern w:val="2"/>
                      <w:sz w:val="21"/>
                      <w:szCs w:val="21"/>
                      <w:lang w:val="en-US" w:eastAsia="zh-CN" w:bidi="ar-SA"/>
                    </w:rPr>
                  </w:pPr>
                  <w:r>
                    <w:rPr>
                      <w:rFonts w:hint="eastAsia"/>
                      <w:color w:val="auto"/>
                      <w:szCs w:val="21"/>
                      <w:lang w:val="en-US" w:eastAsia="zh-CN"/>
                    </w:rPr>
                    <w:t>0.1</w:t>
                  </w:r>
                </w:p>
              </w:tc>
              <w:tc>
                <w:tcPr>
                  <w:tcW w:w="850" w:type="pct"/>
                  <w:gridSpan w:val="2"/>
                  <w:vMerge w:val="restart"/>
                  <w:noWrap w:val="0"/>
                  <w:vAlign w:val="center"/>
                </w:tcPr>
                <w:p w14:paraId="2C3E9F96">
                  <w:pPr>
                    <w:jc w:val="center"/>
                    <w:rPr>
                      <w:color w:val="auto"/>
                      <w:szCs w:val="21"/>
                    </w:rPr>
                  </w:pPr>
                  <w:r>
                    <w:rPr>
                      <w:rFonts w:hint="eastAsia"/>
                      <w:color w:val="auto"/>
                      <w:szCs w:val="21"/>
                      <w:lang w:val="en-US" w:eastAsia="zh-CN"/>
                    </w:rPr>
                    <w:t>集中</w:t>
                  </w:r>
                  <w:r>
                    <w:rPr>
                      <w:rFonts w:hint="eastAsia"/>
                      <w:color w:val="auto"/>
                      <w:szCs w:val="21"/>
                    </w:rPr>
                    <w:t>收集后外售处置</w:t>
                  </w:r>
                </w:p>
              </w:tc>
              <w:tc>
                <w:tcPr>
                  <w:tcW w:w="608" w:type="pct"/>
                  <w:noWrap w:val="0"/>
                  <w:vAlign w:val="center"/>
                </w:tcPr>
                <w:p w14:paraId="4ED1A5F5">
                  <w:pPr>
                    <w:jc w:val="center"/>
                    <w:rPr>
                      <w:rFonts w:hint="default" w:eastAsia="宋体"/>
                      <w:color w:val="auto"/>
                      <w:szCs w:val="21"/>
                      <w:lang w:val="en-US" w:eastAsia="zh-CN"/>
                    </w:rPr>
                  </w:pPr>
                  <w:r>
                    <w:rPr>
                      <w:rFonts w:hint="eastAsia"/>
                      <w:color w:val="auto"/>
                      <w:szCs w:val="21"/>
                      <w:lang w:val="en-US" w:eastAsia="zh-CN"/>
                    </w:rPr>
                    <w:t>0.1</w:t>
                  </w:r>
                </w:p>
              </w:tc>
            </w:tr>
            <w:tr w14:paraId="7F9AAA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6" w:type="pct"/>
                  <w:vMerge w:val="continue"/>
                  <w:noWrap w:val="0"/>
                  <w:vAlign w:val="center"/>
                </w:tcPr>
                <w:p w14:paraId="1B115936">
                  <w:pPr>
                    <w:jc w:val="center"/>
                    <w:rPr>
                      <w:color w:val="auto"/>
                      <w:szCs w:val="21"/>
                    </w:rPr>
                  </w:pPr>
                </w:p>
              </w:tc>
              <w:tc>
                <w:tcPr>
                  <w:tcW w:w="639" w:type="pct"/>
                  <w:noWrap w:val="0"/>
                  <w:vAlign w:val="center"/>
                </w:tcPr>
                <w:p w14:paraId="115FCAD2">
                  <w:pPr>
                    <w:jc w:val="center"/>
                    <w:rPr>
                      <w:rFonts w:hint="eastAsia"/>
                      <w:color w:val="auto"/>
                      <w:szCs w:val="21"/>
                      <w:lang w:val="en-US" w:eastAsia="zh-CN"/>
                    </w:rPr>
                  </w:pPr>
                  <w:r>
                    <w:rPr>
                      <w:rFonts w:hint="eastAsia"/>
                      <w:color w:val="auto"/>
                      <w:szCs w:val="21"/>
                      <w:lang w:val="en-US" w:eastAsia="zh-CN"/>
                    </w:rPr>
                    <w:t>废轮胎</w:t>
                  </w:r>
                </w:p>
              </w:tc>
              <w:tc>
                <w:tcPr>
                  <w:tcW w:w="421" w:type="pct"/>
                  <w:vMerge w:val="continue"/>
                  <w:noWrap w:val="0"/>
                  <w:vAlign w:val="center"/>
                </w:tcPr>
                <w:p w14:paraId="675CA04C">
                  <w:pPr>
                    <w:pStyle w:val="44"/>
                    <w:jc w:val="center"/>
                    <w:rPr>
                      <w:rFonts w:ascii="Times New Roman" w:hAnsi="Times New Roman" w:cs="Times New Roman"/>
                      <w:color w:val="auto"/>
                      <w:sz w:val="21"/>
                      <w:szCs w:val="21"/>
                    </w:rPr>
                  </w:pPr>
                </w:p>
              </w:tc>
              <w:tc>
                <w:tcPr>
                  <w:tcW w:w="545" w:type="pct"/>
                  <w:vMerge w:val="continue"/>
                  <w:noWrap w:val="0"/>
                  <w:vAlign w:val="center"/>
                </w:tcPr>
                <w:p w14:paraId="78B02E30">
                  <w:pPr>
                    <w:pStyle w:val="44"/>
                    <w:jc w:val="center"/>
                    <w:rPr>
                      <w:rFonts w:hint="eastAsia" w:ascii="Times New Roman" w:hAnsi="Times New Roman" w:eastAsia="宋体" w:cs="Times New Roman"/>
                      <w:color w:val="auto"/>
                      <w:kern w:val="2"/>
                      <w:sz w:val="21"/>
                      <w:szCs w:val="21"/>
                      <w:lang w:val="en-US" w:eastAsia="zh-CN" w:bidi="ar-SA"/>
                    </w:rPr>
                  </w:pPr>
                </w:p>
              </w:tc>
              <w:tc>
                <w:tcPr>
                  <w:tcW w:w="545" w:type="pct"/>
                  <w:noWrap w:val="0"/>
                  <w:vAlign w:val="center"/>
                </w:tcPr>
                <w:p w14:paraId="0B8AC018">
                  <w:pPr>
                    <w:pStyle w:val="44"/>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900-006-S17</w:t>
                  </w:r>
                </w:p>
              </w:tc>
              <w:tc>
                <w:tcPr>
                  <w:tcW w:w="556" w:type="pct"/>
                  <w:noWrap w:val="0"/>
                  <w:vAlign w:val="center"/>
                </w:tcPr>
                <w:p w14:paraId="34742EEC">
                  <w:pPr>
                    <w:pStyle w:val="44"/>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rPr>
                    <w:t>/</w:t>
                  </w:r>
                </w:p>
              </w:tc>
              <w:tc>
                <w:tcPr>
                  <w:tcW w:w="566" w:type="pct"/>
                  <w:noWrap w:val="0"/>
                  <w:vAlign w:val="center"/>
                </w:tcPr>
                <w:p w14:paraId="51B7FBF9">
                  <w:pPr>
                    <w:jc w:val="center"/>
                    <w:rPr>
                      <w:rFonts w:hint="eastAsia" w:eastAsia="宋体"/>
                      <w:color w:val="auto"/>
                      <w:szCs w:val="21"/>
                      <w:lang w:val="en-US" w:eastAsia="zh-CN"/>
                    </w:rPr>
                  </w:pPr>
                  <w:r>
                    <w:rPr>
                      <w:rFonts w:hint="eastAsia"/>
                      <w:color w:val="auto"/>
                      <w:szCs w:val="21"/>
                      <w:lang w:val="en-US" w:eastAsia="zh-CN"/>
                    </w:rPr>
                    <w:t>2</w:t>
                  </w:r>
                </w:p>
              </w:tc>
              <w:tc>
                <w:tcPr>
                  <w:tcW w:w="850" w:type="pct"/>
                  <w:gridSpan w:val="2"/>
                  <w:vMerge w:val="continue"/>
                  <w:noWrap w:val="0"/>
                  <w:vAlign w:val="center"/>
                </w:tcPr>
                <w:p w14:paraId="2BAAC6EE">
                  <w:pPr>
                    <w:jc w:val="center"/>
                    <w:rPr>
                      <w:rFonts w:hint="eastAsia"/>
                      <w:color w:val="auto"/>
                      <w:szCs w:val="21"/>
                    </w:rPr>
                  </w:pPr>
                </w:p>
              </w:tc>
              <w:tc>
                <w:tcPr>
                  <w:tcW w:w="608" w:type="pct"/>
                  <w:noWrap w:val="0"/>
                  <w:vAlign w:val="center"/>
                </w:tcPr>
                <w:p w14:paraId="03A665AC">
                  <w:pPr>
                    <w:jc w:val="center"/>
                    <w:rPr>
                      <w:rFonts w:hint="eastAsia" w:eastAsia="宋体"/>
                      <w:color w:val="auto"/>
                      <w:szCs w:val="21"/>
                      <w:lang w:val="en-US" w:eastAsia="zh-CN"/>
                    </w:rPr>
                  </w:pPr>
                  <w:r>
                    <w:rPr>
                      <w:rFonts w:hint="eastAsia"/>
                      <w:color w:val="auto"/>
                      <w:szCs w:val="21"/>
                      <w:lang w:val="en-US" w:eastAsia="zh-CN"/>
                    </w:rPr>
                    <w:t>2</w:t>
                  </w:r>
                </w:p>
              </w:tc>
            </w:tr>
            <w:tr w14:paraId="4A7960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6" w:type="pct"/>
                  <w:vMerge w:val="continue"/>
                  <w:noWrap w:val="0"/>
                  <w:vAlign w:val="center"/>
                </w:tcPr>
                <w:p w14:paraId="7F2C2F76">
                  <w:pPr>
                    <w:jc w:val="center"/>
                    <w:rPr>
                      <w:color w:val="auto"/>
                      <w:szCs w:val="21"/>
                    </w:rPr>
                  </w:pPr>
                </w:p>
              </w:tc>
              <w:tc>
                <w:tcPr>
                  <w:tcW w:w="639" w:type="pct"/>
                  <w:noWrap w:val="0"/>
                  <w:vAlign w:val="center"/>
                </w:tcPr>
                <w:p w14:paraId="6A9E548F">
                  <w:pPr>
                    <w:jc w:val="center"/>
                    <w:rPr>
                      <w:rFonts w:hint="default"/>
                      <w:color w:val="auto"/>
                      <w:szCs w:val="21"/>
                      <w:lang w:val="en-US" w:eastAsia="zh-CN"/>
                    </w:rPr>
                  </w:pPr>
                  <w:r>
                    <w:rPr>
                      <w:rFonts w:hint="eastAsia"/>
                      <w:color w:val="auto"/>
                      <w:szCs w:val="21"/>
                      <w:lang w:val="en-US" w:eastAsia="zh-CN"/>
                    </w:rPr>
                    <w:t>废焊丝</w:t>
                  </w:r>
                </w:p>
              </w:tc>
              <w:tc>
                <w:tcPr>
                  <w:tcW w:w="421" w:type="pct"/>
                  <w:vMerge w:val="continue"/>
                  <w:noWrap w:val="0"/>
                  <w:vAlign w:val="center"/>
                </w:tcPr>
                <w:p w14:paraId="2E60FAA9">
                  <w:pPr>
                    <w:pStyle w:val="44"/>
                    <w:jc w:val="center"/>
                    <w:rPr>
                      <w:rFonts w:ascii="Times New Roman" w:hAnsi="Times New Roman" w:cs="Times New Roman"/>
                      <w:color w:val="auto"/>
                      <w:sz w:val="21"/>
                      <w:szCs w:val="21"/>
                    </w:rPr>
                  </w:pPr>
                </w:p>
              </w:tc>
              <w:tc>
                <w:tcPr>
                  <w:tcW w:w="545" w:type="pct"/>
                  <w:vMerge w:val="restart"/>
                  <w:noWrap w:val="0"/>
                  <w:vAlign w:val="center"/>
                </w:tcPr>
                <w:p w14:paraId="0323DA07">
                  <w:pPr>
                    <w:pStyle w:val="44"/>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rPr>
                    <w:t>SW59</w:t>
                  </w:r>
                </w:p>
              </w:tc>
              <w:tc>
                <w:tcPr>
                  <w:tcW w:w="545" w:type="pct"/>
                  <w:vMerge w:val="restart"/>
                  <w:noWrap w:val="0"/>
                  <w:vAlign w:val="center"/>
                </w:tcPr>
                <w:p w14:paraId="353135AB">
                  <w:pPr>
                    <w:pStyle w:val="44"/>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rPr>
                    <w:t>900-099-S59</w:t>
                  </w:r>
                </w:p>
              </w:tc>
              <w:tc>
                <w:tcPr>
                  <w:tcW w:w="556" w:type="pct"/>
                  <w:noWrap w:val="0"/>
                  <w:vAlign w:val="center"/>
                </w:tcPr>
                <w:p w14:paraId="15CF9176">
                  <w:pPr>
                    <w:pStyle w:val="44"/>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rPr>
                    <w:t>/</w:t>
                  </w:r>
                </w:p>
              </w:tc>
              <w:tc>
                <w:tcPr>
                  <w:tcW w:w="566" w:type="pct"/>
                  <w:noWrap w:val="0"/>
                  <w:vAlign w:val="center"/>
                </w:tcPr>
                <w:p w14:paraId="2A42C1C0">
                  <w:pPr>
                    <w:jc w:val="center"/>
                    <w:rPr>
                      <w:rFonts w:hint="default" w:eastAsia="宋体"/>
                      <w:color w:val="auto"/>
                      <w:szCs w:val="21"/>
                      <w:lang w:val="en-US" w:eastAsia="zh-CN"/>
                    </w:rPr>
                  </w:pPr>
                  <w:r>
                    <w:rPr>
                      <w:rFonts w:hint="eastAsia"/>
                      <w:color w:val="auto"/>
                      <w:szCs w:val="21"/>
                      <w:lang w:val="en-US" w:eastAsia="zh-CN"/>
                    </w:rPr>
                    <w:t>0.00075</w:t>
                  </w:r>
                </w:p>
              </w:tc>
              <w:tc>
                <w:tcPr>
                  <w:tcW w:w="850" w:type="pct"/>
                  <w:gridSpan w:val="2"/>
                  <w:vMerge w:val="continue"/>
                  <w:noWrap w:val="0"/>
                  <w:vAlign w:val="center"/>
                </w:tcPr>
                <w:p w14:paraId="42FCE5A3">
                  <w:pPr>
                    <w:jc w:val="center"/>
                    <w:rPr>
                      <w:rFonts w:hint="eastAsia"/>
                      <w:color w:val="auto"/>
                      <w:szCs w:val="21"/>
                    </w:rPr>
                  </w:pPr>
                </w:p>
              </w:tc>
              <w:tc>
                <w:tcPr>
                  <w:tcW w:w="608" w:type="pct"/>
                  <w:noWrap w:val="0"/>
                  <w:vAlign w:val="center"/>
                </w:tcPr>
                <w:p w14:paraId="324C809C">
                  <w:pPr>
                    <w:jc w:val="center"/>
                    <w:rPr>
                      <w:rFonts w:hint="eastAsia"/>
                      <w:color w:val="auto"/>
                      <w:szCs w:val="21"/>
                    </w:rPr>
                  </w:pPr>
                  <w:r>
                    <w:rPr>
                      <w:rFonts w:hint="eastAsia"/>
                      <w:color w:val="auto"/>
                      <w:szCs w:val="21"/>
                      <w:lang w:val="en-US" w:eastAsia="zh-CN"/>
                    </w:rPr>
                    <w:t>0.00075</w:t>
                  </w:r>
                </w:p>
              </w:tc>
            </w:tr>
            <w:tr w14:paraId="38CE93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6" w:type="pct"/>
                  <w:vMerge w:val="continue"/>
                  <w:noWrap w:val="0"/>
                  <w:vAlign w:val="center"/>
                </w:tcPr>
                <w:p w14:paraId="3334A6AB">
                  <w:pPr>
                    <w:jc w:val="center"/>
                    <w:rPr>
                      <w:color w:val="auto"/>
                      <w:szCs w:val="21"/>
                    </w:rPr>
                  </w:pPr>
                </w:p>
              </w:tc>
              <w:tc>
                <w:tcPr>
                  <w:tcW w:w="639" w:type="pct"/>
                  <w:noWrap w:val="0"/>
                  <w:vAlign w:val="center"/>
                </w:tcPr>
                <w:p w14:paraId="6BA82DFB">
                  <w:pPr>
                    <w:jc w:val="center"/>
                    <w:rPr>
                      <w:rFonts w:hint="eastAsia" w:eastAsia="宋体"/>
                      <w:color w:val="auto"/>
                      <w:kern w:val="2"/>
                      <w:sz w:val="21"/>
                      <w:szCs w:val="21"/>
                      <w:lang w:val="en-US" w:eastAsia="zh-CN" w:bidi="ar-SA"/>
                    </w:rPr>
                  </w:pPr>
                  <w:r>
                    <w:rPr>
                      <w:rFonts w:hint="eastAsia"/>
                      <w:color w:val="auto"/>
                      <w:szCs w:val="21"/>
                      <w:lang w:val="en-US" w:eastAsia="zh-CN"/>
                    </w:rPr>
                    <w:t>废打磨片</w:t>
                  </w:r>
                </w:p>
              </w:tc>
              <w:tc>
                <w:tcPr>
                  <w:tcW w:w="421" w:type="pct"/>
                  <w:vMerge w:val="continue"/>
                  <w:noWrap w:val="0"/>
                  <w:vAlign w:val="center"/>
                </w:tcPr>
                <w:p w14:paraId="589DA673">
                  <w:pPr>
                    <w:pStyle w:val="44"/>
                    <w:jc w:val="center"/>
                    <w:rPr>
                      <w:rFonts w:ascii="Times New Roman" w:hAnsi="Times New Roman" w:eastAsia="宋体" w:cs="Times New Roman"/>
                      <w:color w:val="auto"/>
                      <w:kern w:val="2"/>
                      <w:sz w:val="21"/>
                      <w:szCs w:val="21"/>
                      <w:lang w:val="en-US" w:eastAsia="zh-CN" w:bidi="ar-SA"/>
                    </w:rPr>
                  </w:pPr>
                </w:p>
              </w:tc>
              <w:tc>
                <w:tcPr>
                  <w:tcW w:w="545" w:type="pct"/>
                  <w:vMerge w:val="continue"/>
                  <w:noWrap w:val="0"/>
                  <w:vAlign w:val="center"/>
                </w:tcPr>
                <w:p w14:paraId="40F7487C">
                  <w:pPr>
                    <w:pStyle w:val="44"/>
                    <w:jc w:val="center"/>
                    <w:rPr>
                      <w:rFonts w:hint="eastAsia" w:ascii="Times New Roman" w:hAnsi="Times New Roman" w:eastAsia="宋体" w:cs="Times New Roman"/>
                      <w:color w:val="auto"/>
                      <w:kern w:val="2"/>
                      <w:sz w:val="21"/>
                      <w:szCs w:val="21"/>
                      <w:lang w:val="en-US" w:eastAsia="zh-CN" w:bidi="ar-SA"/>
                    </w:rPr>
                  </w:pPr>
                </w:p>
              </w:tc>
              <w:tc>
                <w:tcPr>
                  <w:tcW w:w="545" w:type="pct"/>
                  <w:vMerge w:val="continue"/>
                  <w:noWrap w:val="0"/>
                  <w:vAlign w:val="center"/>
                </w:tcPr>
                <w:p w14:paraId="2E9AD085">
                  <w:pPr>
                    <w:pStyle w:val="44"/>
                    <w:jc w:val="center"/>
                    <w:rPr>
                      <w:rFonts w:hint="eastAsia" w:ascii="Times New Roman" w:hAnsi="Times New Roman" w:eastAsia="宋体" w:cs="Times New Roman"/>
                      <w:color w:val="auto"/>
                      <w:kern w:val="2"/>
                      <w:sz w:val="21"/>
                      <w:szCs w:val="21"/>
                      <w:lang w:val="en-US" w:eastAsia="zh-CN" w:bidi="ar-SA"/>
                    </w:rPr>
                  </w:pPr>
                </w:p>
              </w:tc>
              <w:tc>
                <w:tcPr>
                  <w:tcW w:w="556" w:type="pct"/>
                  <w:noWrap w:val="0"/>
                  <w:vAlign w:val="center"/>
                </w:tcPr>
                <w:p w14:paraId="4CE9CA0C">
                  <w:pPr>
                    <w:jc w:val="center"/>
                    <w:rPr>
                      <w:rFonts w:hint="eastAsia"/>
                      <w:color w:val="auto"/>
                      <w:kern w:val="2"/>
                      <w:sz w:val="21"/>
                      <w:szCs w:val="21"/>
                      <w:lang w:val="en-US" w:eastAsia="zh-CN" w:bidi="ar-SA"/>
                    </w:rPr>
                  </w:pPr>
                  <w:r>
                    <w:rPr>
                      <w:rFonts w:hint="eastAsia"/>
                      <w:color w:val="auto"/>
                      <w:szCs w:val="21"/>
                    </w:rPr>
                    <w:t>/</w:t>
                  </w:r>
                </w:p>
              </w:tc>
              <w:tc>
                <w:tcPr>
                  <w:tcW w:w="566" w:type="pct"/>
                  <w:noWrap w:val="0"/>
                  <w:vAlign w:val="center"/>
                </w:tcPr>
                <w:p w14:paraId="310EB0D5">
                  <w:pPr>
                    <w:jc w:val="center"/>
                    <w:rPr>
                      <w:rFonts w:hint="eastAsia" w:eastAsia="宋体"/>
                      <w:color w:val="auto"/>
                      <w:kern w:val="2"/>
                      <w:sz w:val="21"/>
                      <w:szCs w:val="21"/>
                      <w:lang w:val="en-US" w:eastAsia="zh-CN" w:bidi="ar-SA"/>
                    </w:rPr>
                  </w:pPr>
                  <w:r>
                    <w:rPr>
                      <w:rFonts w:hint="eastAsia"/>
                      <w:color w:val="auto"/>
                      <w:szCs w:val="21"/>
                      <w:lang w:val="en-US" w:eastAsia="zh-CN"/>
                    </w:rPr>
                    <w:t>0.1</w:t>
                  </w:r>
                </w:p>
              </w:tc>
              <w:tc>
                <w:tcPr>
                  <w:tcW w:w="850" w:type="pct"/>
                  <w:gridSpan w:val="2"/>
                  <w:vMerge w:val="continue"/>
                  <w:noWrap w:val="0"/>
                  <w:vAlign w:val="center"/>
                </w:tcPr>
                <w:p w14:paraId="74640C98">
                  <w:pPr>
                    <w:jc w:val="center"/>
                    <w:rPr>
                      <w:color w:val="auto"/>
                      <w:szCs w:val="21"/>
                    </w:rPr>
                  </w:pPr>
                </w:p>
              </w:tc>
              <w:tc>
                <w:tcPr>
                  <w:tcW w:w="608" w:type="pct"/>
                  <w:noWrap w:val="0"/>
                  <w:vAlign w:val="center"/>
                </w:tcPr>
                <w:p w14:paraId="63421931">
                  <w:pPr>
                    <w:jc w:val="center"/>
                    <w:rPr>
                      <w:rFonts w:hint="eastAsia"/>
                      <w:color w:val="auto"/>
                      <w:szCs w:val="21"/>
                      <w:lang w:val="en-US" w:eastAsia="zh-CN"/>
                    </w:rPr>
                  </w:pPr>
                  <w:r>
                    <w:rPr>
                      <w:rFonts w:hint="eastAsia"/>
                      <w:color w:val="auto"/>
                      <w:szCs w:val="21"/>
                      <w:lang w:val="en-US" w:eastAsia="zh-CN"/>
                    </w:rPr>
                    <w:t>0.1</w:t>
                  </w:r>
                </w:p>
              </w:tc>
            </w:tr>
            <w:tr w14:paraId="27D050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6" w:type="pct"/>
                  <w:vMerge w:val="continue"/>
                  <w:noWrap w:val="0"/>
                  <w:vAlign w:val="center"/>
                </w:tcPr>
                <w:p w14:paraId="50C22889">
                  <w:pPr>
                    <w:jc w:val="center"/>
                    <w:rPr>
                      <w:color w:val="auto"/>
                      <w:szCs w:val="21"/>
                    </w:rPr>
                  </w:pPr>
                </w:p>
              </w:tc>
              <w:tc>
                <w:tcPr>
                  <w:tcW w:w="639" w:type="pct"/>
                  <w:noWrap w:val="0"/>
                  <w:vAlign w:val="center"/>
                </w:tcPr>
                <w:p w14:paraId="2BFFDF2E">
                  <w:pPr>
                    <w:jc w:val="center"/>
                    <w:rPr>
                      <w:rFonts w:hint="default" w:eastAsia="宋体"/>
                      <w:color w:val="auto"/>
                      <w:szCs w:val="21"/>
                      <w:lang w:val="en-US" w:eastAsia="zh-CN"/>
                    </w:rPr>
                  </w:pPr>
                  <w:r>
                    <w:rPr>
                      <w:rFonts w:hint="eastAsia" w:eastAsia="宋体"/>
                      <w:color w:val="auto"/>
                      <w:szCs w:val="21"/>
                      <w:lang w:val="en-US" w:eastAsia="zh-CN"/>
                    </w:rPr>
                    <w:t>废锂电池</w:t>
                  </w:r>
                </w:p>
              </w:tc>
              <w:tc>
                <w:tcPr>
                  <w:tcW w:w="421" w:type="pct"/>
                  <w:vMerge w:val="continue"/>
                  <w:noWrap w:val="0"/>
                  <w:vAlign w:val="center"/>
                </w:tcPr>
                <w:p w14:paraId="0D380851">
                  <w:pPr>
                    <w:pStyle w:val="44"/>
                    <w:jc w:val="center"/>
                    <w:rPr>
                      <w:rFonts w:ascii="Times New Roman" w:hAnsi="Times New Roman" w:cs="Times New Roman"/>
                      <w:color w:val="auto"/>
                      <w:sz w:val="21"/>
                      <w:szCs w:val="21"/>
                    </w:rPr>
                  </w:pPr>
                </w:p>
              </w:tc>
              <w:tc>
                <w:tcPr>
                  <w:tcW w:w="545" w:type="pct"/>
                  <w:noWrap w:val="0"/>
                  <w:vAlign w:val="center"/>
                </w:tcPr>
                <w:p w14:paraId="78EC9F2B">
                  <w:pPr>
                    <w:pStyle w:val="44"/>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SW17</w:t>
                  </w:r>
                </w:p>
              </w:tc>
              <w:tc>
                <w:tcPr>
                  <w:tcW w:w="545" w:type="pct"/>
                  <w:noWrap w:val="0"/>
                  <w:vAlign w:val="center"/>
                </w:tcPr>
                <w:p w14:paraId="220EE433">
                  <w:pPr>
                    <w:pStyle w:val="44"/>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900-012-S17</w:t>
                  </w:r>
                </w:p>
              </w:tc>
              <w:tc>
                <w:tcPr>
                  <w:tcW w:w="556" w:type="pct"/>
                  <w:noWrap w:val="0"/>
                  <w:vAlign w:val="center"/>
                </w:tcPr>
                <w:p w14:paraId="32376C8D">
                  <w:pPr>
                    <w:jc w:val="center"/>
                    <w:rPr>
                      <w:rFonts w:hint="eastAsia" w:eastAsia="宋体"/>
                      <w:color w:val="auto"/>
                      <w:szCs w:val="21"/>
                      <w:lang w:val="en-US" w:eastAsia="zh-CN"/>
                    </w:rPr>
                  </w:pPr>
                  <w:r>
                    <w:rPr>
                      <w:rFonts w:hint="eastAsia"/>
                      <w:color w:val="auto"/>
                      <w:szCs w:val="21"/>
                      <w:lang w:val="en-US" w:eastAsia="zh-CN"/>
                    </w:rPr>
                    <w:t>/</w:t>
                  </w:r>
                </w:p>
              </w:tc>
              <w:tc>
                <w:tcPr>
                  <w:tcW w:w="566" w:type="pct"/>
                  <w:noWrap w:val="0"/>
                  <w:vAlign w:val="center"/>
                </w:tcPr>
                <w:p w14:paraId="24AE56DC">
                  <w:pPr>
                    <w:jc w:val="center"/>
                    <w:rPr>
                      <w:rFonts w:hint="default" w:eastAsia="宋体"/>
                      <w:color w:val="auto"/>
                      <w:szCs w:val="21"/>
                      <w:lang w:val="en-US" w:eastAsia="zh-CN"/>
                    </w:rPr>
                  </w:pPr>
                  <w:r>
                    <w:rPr>
                      <w:rFonts w:hint="eastAsia" w:eastAsia="宋体"/>
                      <w:color w:val="auto"/>
                      <w:szCs w:val="21"/>
                      <w:lang w:val="en-US" w:eastAsia="zh-CN"/>
                    </w:rPr>
                    <w:t>5块</w:t>
                  </w:r>
                </w:p>
              </w:tc>
              <w:tc>
                <w:tcPr>
                  <w:tcW w:w="850" w:type="pct"/>
                  <w:gridSpan w:val="2"/>
                  <w:noWrap w:val="0"/>
                  <w:vAlign w:val="center"/>
                </w:tcPr>
                <w:p w14:paraId="063B4BD6">
                  <w:pPr>
                    <w:jc w:val="center"/>
                    <w:rPr>
                      <w:rFonts w:hint="default" w:eastAsia="宋体"/>
                      <w:color w:val="auto"/>
                      <w:szCs w:val="21"/>
                      <w:lang w:val="en-US" w:eastAsia="zh-CN"/>
                    </w:rPr>
                  </w:pPr>
                  <w:r>
                    <w:rPr>
                      <w:rFonts w:hint="eastAsia"/>
                      <w:color w:val="auto"/>
                      <w:szCs w:val="21"/>
                      <w:lang w:val="en-US" w:eastAsia="zh-CN"/>
                    </w:rPr>
                    <w:t>收集后由厂家回收</w:t>
                  </w:r>
                </w:p>
              </w:tc>
              <w:tc>
                <w:tcPr>
                  <w:tcW w:w="608" w:type="pct"/>
                  <w:noWrap w:val="0"/>
                  <w:vAlign w:val="center"/>
                </w:tcPr>
                <w:p w14:paraId="714AFC6B">
                  <w:pPr>
                    <w:jc w:val="center"/>
                    <w:rPr>
                      <w:color w:val="auto"/>
                      <w:szCs w:val="21"/>
                    </w:rPr>
                  </w:pPr>
                  <w:r>
                    <w:rPr>
                      <w:rFonts w:hint="eastAsia" w:eastAsia="宋体"/>
                      <w:color w:val="auto"/>
                      <w:szCs w:val="21"/>
                      <w:lang w:val="en-US" w:eastAsia="zh-CN"/>
                    </w:rPr>
                    <w:t>5块</w:t>
                  </w:r>
                </w:p>
              </w:tc>
            </w:tr>
            <w:tr w14:paraId="5EB9CA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6" w:type="pct"/>
                  <w:vMerge w:val="continue"/>
                  <w:noWrap w:val="0"/>
                  <w:vAlign w:val="center"/>
                </w:tcPr>
                <w:p w14:paraId="36726504">
                  <w:pPr>
                    <w:jc w:val="center"/>
                    <w:rPr>
                      <w:color w:val="auto"/>
                      <w:szCs w:val="21"/>
                    </w:rPr>
                  </w:pPr>
                </w:p>
              </w:tc>
              <w:tc>
                <w:tcPr>
                  <w:tcW w:w="639" w:type="pct"/>
                  <w:noWrap w:val="0"/>
                  <w:vAlign w:val="center"/>
                </w:tcPr>
                <w:p w14:paraId="1E3BCC19">
                  <w:pPr>
                    <w:jc w:val="center"/>
                    <w:rPr>
                      <w:rFonts w:hint="eastAsia" w:eastAsia="宋体"/>
                      <w:color w:val="auto"/>
                      <w:szCs w:val="21"/>
                      <w:lang w:eastAsia="zh-CN"/>
                    </w:rPr>
                  </w:pPr>
                  <w:r>
                    <w:rPr>
                      <w:rFonts w:hint="eastAsia"/>
                      <w:color w:val="auto"/>
                      <w:szCs w:val="21"/>
                      <w:lang w:eastAsia="zh-CN"/>
                    </w:rPr>
                    <w:t>油泥</w:t>
                  </w:r>
                </w:p>
              </w:tc>
              <w:tc>
                <w:tcPr>
                  <w:tcW w:w="421" w:type="pct"/>
                  <w:vMerge w:val="restart"/>
                  <w:noWrap w:val="0"/>
                  <w:vAlign w:val="center"/>
                </w:tcPr>
                <w:p w14:paraId="77970F75">
                  <w:pPr>
                    <w:jc w:val="center"/>
                    <w:rPr>
                      <w:rFonts w:hint="eastAsia"/>
                      <w:color w:val="auto"/>
                      <w:szCs w:val="21"/>
                    </w:rPr>
                  </w:pPr>
                  <w:r>
                    <w:rPr>
                      <w:rFonts w:hint="eastAsia"/>
                      <w:color w:val="auto"/>
                      <w:szCs w:val="21"/>
                    </w:rPr>
                    <w:t>危险废物</w:t>
                  </w:r>
                </w:p>
              </w:tc>
              <w:tc>
                <w:tcPr>
                  <w:tcW w:w="545" w:type="pct"/>
                  <w:noWrap w:val="0"/>
                  <w:vAlign w:val="center"/>
                </w:tcPr>
                <w:p w14:paraId="176F2857">
                  <w:pPr>
                    <w:pStyle w:val="44"/>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HW08废矿物油与含矿物油废物</w:t>
                  </w:r>
                </w:p>
              </w:tc>
              <w:tc>
                <w:tcPr>
                  <w:tcW w:w="545" w:type="pct"/>
                  <w:noWrap w:val="0"/>
                  <w:vAlign w:val="center"/>
                </w:tcPr>
                <w:p w14:paraId="30050D6E">
                  <w:pPr>
                    <w:pStyle w:val="44"/>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900-</w:t>
                  </w:r>
                  <w:r>
                    <w:rPr>
                      <w:rFonts w:hint="eastAsia" w:ascii="Times New Roman" w:hAnsi="Times New Roman" w:cs="Times New Roman"/>
                      <w:color w:val="auto"/>
                      <w:sz w:val="21"/>
                      <w:szCs w:val="21"/>
                      <w:lang w:val="en-US" w:eastAsia="zh-CN"/>
                    </w:rPr>
                    <w:t>210</w:t>
                  </w:r>
                  <w:r>
                    <w:rPr>
                      <w:rFonts w:hint="eastAsia" w:ascii="Times New Roman" w:hAnsi="Times New Roman" w:cs="Times New Roman"/>
                      <w:color w:val="auto"/>
                      <w:sz w:val="21"/>
                      <w:szCs w:val="21"/>
                    </w:rPr>
                    <w:t>-08</w:t>
                  </w:r>
                </w:p>
              </w:tc>
              <w:tc>
                <w:tcPr>
                  <w:tcW w:w="556" w:type="pct"/>
                  <w:noWrap w:val="0"/>
                  <w:vAlign w:val="center"/>
                </w:tcPr>
                <w:p w14:paraId="7C55342B">
                  <w:pPr>
                    <w:jc w:val="center"/>
                    <w:rPr>
                      <w:rFonts w:hint="eastAsia" w:eastAsia="宋体"/>
                      <w:color w:val="auto"/>
                      <w:szCs w:val="21"/>
                      <w:lang w:val="en-US" w:eastAsia="zh-CN"/>
                    </w:rPr>
                  </w:pPr>
                  <w:r>
                    <w:rPr>
                      <w:rFonts w:hint="eastAsia"/>
                      <w:color w:val="auto"/>
                      <w:szCs w:val="21"/>
                      <w:lang w:val="en-US" w:eastAsia="zh-CN"/>
                    </w:rPr>
                    <w:t>/</w:t>
                  </w:r>
                </w:p>
              </w:tc>
              <w:tc>
                <w:tcPr>
                  <w:tcW w:w="566" w:type="pct"/>
                  <w:noWrap w:val="0"/>
                  <w:vAlign w:val="center"/>
                </w:tcPr>
                <w:p w14:paraId="7BC7F85F">
                  <w:pPr>
                    <w:jc w:val="center"/>
                    <w:rPr>
                      <w:rFonts w:hint="default"/>
                      <w:color w:val="auto"/>
                      <w:szCs w:val="21"/>
                      <w:lang w:val="en-US" w:eastAsia="zh-CN"/>
                    </w:rPr>
                  </w:pPr>
                  <w:r>
                    <w:rPr>
                      <w:rFonts w:hint="eastAsia"/>
                      <w:color w:val="auto"/>
                      <w:szCs w:val="21"/>
                      <w:lang w:val="en-US" w:eastAsia="zh-CN"/>
                    </w:rPr>
                    <w:t>0.76</w:t>
                  </w:r>
                </w:p>
              </w:tc>
              <w:tc>
                <w:tcPr>
                  <w:tcW w:w="850" w:type="pct"/>
                  <w:gridSpan w:val="2"/>
                  <w:vMerge w:val="restart"/>
                  <w:noWrap w:val="0"/>
                  <w:vAlign w:val="center"/>
                </w:tcPr>
                <w:p w14:paraId="3AE4E263">
                  <w:pPr>
                    <w:jc w:val="center"/>
                    <w:rPr>
                      <w:rFonts w:hint="eastAsia"/>
                      <w:color w:val="auto"/>
                      <w:szCs w:val="21"/>
                    </w:rPr>
                  </w:pPr>
                  <w:r>
                    <w:rPr>
                      <w:rFonts w:hint="eastAsia"/>
                      <w:color w:val="auto"/>
                      <w:szCs w:val="21"/>
                    </w:rPr>
                    <w:t>分类收集暂存，定期委托有资质单位处置</w:t>
                  </w:r>
                </w:p>
              </w:tc>
              <w:tc>
                <w:tcPr>
                  <w:tcW w:w="608" w:type="pct"/>
                  <w:noWrap w:val="0"/>
                  <w:vAlign w:val="center"/>
                </w:tcPr>
                <w:p w14:paraId="0BB56A21">
                  <w:pPr>
                    <w:jc w:val="center"/>
                    <w:rPr>
                      <w:rFonts w:hint="default"/>
                      <w:color w:val="auto"/>
                      <w:szCs w:val="21"/>
                      <w:lang w:val="en-US" w:eastAsia="zh-CN"/>
                    </w:rPr>
                  </w:pPr>
                  <w:r>
                    <w:rPr>
                      <w:rFonts w:hint="eastAsia"/>
                      <w:color w:val="auto"/>
                      <w:szCs w:val="21"/>
                      <w:lang w:val="en-US" w:eastAsia="zh-CN"/>
                    </w:rPr>
                    <w:t>0.76</w:t>
                  </w:r>
                </w:p>
              </w:tc>
            </w:tr>
            <w:tr w14:paraId="407387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6" w:type="pct"/>
                  <w:vMerge w:val="continue"/>
                  <w:noWrap w:val="0"/>
                  <w:vAlign w:val="center"/>
                </w:tcPr>
                <w:p w14:paraId="454AD47C">
                  <w:pPr>
                    <w:jc w:val="center"/>
                    <w:rPr>
                      <w:color w:val="auto"/>
                      <w:szCs w:val="21"/>
                    </w:rPr>
                  </w:pPr>
                </w:p>
              </w:tc>
              <w:tc>
                <w:tcPr>
                  <w:tcW w:w="639" w:type="pct"/>
                  <w:noWrap w:val="0"/>
                  <w:vAlign w:val="center"/>
                </w:tcPr>
                <w:p w14:paraId="01FBD8EF">
                  <w:pPr>
                    <w:jc w:val="center"/>
                    <w:rPr>
                      <w:rFonts w:hint="eastAsia" w:eastAsia="宋体"/>
                      <w:color w:val="auto"/>
                      <w:szCs w:val="21"/>
                      <w:lang w:val="en-US" w:eastAsia="zh-CN"/>
                    </w:rPr>
                  </w:pPr>
                  <w:r>
                    <w:rPr>
                      <w:rFonts w:hint="eastAsia"/>
                      <w:color w:val="auto"/>
                      <w:szCs w:val="21"/>
                      <w:lang w:val="en-US" w:eastAsia="zh-CN"/>
                    </w:rPr>
                    <w:t>废原子灰渣</w:t>
                  </w:r>
                </w:p>
              </w:tc>
              <w:tc>
                <w:tcPr>
                  <w:tcW w:w="421" w:type="pct"/>
                  <w:vMerge w:val="continue"/>
                  <w:noWrap w:val="0"/>
                  <w:vAlign w:val="center"/>
                </w:tcPr>
                <w:p w14:paraId="65559316">
                  <w:pPr>
                    <w:jc w:val="center"/>
                    <w:rPr>
                      <w:rFonts w:hint="eastAsia"/>
                      <w:color w:val="auto"/>
                      <w:szCs w:val="21"/>
                    </w:rPr>
                  </w:pPr>
                </w:p>
              </w:tc>
              <w:tc>
                <w:tcPr>
                  <w:tcW w:w="545" w:type="pct"/>
                  <w:noWrap w:val="0"/>
                  <w:vAlign w:val="center"/>
                </w:tcPr>
                <w:p w14:paraId="1E5C6BE7">
                  <w:pPr>
                    <w:pStyle w:val="44"/>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HW12染料、涂料废物</w:t>
                  </w:r>
                </w:p>
              </w:tc>
              <w:tc>
                <w:tcPr>
                  <w:tcW w:w="545" w:type="pct"/>
                  <w:noWrap w:val="0"/>
                  <w:vAlign w:val="center"/>
                </w:tcPr>
                <w:p w14:paraId="18477171">
                  <w:pPr>
                    <w:pStyle w:val="44"/>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900-252-12</w:t>
                  </w:r>
                </w:p>
              </w:tc>
              <w:tc>
                <w:tcPr>
                  <w:tcW w:w="556" w:type="pct"/>
                  <w:noWrap w:val="0"/>
                  <w:vAlign w:val="center"/>
                </w:tcPr>
                <w:p w14:paraId="7D8FB88D">
                  <w:pPr>
                    <w:jc w:val="center"/>
                    <w:rPr>
                      <w:rFonts w:hint="eastAsia" w:eastAsia="宋体"/>
                      <w:color w:val="auto"/>
                      <w:szCs w:val="21"/>
                      <w:lang w:val="en-US" w:eastAsia="zh-CN"/>
                    </w:rPr>
                  </w:pPr>
                  <w:r>
                    <w:rPr>
                      <w:rFonts w:hint="eastAsia"/>
                      <w:color w:val="auto"/>
                      <w:szCs w:val="21"/>
                      <w:lang w:val="en-US" w:eastAsia="zh-CN"/>
                    </w:rPr>
                    <w:t>/</w:t>
                  </w:r>
                </w:p>
              </w:tc>
              <w:tc>
                <w:tcPr>
                  <w:tcW w:w="566" w:type="pct"/>
                  <w:noWrap w:val="0"/>
                  <w:vAlign w:val="center"/>
                </w:tcPr>
                <w:p w14:paraId="28F4F3D8">
                  <w:pPr>
                    <w:jc w:val="center"/>
                    <w:rPr>
                      <w:rFonts w:hint="default"/>
                      <w:color w:val="auto"/>
                      <w:szCs w:val="21"/>
                      <w:lang w:val="en-US" w:eastAsia="zh-CN"/>
                    </w:rPr>
                  </w:pPr>
                  <w:r>
                    <w:rPr>
                      <w:rFonts w:hint="eastAsia"/>
                      <w:color w:val="auto"/>
                      <w:szCs w:val="21"/>
                      <w:lang w:val="en-US" w:eastAsia="zh-CN"/>
                    </w:rPr>
                    <w:t>0.03</w:t>
                  </w:r>
                </w:p>
              </w:tc>
              <w:tc>
                <w:tcPr>
                  <w:tcW w:w="850" w:type="pct"/>
                  <w:gridSpan w:val="2"/>
                  <w:vMerge w:val="continue"/>
                  <w:noWrap w:val="0"/>
                  <w:vAlign w:val="center"/>
                </w:tcPr>
                <w:p w14:paraId="6E0011EC">
                  <w:pPr>
                    <w:jc w:val="center"/>
                    <w:rPr>
                      <w:rFonts w:hint="eastAsia"/>
                      <w:color w:val="auto"/>
                      <w:szCs w:val="21"/>
                    </w:rPr>
                  </w:pPr>
                </w:p>
              </w:tc>
              <w:tc>
                <w:tcPr>
                  <w:tcW w:w="608" w:type="pct"/>
                  <w:noWrap w:val="0"/>
                  <w:vAlign w:val="center"/>
                </w:tcPr>
                <w:p w14:paraId="30685F74">
                  <w:pPr>
                    <w:jc w:val="center"/>
                    <w:rPr>
                      <w:rFonts w:hint="default"/>
                      <w:color w:val="auto"/>
                      <w:kern w:val="2"/>
                      <w:sz w:val="21"/>
                      <w:szCs w:val="21"/>
                      <w:lang w:val="en-US" w:eastAsia="zh-CN" w:bidi="ar-SA"/>
                    </w:rPr>
                  </w:pPr>
                  <w:r>
                    <w:rPr>
                      <w:rFonts w:hint="eastAsia"/>
                      <w:color w:val="auto"/>
                      <w:szCs w:val="21"/>
                      <w:lang w:val="en-US" w:eastAsia="zh-CN"/>
                    </w:rPr>
                    <w:t>0.03</w:t>
                  </w:r>
                </w:p>
              </w:tc>
            </w:tr>
            <w:tr w14:paraId="386A09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6" w:type="pct"/>
                  <w:vMerge w:val="continue"/>
                  <w:noWrap w:val="0"/>
                  <w:vAlign w:val="center"/>
                </w:tcPr>
                <w:p w14:paraId="716B8720">
                  <w:pPr>
                    <w:jc w:val="center"/>
                    <w:rPr>
                      <w:color w:val="auto"/>
                      <w:szCs w:val="21"/>
                    </w:rPr>
                  </w:pPr>
                </w:p>
              </w:tc>
              <w:tc>
                <w:tcPr>
                  <w:tcW w:w="639" w:type="pct"/>
                  <w:noWrap w:val="0"/>
                  <w:vAlign w:val="center"/>
                </w:tcPr>
                <w:p w14:paraId="3A4CF497">
                  <w:pPr>
                    <w:jc w:val="center"/>
                    <w:rPr>
                      <w:rFonts w:hint="default"/>
                      <w:color w:val="auto"/>
                      <w:szCs w:val="21"/>
                      <w:lang w:val="en-US" w:eastAsia="zh-CN"/>
                    </w:rPr>
                  </w:pPr>
                  <w:r>
                    <w:rPr>
                      <w:rFonts w:hint="eastAsia"/>
                      <w:color w:val="auto"/>
                      <w:szCs w:val="21"/>
                      <w:lang w:val="en-US" w:eastAsia="zh-CN"/>
                    </w:rPr>
                    <w:t>废铅酸电池</w:t>
                  </w:r>
                </w:p>
              </w:tc>
              <w:tc>
                <w:tcPr>
                  <w:tcW w:w="421" w:type="pct"/>
                  <w:vMerge w:val="continue"/>
                  <w:noWrap w:val="0"/>
                  <w:vAlign w:val="center"/>
                </w:tcPr>
                <w:p w14:paraId="20975377">
                  <w:pPr>
                    <w:jc w:val="center"/>
                    <w:rPr>
                      <w:rFonts w:hint="eastAsia"/>
                      <w:color w:val="auto"/>
                      <w:szCs w:val="21"/>
                    </w:rPr>
                  </w:pPr>
                </w:p>
              </w:tc>
              <w:tc>
                <w:tcPr>
                  <w:tcW w:w="545" w:type="pct"/>
                  <w:noWrap w:val="0"/>
                  <w:vAlign w:val="center"/>
                </w:tcPr>
                <w:p w14:paraId="1329C0CD">
                  <w:pPr>
                    <w:pStyle w:val="44"/>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HW31含铅废物</w:t>
                  </w:r>
                </w:p>
              </w:tc>
              <w:tc>
                <w:tcPr>
                  <w:tcW w:w="545" w:type="pct"/>
                  <w:noWrap w:val="0"/>
                  <w:vAlign w:val="center"/>
                </w:tcPr>
                <w:p w14:paraId="061A0774">
                  <w:pPr>
                    <w:pStyle w:val="44"/>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900-052-31</w:t>
                  </w:r>
                </w:p>
              </w:tc>
              <w:tc>
                <w:tcPr>
                  <w:tcW w:w="556" w:type="pct"/>
                  <w:noWrap w:val="0"/>
                  <w:vAlign w:val="center"/>
                </w:tcPr>
                <w:p w14:paraId="788B4AFE">
                  <w:pPr>
                    <w:jc w:val="center"/>
                    <w:rPr>
                      <w:rFonts w:hint="default"/>
                      <w:color w:val="auto"/>
                      <w:szCs w:val="21"/>
                      <w:lang w:val="en-US" w:eastAsia="zh-CN"/>
                    </w:rPr>
                  </w:pPr>
                  <w:r>
                    <w:rPr>
                      <w:rFonts w:hint="eastAsia"/>
                      <w:color w:val="auto"/>
                      <w:szCs w:val="21"/>
                      <w:lang w:val="en-US" w:eastAsia="zh-CN"/>
                    </w:rPr>
                    <w:t>/</w:t>
                  </w:r>
                </w:p>
              </w:tc>
              <w:tc>
                <w:tcPr>
                  <w:tcW w:w="566" w:type="pct"/>
                  <w:noWrap w:val="0"/>
                  <w:vAlign w:val="center"/>
                </w:tcPr>
                <w:p w14:paraId="3FD9B367">
                  <w:pPr>
                    <w:jc w:val="center"/>
                    <w:rPr>
                      <w:rFonts w:hint="default"/>
                      <w:color w:val="auto"/>
                      <w:szCs w:val="21"/>
                      <w:lang w:val="en-US" w:eastAsia="zh-CN"/>
                    </w:rPr>
                  </w:pPr>
                  <w:r>
                    <w:rPr>
                      <w:rFonts w:hint="eastAsia"/>
                      <w:color w:val="auto"/>
                      <w:szCs w:val="21"/>
                      <w:lang w:val="en-US" w:eastAsia="zh-CN"/>
                    </w:rPr>
                    <w:t>10块</w:t>
                  </w:r>
                </w:p>
              </w:tc>
              <w:tc>
                <w:tcPr>
                  <w:tcW w:w="850" w:type="pct"/>
                  <w:gridSpan w:val="2"/>
                  <w:vMerge w:val="continue"/>
                  <w:noWrap w:val="0"/>
                  <w:vAlign w:val="center"/>
                </w:tcPr>
                <w:p w14:paraId="3BA1F447">
                  <w:pPr>
                    <w:jc w:val="center"/>
                    <w:rPr>
                      <w:rFonts w:hint="eastAsia"/>
                      <w:color w:val="auto"/>
                      <w:szCs w:val="21"/>
                    </w:rPr>
                  </w:pPr>
                </w:p>
              </w:tc>
              <w:tc>
                <w:tcPr>
                  <w:tcW w:w="608" w:type="pct"/>
                  <w:noWrap w:val="0"/>
                  <w:vAlign w:val="center"/>
                </w:tcPr>
                <w:p w14:paraId="20BDE1A8">
                  <w:pPr>
                    <w:jc w:val="center"/>
                    <w:rPr>
                      <w:rFonts w:hint="eastAsia"/>
                      <w:color w:val="auto"/>
                      <w:szCs w:val="21"/>
                      <w:lang w:val="en-US" w:eastAsia="zh-CN"/>
                    </w:rPr>
                  </w:pPr>
                  <w:r>
                    <w:rPr>
                      <w:rFonts w:hint="eastAsia"/>
                      <w:color w:val="auto"/>
                      <w:szCs w:val="21"/>
                      <w:lang w:val="en-US" w:eastAsia="zh-CN"/>
                    </w:rPr>
                    <w:t>10块</w:t>
                  </w:r>
                </w:p>
              </w:tc>
            </w:tr>
            <w:tr w14:paraId="41CC90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6" w:type="pct"/>
                  <w:vMerge w:val="continue"/>
                  <w:noWrap w:val="0"/>
                  <w:vAlign w:val="center"/>
                </w:tcPr>
                <w:p w14:paraId="71C1028B">
                  <w:pPr>
                    <w:jc w:val="center"/>
                    <w:rPr>
                      <w:color w:val="auto"/>
                      <w:szCs w:val="21"/>
                    </w:rPr>
                  </w:pPr>
                </w:p>
              </w:tc>
              <w:tc>
                <w:tcPr>
                  <w:tcW w:w="639" w:type="pct"/>
                  <w:noWrap w:val="0"/>
                  <w:vAlign w:val="center"/>
                </w:tcPr>
                <w:p w14:paraId="75328ADB">
                  <w:pPr>
                    <w:jc w:val="center"/>
                    <w:rPr>
                      <w:color w:val="auto"/>
                      <w:szCs w:val="21"/>
                    </w:rPr>
                  </w:pPr>
                  <w:r>
                    <w:rPr>
                      <w:rFonts w:hint="eastAsia"/>
                      <w:color w:val="auto"/>
                      <w:szCs w:val="21"/>
                    </w:rPr>
                    <w:t>废活性炭</w:t>
                  </w:r>
                </w:p>
              </w:tc>
              <w:tc>
                <w:tcPr>
                  <w:tcW w:w="421" w:type="pct"/>
                  <w:vMerge w:val="continue"/>
                  <w:noWrap w:val="0"/>
                  <w:vAlign w:val="center"/>
                </w:tcPr>
                <w:p w14:paraId="164B389E">
                  <w:pPr>
                    <w:jc w:val="center"/>
                    <w:rPr>
                      <w:color w:val="auto"/>
                      <w:szCs w:val="21"/>
                    </w:rPr>
                  </w:pPr>
                </w:p>
              </w:tc>
              <w:tc>
                <w:tcPr>
                  <w:tcW w:w="545" w:type="pct"/>
                  <w:vMerge w:val="restart"/>
                  <w:noWrap w:val="0"/>
                  <w:vAlign w:val="center"/>
                </w:tcPr>
                <w:p w14:paraId="44ADBA23">
                  <w:pPr>
                    <w:pStyle w:val="44"/>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HW49其他废物</w:t>
                  </w:r>
                </w:p>
              </w:tc>
              <w:tc>
                <w:tcPr>
                  <w:tcW w:w="545" w:type="pct"/>
                  <w:noWrap w:val="0"/>
                  <w:vAlign w:val="center"/>
                </w:tcPr>
                <w:p w14:paraId="1F44DE47">
                  <w:pPr>
                    <w:pStyle w:val="44"/>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900-039-49</w:t>
                  </w:r>
                </w:p>
              </w:tc>
              <w:tc>
                <w:tcPr>
                  <w:tcW w:w="556" w:type="pct"/>
                  <w:vMerge w:val="restart"/>
                  <w:noWrap w:val="0"/>
                  <w:vAlign w:val="center"/>
                </w:tcPr>
                <w:p w14:paraId="05AD081C">
                  <w:pPr>
                    <w:jc w:val="center"/>
                    <w:rPr>
                      <w:color w:val="auto"/>
                      <w:szCs w:val="21"/>
                    </w:rPr>
                  </w:pPr>
                  <w:r>
                    <w:rPr>
                      <w:rFonts w:hint="eastAsia"/>
                      <w:color w:val="auto"/>
                      <w:szCs w:val="21"/>
                    </w:rPr>
                    <w:t>有机废气</w:t>
                  </w:r>
                </w:p>
              </w:tc>
              <w:tc>
                <w:tcPr>
                  <w:tcW w:w="566" w:type="pct"/>
                  <w:noWrap w:val="0"/>
                  <w:vAlign w:val="center"/>
                </w:tcPr>
                <w:p w14:paraId="51B63AC3">
                  <w:pPr>
                    <w:jc w:val="center"/>
                    <w:rPr>
                      <w:rFonts w:hint="eastAsia" w:eastAsia="宋体"/>
                      <w:color w:val="auto"/>
                      <w:szCs w:val="21"/>
                      <w:lang w:eastAsia="zh-CN"/>
                    </w:rPr>
                  </w:pPr>
                  <w:r>
                    <w:rPr>
                      <w:rFonts w:hint="eastAsia"/>
                      <w:color w:val="auto"/>
                      <w:szCs w:val="21"/>
                      <w:lang w:eastAsia="zh-CN"/>
                    </w:rPr>
                    <w:t>11.772</w:t>
                  </w:r>
                </w:p>
              </w:tc>
              <w:tc>
                <w:tcPr>
                  <w:tcW w:w="850" w:type="pct"/>
                  <w:gridSpan w:val="2"/>
                  <w:vMerge w:val="continue"/>
                  <w:noWrap w:val="0"/>
                  <w:vAlign w:val="center"/>
                </w:tcPr>
                <w:p w14:paraId="059D5BC4">
                  <w:pPr>
                    <w:jc w:val="center"/>
                    <w:rPr>
                      <w:color w:val="auto"/>
                      <w:szCs w:val="21"/>
                    </w:rPr>
                  </w:pPr>
                </w:p>
              </w:tc>
              <w:tc>
                <w:tcPr>
                  <w:tcW w:w="608" w:type="pct"/>
                  <w:noWrap w:val="0"/>
                  <w:vAlign w:val="center"/>
                </w:tcPr>
                <w:p w14:paraId="1A9CD7E4">
                  <w:pPr>
                    <w:jc w:val="center"/>
                    <w:rPr>
                      <w:rFonts w:hint="eastAsia" w:eastAsia="宋体"/>
                      <w:color w:val="auto"/>
                      <w:szCs w:val="21"/>
                      <w:lang w:eastAsia="zh-CN"/>
                    </w:rPr>
                  </w:pPr>
                  <w:r>
                    <w:rPr>
                      <w:rFonts w:hint="eastAsia"/>
                      <w:color w:val="auto"/>
                      <w:szCs w:val="21"/>
                      <w:lang w:eastAsia="zh-CN"/>
                    </w:rPr>
                    <w:t>11.772</w:t>
                  </w:r>
                </w:p>
              </w:tc>
            </w:tr>
            <w:tr w14:paraId="6B224E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6" w:type="pct"/>
                  <w:vMerge w:val="continue"/>
                  <w:noWrap w:val="0"/>
                  <w:vAlign w:val="center"/>
                </w:tcPr>
                <w:p w14:paraId="677CBBCE">
                  <w:pPr>
                    <w:jc w:val="center"/>
                    <w:rPr>
                      <w:color w:val="auto"/>
                      <w:szCs w:val="21"/>
                    </w:rPr>
                  </w:pPr>
                </w:p>
              </w:tc>
              <w:tc>
                <w:tcPr>
                  <w:tcW w:w="639" w:type="pct"/>
                  <w:noWrap w:val="0"/>
                  <w:vAlign w:val="center"/>
                </w:tcPr>
                <w:p w14:paraId="1B285FE0">
                  <w:pPr>
                    <w:jc w:val="center"/>
                    <w:rPr>
                      <w:rFonts w:hint="eastAsia"/>
                      <w:color w:val="auto"/>
                      <w:szCs w:val="21"/>
                    </w:rPr>
                  </w:pPr>
                  <w:r>
                    <w:rPr>
                      <w:rFonts w:hint="eastAsia"/>
                      <w:color w:val="auto"/>
                      <w:szCs w:val="21"/>
                    </w:rPr>
                    <w:t>废过滤棉</w:t>
                  </w:r>
                </w:p>
              </w:tc>
              <w:tc>
                <w:tcPr>
                  <w:tcW w:w="421" w:type="pct"/>
                  <w:vMerge w:val="continue"/>
                  <w:noWrap w:val="0"/>
                  <w:vAlign w:val="center"/>
                </w:tcPr>
                <w:p w14:paraId="61DB2B5B">
                  <w:pPr>
                    <w:jc w:val="center"/>
                    <w:rPr>
                      <w:color w:val="auto"/>
                      <w:szCs w:val="21"/>
                    </w:rPr>
                  </w:pPr>
                </w:p>
              </w:tc>
              <w:tc>
                <w:tcPr>
                  <w:tcW w:w="545" w:type="pct"/>
                  <w:vMerge w:val="continue"/>
                  <w:noWrap w:val="0"/>
                  <w:vAlign w:val="center"/>
                </w:tcPr>
                <w:p w14:paraId="6F0A0D73">
                  <w:pPr>
                    <w:pStyle w:val="44"/>
                    <w:jc w:val="center"/>
                    <w:rPr>
                      <w:rFonts w:hint="eastAsia" w:ascii="Times New Roman" w:hAnsi="Times New Roman" w:cs="Times New Roman"/>
                      <w:color w:val="auto"/>
                      <w:sz w:val="21"/>
                      <w:szCs w:val="21"/>
                    </w:rPr>
                  </w:pPr>
                </w:p>
              </w:tc>
              <w:tc>
                <w:tcPr>
                  <w:tcW w:w="545" w:type="pct"/>
                  <w:vMerge w:val="restart"/>
                  <w:noWrap w:val="0"/>
                  <w:vAlign w:val="center"/>
                </w:tcPr>
                <w:p w14:paraId="747AC898">
                  <w:pPr>
                    <w:pStyle w:val="44"/>
                    <w:jc w:val="center"/>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900-041-49</w:t>
                  </w:r>
                </w:p>
              </w:tc>
              <w:tc>
                <w:tcPr>
                  <w:tcW w:w="556" w:type="pct"/>
                  <w:vMerge w:val="continue"/>
                  <w:noWrap w:val="0"/>
                  <w:vAlign w:val="center"/>
                </w:tcPr>
                <w:p w14:paraId="48C864A5">
                  <w:pPr>
                    <w:jc w:val="center"/>
                    <w:rPr>
                      <w:rFonts w:hint="eastAsia"/>
                      <w:color w:val="auto"/>
                      <w:szCs w:val="21"/>
                    </w:rPr>
                  </w:pPr>
                </w:p>
              </w:tc>
              <w:tc>
                <w:tcPr>
                  <w:tcW w:w="566" w:type="pct"/>
                  <w:noWrap w:val="0"/>
                  <w:vAlign w:val="center"/>
                </w:tcPr>
                <w:p w14:paraId="5CA3C47F">
                  <w:pPr>
                    <w:jc w:val="center"/>
                    <w:rPr>
                      <w:rFonts w:hint="eastAsia" w:eastAsia="宋体"/>
                      <w:color w:val="auto"/>
                      <w:szCs w:val="21"/>
                      <w:lang w:eastAsia="zh-CN"/>
                    </w:rPr>
                  </w:pPr>
                  <w:r>
                    <w:rPr>
                      <w:rFonts w:hint="eastAsia"/>
                      <w:color w:val="auto"/>
                      <w:szCs w:val="21"/>
                      <w:lang w:eastAsia="zh-CN"/>
                    </w:rPr>
                    <w:t>1.88</w:t>
                  </w:r>
                </w:p>
              </w:tc>
              <w:tc>
                <w:tcPr>
                  <w:tcW w:w="850" w:type="pct"/>
                  <w:gridSpan w:val="2"/>
                  <w:vMerge w:val="continue"/>
                  <w:noWrap w:val="0"/>
                  <w:vAlign w:val="center"/>
                </w:tcPr>
                <w:p w14:paraId="06F4DE21">
                  <w:pPr>
                    <w:jc w:val="center"/>
                    <w:rPr>
                      <w:color w:val="auto"/>
                      <w:szCs w:val="21"/>
                    </w:rPr>
                  </w:pPr>
                </w:p>
              </w:tc>
              <w:tc>
                <w:tcPr>
                  <w:tcW w:w="608" w:type="pct"/>
                  <w:noWrap w:val="0"/>
                  <w:vAlign w:val="center"/>
                </w:tcPr>
                <w:p w14:paraId="348066BA">
                  <w:pPr>
                    <w:jc w:val="center"/>
                    <w:rPr>
                      <w:rFonts w:hint="eastAsia" w:eastAsia="宋体"/>
                      <w:color w:val="auto"/>
                      <w:szCs w:val="21"/>
                      <w:lang w:eastAsia="zh-CN"/>
                    </w:rPr>
                  </w:pPr>
                  <w:r>
                    <w:rPr>
                      <w:rFonts w:hint="eastAsia"/>
                      <w:color w:val="auto"/>
                      <w:szCs w:val="21"/>
                      <w:lang w:eastAsia="zh-CN"/>
                    </w:rPr>
                    <w:t>1.88</w:t>
                  </w:r>
                </w:p>
              </w:tc>
            </w:tr>
            <w:tr w14:paraId="360870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6" w:type="pct"/>
                  <w:vMerge w:val="continue"/>
                  <w:noWrap w:val="0"/>
                  <w:vAlign w:val="center"/>
                </w:tcPr>
                <w:p w14:paraId="5D6D3F22">
                  <w:pPr>
                    <w:jc w:val="center"/>
                    <w:rPr>
                      <w:color w:val="auto"/>
                      <w:szCs w:val="21"/>
                    </w:rPr>
                  </w:pPr>
                </w:p>
              </w:tc>
              <w:tc>
                <w:tcPr>
                  <w:tcW w:w="639" w:type="pct"/>
                  <w:shd w:val="clear" w:color="auto" w:fill="auto"/>
                  <w:noWrap w:val="0"/>
                  <w:vAlign w:val="center"/>
                </w:tcPr>
                <w:p w14:paraId="62888429">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废油漆桶</w:t>
                  </w:r>
                </w:p>
              </w:tc>
              <w:tc>
                <w:tcPr>
                  <w:tcW w:w="421" w:type="pct"/>
                  <w:vMerge w:val="continue"/>
                  <w:shd w:val="clear" w:color="auto" w:fill="auto"/>
                  <w:noWrap w:val="0"/>
                  <w:vAlign w:val="center"/>
                </w:tcPr>
                <w:p w14:paraId="1FADFE63">
                  <w:pPr>
                    <w:jc w:val="center"/>
                    <w:rPr>
                      <w:rFonts w:ascii="Times New Roman" w:hAnsi="Times New Roman" w:eastAsia="宋体" w:cs="Times New Roman"/>
                      <w:color w:val="auto"/>
                      <w:kern w:val="2"/>
                      <w:sz w:val="21"/>
                      <w:szCs w:val="21"/>
                      <w:lang w:val="en-US" w:eastAsia="zh-CN" w:bidi="ar-SA"/>
                    </w:rPr>
                  </w:pPr>
                </w:p>
              </w:tc>
              <w:tc>
                <w:tcPr>
                  <w:tcW w:w="545" w:type="pct"/>
                  <w:vMerge w:val="continue"/>
                  <w:shd w:val="clear" w:color="auto" w:fill="auto"/>
                  <w:noWrap w:val="0"/>
                  <w:vAlign w:val="center"/>
                </w:tcPr>
                <w:p w14:paraId="11F12E14">
                  <w:pPr>
                    <w:pStyle w:val="44"/>
                    <w:jc w:val="center"/>
                    <w:rPr>
                      <w:rFonts w:ascii="Times New Roman" w:hAnsi="Times New Roman" w:eastAsia="宋体" w:cs="Times New Roman"/>
                      <w:color w:val="auto"/>
                      <w:kern w:val="2"/>
                      <w:sz w:val="21"/>
                      <w:szCs w:val="21"/>
                      <w:lang w:val="en-US" w:eastAsia="zh-CN" w:bidi="ar-SA"/>
                    </w:rPr>
                  </w:pPr>
                </w:p>
              </w:tc>
              <w:tc>
                <w:tcPr>
                  <w:tcW w:w="545" w:type="pct"/>
                  <w:vMerge w:val="continue"/>
                  <w:shd w:val="clear" w:color="auto" w:fill="auto"/>
                  <w:noWrap w:val="0"/>
                  <w:vAlign w:val="center"/>
                </w:tcPr>
                <w:p w14:paraId="644F7CC0">
                  <w:pPr>
                    <w:pStyle w:val="44"/>
                    <w:jc w:val="center"/>
                    <w:rPr>
                      <w:rFonts w:ascii="Times New Roman" w:hAnsi="Times New Roman" w:eastAsia="宋体" w:cs="Times New Roman"/>
                      <w:color w:val="auto"/>
                      <w:kern w:val="2"/>
                      <w:sz w:val="21"/>
                      <w:szCs w:val="21"/>
                      <w:lang w:val="en-US" w:eastAsia="zh-CN" w:bidi="ar-SA"/>
                    </w:rPr>
                  </w:pPr>
                </w:p>
              </w:tc>
              <w:tc>
                <w:tcPr>
                  <w:tcW w:w="556" w:type="pct"/>
                  <w:vMerge w:val="continue"/>
                  <w:shd w:val="clear" w:color="auto" w:fill="auto"/>
                  <w:noWrap w:val="0"/>
                  <w:vAlign w:val="center"/>
                </w:tcPr>
                <w:p w14:paraId="3627CC85">
                  <w:pPr>
                    <w:jc w:val="center"/>
                    <w:rPr>
                      <w:rFonts w:ascii="Times New Roman" w:hAnsi="Times New Roman" w:eastAsia="宋体" w:cs="Times New Roman"/>
                      <w:color w:val="auto"/>
                      <w:kern w:val="2"/>
                      <w:sz w:val="21"/>
                      <w:szCs w:val="21"/>
                      <w:lang w:val="en-US" w:eastAsia="zh-CN" w:bidi="ar-SA"/>
                    </w:rPr>
                  </w:pPr>
                </w:p>
              </w:tc>
              <w:tc>
                <w:tcPr>
                  <w:tcW w:w="566" w:type="pct"/>
                  <w:shd w:val="clear" w:color="auto" w:fill="auto"/>
                  <w:noWrap w:val="0"/>
                  <w:vAlign w:val="center"/>
                </w:tcPr>
                <w:p w14:paraId="6A940F75">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0.3</w:t>
                  </w:r>
                </w:p>
              </w:tc>
              <w:tc>
                <w:tcPr>
                  <w:tcW w:w="850" w:type="pct"/>
                  <w:gridSpan w:val="2"/>
                  <w:vMerge w:val="continue"/>
                  <w:shd w:val="clear" w:color="auto" w:fill="auto"/>
                  <w:noWrap w:val="0"/>
                  <w:vAlign w:val="center"/>
                </w:tcPr>
                <w:p w14:paraId="17FCEC44">
                  <w:pPr>
                    <w:jc w:val="center"/>
                    <w:rPr>
                      <w:rFonts w:ascii="Times New Roman" w:hAnsi="Times New Roman" w:eastAsia="宋体" w:cs="Times New Roman"/>
                      <w:color w:val="auto"/>
                      <w:kern w:val="2"/>
                      <w:sz w:val="21"/>
                      <w:szCs w:val="21"/>
                      <w:lang w:val="en-US" w:eastAsia="zh-CN" w:bidi="ar-SA"/>
                    </w:rPr>
                  </w:pPr>
                </w:p>
              </w:tc>
              <w:tc>
                <w:tcPr>
                  <w:tcW w:w="608" w:type="pct"/>
                  <w:shd w:val="clear" w:color="auto" w:fill="auto"/>
                  <w:noWrap w:val="0"/>
                  <w:vAlign w:val="center"/>
                </w:tcPr>
                <w:p w14:paraId="7C55B2C0">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0.3</w:t>
                  </w:r>
                </w:p>
              </w:tc>
            </w:tr>
            <w:tr w14:paraId="39AA6C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6" w:type="pct"/>
                  <w:vMerge w:val="continue"/>
                  <w:noWrap w:val="0"/>
                  <w:vAlign w:val="center"/>
                </w:tcPr>
                <w:p w14:paraId="31FE072E">
                  <w:pPr>
                    <w:jc w:val="center"/>
                    <w:rPr>
                      <w:color w:val="auto"/>
                      <w:szCs w:val="21"/>
                    </w:rPr>
                  </w:pPr>
                </w:p>
              </w:tc>
              <w:tc>
                <w:tcPr>
                  <w:tcW w:w="639" w:type="pct"/>
                  <w:shd w:val="clear" w:color="auto" w:fill="auto"/>
                  <w:noWrap w:val="0"/>
                  <w:vAlign w:val="center"/>
                </w:tcPr>
                <w:p w14:paraId="714861A6">
                  <w:pPr>
                    <w:jc w:val="center"/>
                    <w:rPr>
                      <w:rFonts w:hint="default"/>
                      <w:color w:val="auto"/>
                      <w:szCs w:val="21"/>
                      <w:lang w:val="en-US" w:eastAsia="zh-CN"/>
                    </w:rPr>
                  </w:pPr>
                  <w:r>
                    <w:rPr>
                      <w:rFonts w:hint="eastAsia"/>
                      <w:color w:val="auto"/>
                      <w:szCs w:val="21"/>
                      <w:lang w:val="en-US" w:eastAsia="zh-CN"/>
                    </w:rPr>
                    <w:t>废抹布</w:t>
                  </w:r>
                </w:p>
              </w:tc>
              <w:tc>
                <w:tcPr>
                  <w:tcW w:w="421" w:type="pct"/>
                  <w:vMerge w:val="continue"/>
                  <w:shd w:val="clear" w:color="auto" w:fill="auto"/>
                  <w:noWrap w:val="0"/>
                  <w:vAlign w:val="center"/>
                </w:tcPr>
                <w:p w14:paraId="10DD9D26">
                  <w:pPr>
                    <w:jc w:val="center"/>
                    <w:rPr>
                      <w:rFonts w:hint="eastAsia" w:ascii="Times New Roman" w:hAnsi="Times New Roman" w:eastAsia="宋体" w:cs="Times New Roman"/>
                      <w:color w:val="auto"/>
                      <w:kern w:val="2"/>
                      <w:sz w:val="21"/>
                      <w:szCs w:val="21"/>
                      <w:lang w:val="en-US" w:eastAsia="zh-CN" w:bidi="ar-SA"/>
                    </w:rPr>
                  </w:pPr>
                </w:p>
              </w:tc>
              <w:tc>
                <w:tcPr>
                  <w:tcW w:w="545" w:type="pct"/>
                  <w:vMerge w:val="continue"/>
                  <w:shd w:val="clear" w:color="auto" w:fill="auto"/>
                  <w:noWrap w:val="0"/>
                  <w:vAlign w:val="center"/>
                </w:tcPr>
                <w:p w14:paraId="186220AC">
                  <w:pPr>
                    <w:pStyle w:val="44"/>
                    <w:jc w:val="center"/>
                    <w:rPr>
                      <w:rFonts w:hint="eastAsia" w:ascii="Times New Roman" w:hAnsi="Times New Roman" w:eastAsia="宋体" w:cs="Times New Roman"/>
                      <w:color w:val="auto"/>
                      <w:kern w:val="2"/>
                      <w:sz w:val="21"/>
                      <w:szCs w:val="21"/>
                      <w:lang w:val="en-US" w:eastAsia="zh-CN" w:bidi="ar-SA"/>
                    </w:rPr>
                  </w:pPr>
                </w:p>
              </w:tc>
              <w:tc>
                <w:tcPr>
                  <w:tcW w:w="545" w:type="pct"/>
                  <w:vMerge w:val="continue"/>
                  <w:shd w:val="clear" w:color="auto" w:fill="auto"/>
                  <w:noWrap w:val="0"/>
                  <w:vAlign w:val="center"/>
                </w:tcPr>
                <w:p w14:paraId="188FD9E5">
                  <w:pPr>
                    <w:pStyle w:val="44"/>
                    <w:jc w:val="center"/>
                    <w:rPr>
                      <w:rFonts w:hint="eastAsia" w:ascii="Times New Roman" w:hAnsi="Times New Roman" w:eastAsia="宋体" w:cs="Times New Roman"/>
                      <w:color w:val="auto"/>
                      <w:kern w:val="2"/>
                      <w:sz w:val="21"/>
                      <w:szCs w:val="21"/>
                      <w:lang w:val="en-US" w:eastAsia="zh-CN" w:bidi="ar-SA"/>
                    </w:rPr>
                  </w:pPr>
                </w:p>
              </w:tc>
              <w:tc>
                <w:tcPr>
                  <w:tcW w:w="556" w:type="pct"/>
                  <w:vMerge w:val="continue"/>
                  <w:shd w:val="clear" w:color="auto" w:fill="auto"/>
                  <w:noWrap w:val="0"/>
                  <w:vAlign w:val="center"/>
                </w:tcPr>
                <w:p w14:paraId="66CC6AD7">
                  <w:pPr>
                    <w:jc w:val="center"/>
                    <w:rPr>
                      <w:rFonts w:hint="eastAsia" w:ascii="Times New Roman" w:hAnsi="Times New Roman" w:eastAsia="宋体" w:cs="Times New Roman"/>
                      <w:color w:val="auto"/>
                      <w:kern w:val="2"/>
                      <w:sz w:val="21"/>
                      <w:szCs w:val="21"/>
                      <w:lang w:val="en-US" w:eastAsia="zh-CN" w:bidi="ar-SA"/>
                    </w:rPr>
                  </w:pPr>
                </w:p>
              </w:tc>
              <w:tc>
                <w:tcPr>
                  <w:tcW w:w="566" w:type="pct"/>
                  <w:shd w:val="clear" w:color="auto" w:fill="auto"/>
                  <w:noWrap w:val="0"/>
                  <w:vAlign w:val="center"/>
                </w:tcPr>
                <w:p w14:paraId="357E9C35">
                  <w:pPr>
                    <w:jc w:val="center"/>
                    <w:rPr>
                      <w:rFonts w:hint="default"/>
                      <w:color w:val="auto"/>
                      <w:szCs w:val="21"/>
                      <w:lang w:val="en-US" w:eastAsia="zh-CN"/>
                    </w:rPr>
                  </w:pPr>
                  <w:r>
                    <w:rPr>
                      <w:rFonts w:hint="eastAsia"/>
                      <w:color w:val="auto"/>
                      <w:szCs w:val="21"/>
                      <w:lang w:val="en-US" w:eastAsia="zh-CN"/>
                    </w:rPr>
                    <w:t>0.3</w:t>
                  </w:r>
                </w:p>
              </w:tc>
              <w:tc>
                <w:tcPr>
                  <w:tcW w:w="850" w:type="pct"/>
                  <w:gridSpan w:val="2"/>
                  <w:vMerge w:val="continue"/>
                  <w:shd w:val="clear" w:color="auto" w:fill="auto"/>
                  <w:noWrap w:val="0"/>
                  <w:vAlign w:val="center"/>
                </w:tcPr>
                <w:p w14:paraId="462A8D45">
                  <w:pPr>
                    <w:jc w:val="center"/>
                    <w:rPr>
                      <w:rFonts w:hint="eastAsia" w:ascii="Times New Roman" w:hAnsi="Times New Roman" w:eastAsia="宋体" w:cs="Times New Roman"/>
                      <w:color w:val="auto"/>
                      <w:kern w:val="2"/>
                      <w:sz w:val="21"/>
                      <w:szCs w:val="21"/>
                      <w:lang w:val="en-US" w:eastAsia="zh-CN" w:bidi="ar-SA"/>
                    </w:rPr>
                  </w:pPr>
                </w:p>
              </w:tc>
              <w:tc>
                <w:tcPr>
                  <w:tcW w:w="608" w:type="pct"/>
                  <w:shd w:val="clear" w:color="auto" w:fill="auto"/>
                  <w:noWrap w:val="0"/>
                  <w:vAlign w:val="center"/>
                </w:tcPr>
                <w:p w14:paraId="53A0C4D5">
                  <w:pPr>
                    <w:jc w:val="center"/>
                    <w:rPr>
                      <w:rFonts w:hint="default"/>
                      <w:color w:val="auto"/>
                      <w:szCs w:val="21"/>
                      <w:lang w:val="en-US" w:eastAsia="zh-CN"/>
                    </w:rPr>
                  </w:pPr>
                  <w:r>
                    <w:rPr>
                      <w:rFonts w:hint="eastAsia"/>
                      <w:color w:val="auto"/>
                      <w:szCs w:val="21"/>
                      <w:lang w:val="en-US" w:eastAsia="zh-CN"/>
                    </w:rPr>
                    <w:t>0.3</w:t>
                  </w:r>
                </w:p>
              </w:tc>
            </w:tr>
            <w:tr w14:paraId="23ABE6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6" w:type="pct"/>
                  <w:vMerge w:val="continue"/>
                  <w:noWrap w:val="0"/>
                  <w:vAlign w:val="center"/>
                </w:tcPr>
                <w:p w14:paraId="43A513DE">
                  <w:pPr>
                    <w:jc w:val="center"/>
                    <w:rPr>
                      <w:color w:val="auto"/>
                      <w:szCs w:val="21"/>
                    </w:rPr>
                  </w:pPr>
                </w:p>
              </w:tc>
              <w:tc>
                <w:tcPr>
                  <w:tcW w:w="639" w:type="pct"/>
                  <w:shd w:val="clear" w:color="auto" w:fill="auto"/>
                  <w:noWrap w:val="0"/>
                  <w:vAlign w:val="center"/>
                </w:tcPr>
                <w:p w14:paraId="3022A939">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废遮蔽纸</w:t>
                  </w:r>
                </w:p>
              </w:tc>
              <w:tc>
                <w:tcPr>
                  <w:tcW w:w="421" w:type="pct"/>
                  <w:vMerge w:val="continue"/>
                  <w:shd w:val="clear" w:color="auto" w:fill="auto"/>
                  <w:noWrap w:val="0"/>
                  <w:vAlign w:val="center"/>
                </w:tcPr>
                <w:p w14:paraId="3A625E5D">
                  <w:pPr>
                    <w:jc w:val="center"/>
                    <w:rPr>
                      <w:rFonts w:hint="eastAsia" w:ascii="Times New Roman" w:hAnsi="Times New Roman" w:eastAsia="宋体" w:cs="Times New Roman"/>
                      <w:color w:val="auto"/>
                      <w:kern w:val="2"/>
                      <w:sz w:val="21"/>
                      <w:szCs w:val="21"/>
                      <w:lang w:val="en-US" w:eastAsia="zh-CN" w:bidi="ar-SA"/>
                    </w:rPr>
                  </w:pPr>
                </w:p>
              </w:tc>
              <w:tc>
                <w:tcPr>
                  <w:tcW w:w="545" w:type="pct"/>
                  <w:vMerge w:val="continue"/>
                  <w:shd w:val="clear" w:color="auto" w:fill="auto"/>
                  <w:noWrap w:val="0"/>
                  <w:vAlign w:val="center"/>
                </w:tcPr>
                <w:p w14:paraId="12B959C5">
                  <w:pPr>
                    <w:pStyle w:val="44"/>
                    <w:jc w:val="center"/>
                    <w:rPr>
                      <w:rFonts w:hint="eastAsia" w:ascii="Times New Roman" w:hAnsi="Times New Roman" w:eastAsia="宋体" w:cs="Times New Roman"/>
                      <w:color w:val="auto"/>
                      <w:kern w:val="2"/>
                      <w:sz w:val="21"/>
                      <w:szCs w:val="21"/>
                      <w:lang w:val="en-US" w:eastAsia="zh-CN" w:bidi="ar-SA"/>
                    </w:rPr>
                  </w:pPr>
                </w:p>
              </w:tc>
              <w:tc>
                <w:tcPr>
                  <w:tcW w:w="545" w:type="pct"/>
                  <w:vMerge w:val="continue"/>
                  <w:shd w:val="clear" w:color="auto" w:fill="auto"/>
                  <w:noWrap w:val="0"/>
                  <w:vAlign w:val="center"/>
                </w:tcPr>
                <w:p w14:paraId="1B73C608">
                  <w:pPr>
                    <w:pStyle w:val="44"/>
                    <w:jc w:val="center"/>
                    <w:rPr>
                      <w:rFonts w:hint="eastAsia" w:ascii="Times New Roman" w:hAnsi="Times New Roman" w:eastAsia="宋体" w:cs="Times New Roman"/>
                      <w:color w:val="auto"/>
                      <w:kern w:val="2"/>
                      <w:sz w:val="21"/>
                      <w:szCs w:val="21"/>
                      <w:lang w:val="en-US" w:eastAsia="zh-CN" w:bidi="ar-SA"/>
                    </w:rPr>
                  </w:pPr>
                </w:p>
              </w:tc>
              <w:tc>
                <w:tcPr>
                  <w:tcW w:w="556" w:type="pct"/>
                  <w:vMerge w:val="continue"/>
                  <w:shd w:val="clear" w:color="auto" w:fill="auto"/>
                  <w:noWrap w:val="0"/>
                  <w:vAlign w:val="center"/>
                </w:tcPr>
                <w:p w14:paraId="14ED49B2">
                  <w:pPr>
                    <w:jc w:val="center"/>
                    <w:rPr>
                      <w:rFonts w:hint="eastAsia" w:ascii="Times New Roman" w:hAnsi="Times New Roman" w:eastAsia="宋体" w:cs="Times New Roman"/>
                      <w:color w:val="auto"/>
                      <w:kern w:val="2"/>
                      <w:sz w:val="21"/>
                      <w:szCs w:val="21"/>
                      <w:lang w:val="en-US" w:eastAsia="zh-CN" w:bidi="ar-SA"/>
                    </w:rPr>
                  </w:pPr>
                </w:p>
              </w:tc>
              <w:tc>
                <w:tcPr>
                  <w:tcW w:w="566" w:type="pct"/>
                  <w:shd w:val="clear" w:color="auto" w:fill="auto"/>
                  <w:noWrap w:val="0"/>
                  <w:vAlign w:val="center"/>
                </w:tcPr>
                <w:p w14:paraId="7A8D33DE">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0.2</w:t>
                  </w:r>
                </w:p>
              </w:tc>
              <w:tc>
                <w:tcPr>
                  <w:tcW w:w="850" w:type="pct"/>
                  <w:gridSpan w:val="2"/>
                  <w:vMerge w:val="continue"/>
                  <w:shd w:val="clear" w:color="auto" w:fill="auto"/>
                  <w:noWrap w:val="0"/>
                  <w:vAlign w:val="center"/>
                </w:tcPr>
                <w:p w14:paraId="7589CD62">
                  <w:pPr>
                    <w:jc w:val="center"/>
                    <w:rPr>
                      <w:rFonts w:hint="eastAsia" w:ascii="Times New Roman" w:hAnsi="Times New Roman" w:eastAsia="宋体" w:cs="Times New Roman"/>
                      <w:color w:val="auto"/>
                      <w:kern w:val="2"/>
                      <w:sz w:val="21"/>
                      <w:szCs w:val="21"/>
                      <w:lang w:val="en-US" w:eastAsia="zh-CN" w:bidi="ar-SA"/>
                    </w:rPr>
                  </w:pPr>
                </w:p>
              </w:tc>
              <w:tc>
                <w:tcPr>
                  <w:tcW w:w="608" w:type="pct"/>
                  <w:shd w:val="clear" w:color="auto" w:fill="auto"/>
                  <w:noWrap w:val="0"/>
                  <w:vAlign w:val="center"/>
                </w:tcPr>
                <w:p w14:paraId="7E418A4F">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0.2</w:t>
                  </w:r>
                </w:p>
              </w:tc>
            </w:tr>
            <w:tr w14:paraId="32F3E6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6" w:type="pct"/>
                  <w:vMerge w:val="continue"/>
                  <w:noWrap w:val="0"/>
                  <w:vAlign w:val="center"/>
                </w:tcPr>
                <w:p w14:paraId="1EA77B71">
                  <w:pPr>
                    <w:jc w:val="center"/>
                    <w:rPr>
                      <w:color w:val="auto"/>
                      <w:szCs w:val="21"/>
                    </w:rPr>
                  </w:pPr>
                </w:p>
              </w:tc>
              <w:tc>
                <w:tcPr>
                  <w:tcW w:w="639" w:type="pct"/>
                  <w:noWrap w:val="0"/>
                  <w:vAlign w:val="center"/>
                </w:tcPr>
                <w:p w14:paraId="297FD765">
                  <w:pPr>
                    <w:jc w:val="center"/>
                    <w:rPr>
                      <w:rFonts w:hint="default"/>
                      <w:color w:val="auto"/>
                      <w:szCs w:val="21"/>
                      <w:lang w:val="en-US" w:eastAsia="zh-CN"/>
                    </w:rPr>
                  </w:pPr>
                  <w:r>
                    <w:rPr>
                      <w:rFonts w:hint="eastAsia"/>
                      <w:color w:val="auto"/>
                      <w:szCs w:val="21"/>
                      <w:lang w:val="en-US" w:eastAsia="zh-CN"/>
                    </w:rPr>
                    <w:t>废防冻液</w:t>
                  </w:r>
                </w:p>
              </w:tc>
              <w:tc>
                <w:tcPr>
                  <w:tcW w:w="421" w:type="pct"/>
                  <w:vMerge w:val="continue"/>
                  <w:noWrap w:val="0"/>
                  <w:vAlign w:val="center"/>
                </w:tcPr>
                <w:p w14:paraId="66DE8152">
                  <w:pPr>
                    <w:jc w:val="center"/>
                    <w:rPr>
                      <w:color w:val="auto"/>
                      <w:szCs w:val="21"/>
                    </w:rPr>
                  </w:pPr>
                </w:p>
              </w:tc>
              <w:tc>
                <w:tcPr>
                  <w:tcW w:w="545" w:type="pct"/>
                  <w:noWrap w:val="0"/>
                  <w:vAlign w:val="center"/>
                </w:tcPr>
                <w:p w14:paraId="72781297">
                  <w:pPr>
                    <w:pStyle w:val="44"/>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HW06废有机溶剂与含有机溶剂废物</w:t>
                  </w:r>
                </w:p>
              </w:tc>
              <w:tc>
                <w:tcPr>
                  <w:tcW w:w="545" w:type="pct"/>
                  <w:noWrap w:val="0"/>
                  <w:vAlign w:val="center"/>
                </w:tcPr>
                <w:p w14:paraId="1154C3F7">
                  <w:pPr>
                    <w:pStyle w:val="44"/>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900-402-06</w:t>
                  </w:r>
                </w:p>
              </w:tc>
              <w:tc>
                <w:tcPr>
                  <w:tcW w:w="556" w:type="pct"/>
                  <w:noWrap w:val="0"/>
                  <w:vAlign w:val="center"/>
                </w:tcPr>
                <w:p w14:paraId="2D9A6EC0">
                  <w:pPr>
                    <w:jc w:val="center"/>
                    <w:rPr>
                      <w:rFonts w:hint="eastAsia" w:eastAsia="宋体"/>
                      <w:color w:val="auto"/>
                      <w:szCs w:val="21"/>
                      <w:lang w:val="en-US" w:eastAsia="zh-CN"/>
                    </w:rPr>
                  </w:pPr>
                  <w:r>
                    <w:rPr>
                      <w:rFonts w:hint="eastAsia"/>
                      <w:color w:val="auto"/>
                      <w:szCs w:val="21"/>
                      <w:lang w:val="en-US" w:eastAsia="zh-CN"/>
                    </w:rPr>
                    <w:t>/</w:t>
                  </w:r>
                </w:p>
              </w:tc>
              <w:tc>
                <w:tcPr>
                  <w:tcW w:w="566" w:type="pct"/>
                  <w:noWrap w:val="0"/>
                  <w:vAlign w:val="center"/>
                </w:tcPr>
                <w:p w14:paraId="2FFB908A">
                  <w:pPr>
                    <w:jc w:val="center"/>
                    <w:rPr>
                      <w:rFonts w:hint="default"/>
                      <w:color w:val="auto"/>
                      <w:szCs w:val="21"/>
                      <w:lang w:val="en-US" w:eastAsia="zh-CN"/>
                    </w:rPr>
                  </w:pPr>
                  <w:r>
                    <w:rPr>
                      <w:rFonts w:hint="eastAsia"/>
                      <w:color w:val="auto"/>
                      <w:szCs w:val="21"/>
                      <w:lang w:val="en-US" w:eastAsia="zh-CN"/>
                    </w:rPr>
                    <w:t>0.4</w:t>
                  </w:r>
                </w:p>
              </w:tc>
              <w:tc>
                <w:tcPr>
                  <w:tcW w:w="850" w:type="pct"/>
                  <w:gridSpan w:val="2"/>
                  <w:vMerge w:val="continue"/>
                  <w:noWrap w:val="0"/>
                  <w:vAlign w:val="center"/>
                </w:tcPr>
                <w:p w14:paraId="6BD6BB3F">
                  <w:pPr>
                    <w:jc w:val="center"/>
                    <w:rPr>
                      <w:color w:val="auto"/>
                      <w:szCs w:val="21"/>
                    </w:rPr>
                  </w:pPr>
                </w:p>
              </w:tc>
              <w:tc>
                <w:tcPr>
                  <w:tcW w:w="608" w:type="pct"/>
                  <w:noWrap w:val="0"/>
                  <w:vAlign w:val="center"/>
                </w:tcPr>
                <w:p w14:paraId="395569AB">
                  <w:pPr>
                    <w:jc w:val="center"/>
                    <w:rPr>
                      <w:rFonts w:hint="default"/>
                      <w:color w:val="auto"/>
                      <w:szCs w:val="21"/>
                      <w:lang w:val="en-US" w:eastAsia="zh-CN"/>
                    </w:rPr>
                  </w:pPr>
                  <w:r>
                    <w:rPr>
                      <w:rFonts w:hint="eastAsia"/>
                      <w:color w:val="auto"/>
                      <w:szCs w:val="21"/>
                      <w:lang w:val="en-US" w:eastAsia="zh-CN"/>
                    </w:rPr>
                    <w:t>0.4</w:t>
                  </w:r>
                </w:p>
              </w:tc>
            </w:tr>
            <w:tr w14:paraId="48FFE4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6" w:type="pct"/>
                  <w:vMerge w:val="continue"/>
                  <w:noWrap w:val="0"/>
                  <w:vAlign w:val="center"/>
                </w:tcPr>
                <w:p w14:paraId="5E3C37D6">
                  <w:pPr>
                    <w:jc w:val="center"/>
                    <w:rPr>
                      <w:color w:val="auto"/>
                      <w:szCs w:val="21"/>
                    </w:rPr>
                  </w:pPr>
                </w:p>
              </w:tc>
              <w:tc>
                <w:tcPr>
                  <w:tcW w:w="639" w:type="pct"/>
                  <w:noWrap w:val="0"/>
                  <w:vAlign w:val="center"/>
                </w:tcPr>
                <w:p w14:paraId="72C73D87">
                  <w:pPr>
                    <w:jc w:val="center"/>
                    <w:rPr>
                      <w:rFonts w:hint="default" w:eastAsia="宋体"/>
                      <w:color w:val="auto"/>
                      <w:szCs w:val="21"/>
                      <w:lang w:val="en-US" w:eastAsia="zh-CN"/>
                    </w:rPr>
                  </w:pPr>
                  <w:r>
                    <w:rPr>
                      <w:rFonts w:hint="eastAsia"/>
                      <w:color w:val="auto"/>
                      <w:szCs w:val="21"/>
                      <w:lang w:val="en-US" w:eastAsia="zh-CN"/>
                    </w:rPr>
                    <w:t>废刹车片</w:t>
                  </w:r>
                </w:p>
              </w:tc>
              <w:tc>
                <w:tcPr>
                  <w:tcW w:w="421" w:type="pct"/>
                  <w:vMerge w:val="continue"/>
                  <w:noWrap w:val="0"/>
                  <w:vAlign w:val="center"/>
                </w:tcPr>
                <w:p w14:paraId="1A6A35C1">
                  <w:pPr>
                    <w:jc w:val="center"/>
                    <w:rPr>
                      <w:color w:val="auto"/>
                      <w:szCs w:val="21"/>
                    </w:rPr>
                  </w:pPr>
                </w:p>
              </w:tc>
              <w:tc>
                <w:tcPr>
                  <w:tcW w:w="545" w:type="pct"/>
                  <w:noWrap w:val="0"/>
                  <w:vAlign w:val="center"/>
                </w:tcPr>
                <w:p w14:paraId="5C4DD219">
                  <w:pPr>
                    <w:pStyle w:val="44"/>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HW36石棉废物</w:t>
                  </w:r>
                </w:p>
              </w:tc>
              <w:tc>
                <w:tcPr>
                  <w:tcW w:w="545" w:type="pct"/>
                  <w:noWrap w:val="0"/>
                  <w:vAlign w:val="center"/>
                </w:tcPr>
                <w:p w14:paraId="578DA3B3">
                  <w:pPr>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900-032-36</w:t>
                  </w:r>
                </w:p>
              </w:tc>
              <w:tc>
                <w:tcPr>
                  <w:tcW w:w="556" w:type="pct"/>
                  <w:noWrap w:val="0"/>
                  <w:vAlign w:val="center"/>
                </w:tcPr>
                <w:p w14:paraId="02D2606F">
                  <w:pPr>
                    <w:jc w:val="center"/>
                    <w:rPr>
                      <w:rFonts w:hint="eastAsia" w:eastAsia="宋体"/>
                      <w:color w:val="auto"/>
                      <w:szCs w:val="21"/>
                      <w:lang w:val="en-US" w:eastAsia="zh-CN"/>
                    </w:rPr>
                  </w:pPr>
                  <w:r>
                    <w:rPr>
                      <w:rFonts w:hint="eastAsia"/>
                      <w:color w:val="auto"/>
                      <w:szCs w:val="21"/>
                      <w:lang w:val="en-US" w:eastAsia="zh-CN"/>
                    </w:rPr>
                    <w:t>/</w:t>
                  </w:r>
                </w:p>
              </w:tc>
              <w:tc>
                <w:tcPr>
                  <w:tcW w:w="566" w:type="pct"/>
                  <w:noWrap w:val="0"/>
                  <w:vAlign w:val="center"/>
                </w:tcPr>
                <w:p w14:paraId="73E41745">
                  <w:pPr>
                    <w:jc w:val="center"/>
                    <w:rPr>
                      <w:rFonts w:hint="default"/>
                      <w:color w:val="auto"/>
                      <w:szCs w:val="21"/>
                      <w:lang w:val="en-US" w:eastAsia="zh-CN"/>
                    </w:rPr>
                  </w:pPr>
                  <w:r>
                    <w:rPr>
                      <w:rFonts w:hint="eastAsia"/>
                      <w:color w:val="auto"/>
                      <w:szCs w:val="21"/>
                      <w:lang w:val="en-US" w:eastAsia="zh-CN"/>
                    </w:rPr>
                    <w:t>5副</w:t>
                  </w:r>
                </w:p>
              </w:tc>
              <w:tc>
                <w:tcPr>
                  <w:tcW w:w="850" w:type="pct"/>
                  <w:gridSpan w:val="2"/>
                  <w:vMerge w:val="continue"/>
                  <w:noWrap w:val="0"/>
                  <w:vAlign w:val="center"/>
                </w:tcPr>
                <w:p w14:paraId="0C812412">
                  <w:pPr>
                    <w:jc w:val="center"/>
                    <w:rPr>
                      <w:color w:val="auto"/>
                      <w:szCs w:val="21"/>
                    </w:rPr>
                  </w:pPr>
                </w:p>
              </w:tc>
              <w:tc>
                <w:tcPr>
                  <w:tcW w:w="608" w:type="pct"/>
                  <w:noWrap w:val="0"/>
                  <w:vAlign w:val="center"/>
                </w:tcPr>
                <w:p w14:paraId="08DE7B29">
                  <w:pPr>
                    <w:jc w:val="center"/>
                    <w:rPr>
                      <w:rFonts w:hint="eastAsia"/>
                      <w:color w:val="auto"/>
                      <w:kern w:val="2"/>
                      <w:sz w:val="21"/>
                      <w:szCs w:val="21"/>
                      <w:lang w:val="en-US" w:eastAsia="zh-CN" w:bidi="ar-SA"/>
                    </w:rPr>
                  </w:pPr>
                  <w:r>
                    <w:rPr>
                      <w:rFonts w:hint="eastAsia"/>
                      <w:color w:val="auto"/>
                      <w:szCs w:val="21"/>
                      <w:lang w:val="en-US" w:eastAsia="zh-CN"/>
                    </w:rPr>
                    <w:t>5副</w:t>
                  </w:r>
                </w:p>
              </w:tc>
            </w:tr>
            <w:tr w14:paraId="4AF73B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66" w:type="pct"/>
                  <w:vMerge w:val="continue"/>
                  <w:noWrap w:val="0"/>
                  <w:vAlign w:val="center"/>
                </w:tcPr>
                <w:p w14:paraId="4B95D497">
                  <w:pPr>
                    <w:jc w:val="center"/>
                    <w:rPr>
                      <w:color w:val="auto"/>
                      <w:szCs w:val="21"/>
                    </w:rPr>
                  </w:pPr>
                </w:p>
              </w:tc>
              <w:tc>
                <w:tcPr>
                  <w:tcW w:w="639" w:type="pct"/>
                  <w:noWrap w:val="0"/>
                  <w:vAlign w:val="center"/>
                </w:tcPr>
                <w:p w14:paraId="79CF2F69">
                  <w:pPr>
                    <w:jc w:val="center"/>
                    <w:rPr>
                      <w:rFonts w:hint="default" w:eastAsia="宋体"/>
                      <w:color w:val="auto"/>
                      <w:szCs w:val="21"/>
                      <w:lang w:val="en-US" w:eastAsia="zh-CN"/>
                    </w:rPr>
                  </w:pPr>
                  <w:r>
                    <w:rPr>
                      <w:rFonts w:hint="eastAsia"/>
                      <w:color w:val="auto"/>
                      <w:szCs w:val="21"/>
                      <w:lang w:val="en-US" w:eastAsia="zh-CN"/>
                    </w:rPr>
                    <w:t>废荧光灯管</w:t>
                  </w:r>
                </w:p>
              </w:tc>
              <w:tc>
                <w:tcPr>
                  <w:tcW w:w="421" w:type="pct"/>
                  <w:vMerge w:val="continue"/>
                  <w:noWrap w:val="0"/>
                  <w:vAlign w:val="center"/>
                </w:tcPr>
                <w:p w14:paraId="75DB4E82">
                  <w:pPr>
                    <w:jc w:val="center"/>
                    <w:rPr>
                      <w:color w:val="auto"/>
                      <w:szCs w:val="21"/>
                    </w:rPr>
                  </w:pPr>
                </w:p>
              </w:tc>
              <w:tc>
                <w:tcPr>
                  <w:tcW w:w="545" w:type="pct"/>
                  <w:noWrap w:val="0"/>
                  <w:vAlign w:val="center"/>
                </w:tcPr>
                <w:p w14:paraId="10551EAA">
                  <w:pPr>
                    <w:pStyle w:val="44"/>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HW29含汞废物</w:t>
                  </w:r>
                </w:p>
              </w:tc>
              <w:tc>
                <w:tcPr>
                  <w:tcW w:w="545" w:type="pct"/>
                  <w:noWrap w:val="0"/>
                  <w:vAlign w:val="center"/>
                </w:tcPr>
                <w:p w14:paraId="10085FFA">
                  <w:pPr>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900-023-29</w:t>
                  </w:r>
                </w:p>
              </w:tc>
              <w:tc>
                <w:tcPr>
                  <w:tcW w:w="556" w:type="pct"/>
                  <w:noWrap w:val="0"/>
                  <w:vAlign w:val="center"/>
                </w:tcPr>
                <w:p w14:paraId="4013B200">
                  <w:pPr>
                    <w:jc w:val="center"/>
                    <w:rPr>
                      <w:rFonts w:hint="eastAsia" w:eastAsia="宋体"/>
                      <w:color w:val="auto"/>
                      <w:szCs w:val="21"/>
                      <w:lang w:val="en-US" w:eastAsia="zh-CN"/>
                    </w:rPr>
                  </w:pPr>
                  <w:r>
                    <w:rPr>
                      <w:rFonts w:hint="eastAsia"/>
                      <w:color w:val="auto"/>
                      <w:szCs w:val="21"/>
                      <w:lang w:val="en-US" w:eastAsia="zh-CN"/>
                    </w:rPr>
                    <w:t>/</w:t>
                  </w:r>
                </w:p>
              </w:tc>
              <w:tc>
                <w:tcPr>
                  <w:tcW w:w="566" w:type="pct"/>
                  <w:noWrap w:val="0"/>
                  <w:vAlign w:val="center"/>
                </w:tcPr>
                <w:p w14:paraId="7D0364BE">
                  <w:pPr>
                    <w:jc w:val="center"/>
                    <w:rPr>
                      <w:rFonts w:hint="eastAsia"/>
                      <w:color w:val="auto"/>
                      <w:szCs w:val="21"/>
                      <w:lang w:val="en-US" w:eastAsia="zh-CN"/>
                    </w:rPr>
                  </w:pPr>
                  <w:r>
                    <w:rPr>
                      <w:rFonts w:hint="eastAsia"/>
                      <w:color w:val="auto"/>
                      <w:szCs w:val="21"/>
                      <w:lang w:val="en-US" w:eastAsia="zh-CN"/>
                    </w:rPr>
                    <w:t>5根</w:t>
                  </w:r>
                </w:p>
              </w:tc>
              <w:tc>
                <w:tcPr>
                  <w:tcW w:w="850" w:type="pct"/>
                  <w:gridSpan w:val="2"/>
                  <w:vMerge w:val="continue"/>
                  <w:noWrap w:val="0"/>
                  <w:vAlign w:val="center"/>
                </w:tcPr>
                <w:p w14:paraId="219F5148">
                  <w:pPr>
                    <w:jc w:val="center"/>
                    <w:rPr>
                      <w:color w:val="auto"/>
                      <w:szCs w:val="21"/>
                    </w:rPr>
                  </w:pPr>
                </w:p>
              </w:tc>
              <w:tc>
                <w:tcPr>
                  <w:tcW w:w="608" w:type="pct"/>
                  <w:noWrap w:val="0"/>
                  <w:vAlign w:val="center"/>
                </w:tcPr>
                <w:p w14:paraId="385C884B">
                  <w:pPr>
                    <w:jc w:val="center"/>
                    <w:rPr>
                      <w:rFonts w:hint="eastAsia"/>
                      <w:color w:val="auto"/>
                      <w:kern w:val="2"/>
                      <w:sz w:val="21"/>
                      <w:szCs w:val="21"/>
                      <w:lang w:val="en-US" w:eastAsia="zh-CN" w:bidi="ar-SA"/>
                    </w:rPr>
                  </w:pPr>
                  <w:r>
                    <w:rPr>
                      <w:rFonts w:hint="eastAsia"/>
                      <w:color w:val="auto"/>
                      <w:szCs w:val="21"/>
                      <w:lang w:val="en-US" w:eastAsia="zh-CN"/>
                    </w:rPr>
                    <w:t>5根</w:t>
                  </w:r>
                </w:p>
              </w:tc>
            </w:tr>
            <w:tr w14:paraId="4ED2B0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66" w:type="pct"/>
                  <w:vMerge w:val="continue"/>
                  <w:noWrap w:val="0"/>
                  <w:vAlign w:val="center"/>
                </w:tcPr>
                <w:p w14:paraId="4ECCEF1A">
                  <w:pPr>
                    <w:jc w:val="center"/>
                    <w:rPr>
                      <w:color w:val="auto"/>
                      <w:szCs w:val="21"/>
                    </w:rPr>
                  </w:pPr>
                </w:p>
              </w:tc>
              <w:tc>
                <w:tcPr>
                  <w:tcW w:w="639" w:type="pct"/>
                  <w:noWrap w:val="0"/>
                  <w:vAlign w:val="center"/>
                </w:tcPr>
                <w:p w14:paraId="31044242">
                  <w:pPr>
                    <w:jc w:val="center"/>
                    <w:rPr>
                      <w:rFonts w:hint="eastAsia" w:eastAsia="宋体"/>
                      <w:color w:val="auto"/>
                      <w:kern w:val="2"/>
                      <w:sz w:val="21"/>
                      <w:szCs w:val="21"/>
                      <w:lang w:val="en-US" w:eastAsia="zh-CN" w:bidi="ar-SA"/>
                    </w:rPr>
                  </w:pPr>
                  <w:r>
                    <w:rPr>
                      <w:rFonts w:hint="eastAsia"/>
                      <w:color w:val="auto"/>
                      <w:szCs w:val="21"/>
                    </w:rPr>
                    <w:t>废</w:t>
                  </w:r>
                  <w:r>
                    <w:rPr>
                      <w:rFonts w:hint="eastAsia"/>
                      <w:color w:val="auto"/>
                      <w:szCs w:val="21"/>
                      <w:lang w:val="en-US" w:eastAsia="zh-CN"/>
                    </w:rPr>
                    <w:t>矿物油</w:t>
                  </w:r>
                </w:p>
              </w:tc>
              <w:tc>
                <w:tcPr>
                  <w:tcW w:w="421" w:type="pct"/>
                  <w:vMerge w:val="continue"/>
                  <w:noWrap w:val="0"/>
                  <w:vAlign w:val="center"/>
                </w:tcPr>
                <w:p w14:paraId="6DDF1605">
                  <w:pPr>
                    <w:jc w:val="center"/>
                    <w:rPr>
                      <w:color w:val="auto"/>
                      <w:szCs w:val="21"/>
                    </w:rPr>
                  </w:pPr>
                </w:p>
              </w:tc>
              <w:tc>
                <w:tcPr>
                  <w:tcW w:w="545" w:type="pct"/>
                  <w:vMerge w:val="restart"/>
                  <w:noWrap w:val="0"/>
                  <w:vAlign w:val="center"/>
                </w:tcPr>
                <w:p w14:paraId="16526340">
                  <w:pPr>
                    <w:pStyle w:val="44"/>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HW08废矿物油和含矿物油废物</w:t>
                  </w:r>
                </w:p>
              </w:tc>
              <w:tc>
                <w:tcPr>
                  <w:tcW w:w="545" w:type="pct"/>
                  <w:noWrap w:val="0"/>
                  <w:vAlign w:val="center"/>
                </w:tcPr>
                <w:p w14:paraId="3512C7BE">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900-214-08</w:t>
                  </w:r>
                </w:p>
              </w:tc>
              <w:tc>
                <w:tcPr>
                  <w:tcW w:w="556" w:type="pct"/>
                  <w:vMerge w:val="restart"/>
                  <w:noWrap w:val="0"/>
                  <w:vAlign w:val="center"/>
                </w:tcPr>
                <w:p w14:paraId="11A311CA">
                  <w:pPr>
                    <w:jc w:val="center"/>
                    <w:rPr>
                      <w:color w:val="auto"/>
                      <w:szCs w:val="21"/>
                    </w:rPr>
                  </w:pPr>
                  <w:r>
                    <w:rPr>
                      <w:rFonts w:hint="eastAsia"/>
                      <w:color w:val="auto"/>
                      <w:szCs w:val="21"/>
                    </w:rPr>
                    <w:t>废矿物油</w:t>
                  </w:r>
                </w:p>
              </w:tc>
              <w:tc>
                <w:tcPr>
                  <w:tcW w:w="566" w:type="pct"/>
                  <w:noWrap w:val="0"/>
                  <w:vAlign w:val="center"/>
                </w:tcPr>
                <w:p w14:paraId="16D547BF">
                  <w:pPr>
                    <w:jc w:val="center"/>
                    <w:rPr>
                      <w:rFonts w:hint="default" w:eastAsia="宋体"/>
                      <w:color w:val="auto"/>
                      <w:szCs w:val="21"/>
                      <w:lang w:val="en-US" w:eastAsia="zh-CN"/>
                    </w:rPr>
                  </w:pPr>
                  <w:r>
                    <w:rPr>
                      <w:rFonts w:hint="eastAsia"/>
                      <w:color w:val="auto"/>
                      <w:szCs w:val="21"/>
                      <w:lang w:val="en-US" w:eastAsia="zh-CN"/>
                    </w:rPr>
                    <w:t>7.8</w:t>
                  </w:r>
                </w:p>
              </w:tc>
              <w:tc>
                <w:tcPr>
                  <w:tcW w:w="850" w:type="pct"/>
                  <w:gridSpan w:val="2"/>
                  <w:vMerge w:val="continue"/>
                  <w:noWrap w:val="0"/>
                  <w:vAlign w:val="center"/>
                </w:tcPr>
                <w:p w14:paraId="3C132F04">
                  <w:pPr>
                    <w:jc w:val="center"/>
                    <w:rPr>
                      <w:color w:val="auto"/>
                      <w:szCs w:val="21"/>
                    </w:rPr>
                  </w:pPr>
                </w:p>
              </w:tc>
              <w:tc>
                <w:tcPr>
                  <w:tcW w:w="608" w:type="pct"/>
                  <w:noWrap w:val="0"/>
                  <w:vAlign w:val="center"/>
                </w:tcPr>
                <w:p w14:paraId="3C8D9853">
                  <w:pPr>
                    <w:jc w:val="center"/>
                    <w:rPr>
                      <w:rFonts w:hint="eastAsia" w:eastAsia="宋体"/>
                      <w:color w:val="auto"/>
                      <w:kern w:val="2"/>
                      <w:sz w:val="21"/>
                      <w:szCs w:val="21"/>
                      <w:lang w:val="en-US" w:eastAsia="zh-CN" w:bidi="ar-SA"/>
                    </w:rPr>
                  </w:pPr>
                  <w:r>
                    <w:rPr>
                      <w:rFonts w:hint="eastAsia"/>
                      <w:color w:val="auto"/>
                      <w:szCs w:val="21"/>
                      <w:lang w:val="en-US" w:eastAsia="zh-CN"/>
                    </w:rPr>
                    <w:t>7.8</w:t>
                  </w:r>
                </w:p>
              </w:tc>
            </w:tr>
            <w:tr w14:paraId="0E5079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6" w:type="pct"/>
                  <w:vMerge w:val="continue"/>
                  <w:noWrap w:val="0"/>
                  <w:vAlign w:val="center"/>
                </w:tcPr>
                <w:p w14:paraId="759BB84A">
                  <w:pPr>
                    <w:jc w:val="center"/>
                    <w:rPr>
                      <w:color w:val="auto"/>
                      <w:szCs w:val="21"/>
                    </w:rPr>
                  </w:pPr>
                </w:p>
              </w:tc>
              <w:tc>
                <w:tcPr>
                  <w:tcW w:w="639" w:type="pct"/>
                  <w:noWrap w:val="0"/>
                  <w:vAlign w:val="center"/>
                </w:tcPr>
                <w:p w14:paraId="26E89992">
                  <w:pPr>
                    <w:jc w:val="center"/>
                    <w:rPr>
                      <w:rFonts w:hint="eastAsia"/>
                      <w:color w:val="auto"/>
                      <w:szCs w:val="21"/>
                    </w:rPr>
                  </w:pPr>
                  <w:r>
                    <w:rPr>
                      <w:rFonts w:hint="eastAsia"/>
                      <w:color w:val="auto"/>
                      <w:szCs w:val="21"/>
                    </w:rPr>
                    <w:t>废油桶</w:t>
                  </w:r>
                </w:p>
              </w:tc>
              <w:tc>
                <w:tcPr>
                  <w:tcW w:w="421" w:type="pct"/>
                  <w:vMerge w:val="continue"/>
                  <w:noWrap w:val="0"/>
                  <w:vAlign w:val="center"/>
                </w:tcPr>
                <w:p w14:paraId="64D8D268">
                  <w:pPr>
                    <w:jc w:val="center"/>
                    <w:rPr>
                      <w:color w:val="auto"/>
                      <w:szCs w:val="21"/>
                    </w:rPr>
                  </w:pPr>
                </w:p>
              </w:tc>
              <w:tc>
                <w:tcPr>
                  <w:tcW w:w="545" w:type="pct"/>
                  <w:vMerge w:val="continue"/>
                  <w:noWrap w:val="0"/>
                  <w:vAlign w:val="center"/>
                </w:tcPr>
                <w:p w14:paraId="12BF68B8">
                  <w:pPr>
                    <w:pStyle w:val="44"/>
                    <w:jc w:val="center"/>
                    <w:rPr>
                      <w:rFonts w:ascii="Times New Roman" w:hAnsi="Times New Roman" w:eastAsia="宋体" w:cs="Times New Roman"/>
                      <w:color w:val="auto"/>
                      <w:sz w:val="21"/>
                      <w:szCs w:val="21"/>
                    </w:rPr>
                  </w:pPr>
                </w:p>
              </w:tc>
              <w:tc>
                <w:tcPr>
                  <w:tcW w:w="545" w:type="pct"/>
                  <w:vMerge w:val="restart"/>
                  <w:noWrap w:val="0"/>
                  <w:vAlign w:val="center"/>
                </w:tcPr>
                <w:p w14:paraId="7D991572">
                  <w:pPr>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900-249-08</w:t>
                  </w:r>
                </w:p>
              </w:tc>
              <w:tc>
                <w:tcPr>
                  <w:tcW w:w="556" w:type="pct"/>
                  <w:vMerge w:val="continue"/>
                  <w:noWrap w:val="0"/>
                  <w:vAlign w:val="center"/>
                </w:tcPr>
                <w:p w14:paraId="6CB46F41">
                  <w:pPr>
                    <w:jc w:val="center"/>
                    <w:rPr>
                      <w:color w:val="auto"/>
                      <w:szCs w:val="21"/>
                    </w:rPr>
                  </w:pPr>
                </w:p>
              </w:tc>
              <w:tc>
                <w:tcPr>
                  <w:tcW w:w="566" w:type="pct"/>
                  <w:noWrap w:val="0"/>
                  <w:vAlign w:val="center"/>
                </w:tcPr>
                <w:p w14:paraId="07C55A27">
                  <w:pPr>
                    <w:jc w:val="center"/>
                    <w:rPr>
                      <w:rFonts w:hint="eastAsia" w:eastAsia="宋体"/>
                      <w:color w:val="auto"/>
                      <w:kern w:val="2"/>
                      <w:sz w:val="21"/>
                      <w:szCs w:val="21"/>
                      <w:lang w:val="en-US" w:eastAsia="zh-CN" w:bidi="ar-SA"/>
                    </w:rPr>
                  </w:pPr>
                  <w:r>
                    <w:rPr>
                      <w:rFonts w:hint="eastAsia"/>
                      <w:color w:val="auto"/>
                      <w:szCs w:val="21"/>
                      <w:lang w:val="en-US" w:eastAsia="zh-CN"/>
                    </w:rPr>
                    <w:t>1.5</w:t>
                  </w:r>
                </w:p>
              </w:tc>
              <w:tc>
                <w:tcPr>
                  <w:tcW w:w="850" w:type="pct"/>
                  <w:gridSpan w:val="2"/>
                  <w:vMerge w:val="continue"/>
                  <w:noWrap w:val="0"/>
                  <w:vAlign w:val="center"/>
                </w:tcPr>
                <w:p w14:paraId="41838DBB">
                  <w:pPr>
                    <w:jc w:val="center"/>
                    <w:rPr>
                      <w:color w:val="auto"/>
                      <w:kern w:val="2"/>
                      <w:sz w:val="21"/>
                      <w:szCs w:val="21"/>
                      <w:lang w:val="en-US" w:eastAsia="zh-CN" w:bidi="ar-SA"/>
                    </w:rPr>
                  </w:pPr>
                </w:p>
              </w:tc>
              <w:tc>
                <w:tcPr>
                  <w:tcW w:w="608" w:type="pct"/>
                  <w:noWrap w:val="0"/>
                  <w:vAlign w:val="center"/>
                </w:tcPr>
                <w:p w14:paraId="61B51E43">
                  <w:pPr>
                    <w:jc w:val="center"/>
                    <w:rPr>
                      <w:rFonts w:hint="eastAsia" w:eastAsia="宋体"/>
                      <w:color w:val="auto"/>
                      <w:kern w:val="2"/>
                      <w:sz w:val="21"/>
                      <w:szCs w:val="21"/>
                      <w:lang w:val="en-US" w:eastAsia="zh-CN" w:bidi="ar-SA"/>
                    </w:rPr>
                  </w:pPr>
                  <w:r>
                    <w:rPr>
                      <w:rFonts w:hint="eastAsia"/>
                      <w:color w:val="auto"/>
                      <w:szCs w:val="21"/>
                      <w:lang w:val="en-US" w:eastAsia="zh-CN"/>
                    </w:rPr>
                    <w:t>1.5</w:t>
                  </w:r>
                </w:p>
              </w:tc>
            </w:tr>
            <w:tr w14:paraId="659600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6" w:type="pct"/>
                  <w:vMerge w:val="continue"/>
                  <w:noWrap w:val="0"/>
                  <w:vAlign w:val="center"/>
                </w:tcPr>
                <w:p w14:paraId="7DFA506C">
                  <w:pPr>
                    <w:jc w:val="center"/>
                    <w:rPr>
                      <w:color w:val="auto"/>
                      <w:szCs w:val="21"/>
                    </w:rPr>
                  </w:pPr>
                </w:p>
              </w:tc>
              <w:tc>
                <w:tcPr>
                  <w:tcW w:w="639" w:type="pct"/>
                  <w:noWrap w:val="0"/>
                  <w:vAlign w:val="center"/>
                </w:tcPr>
                <w:p w14:paraId="4F399391">
                  <w:pPr>
                    <w:jc w:val="center"/>
                    <w:rPr>
                      <w:rFonts w:hint="eastAsia"/>
                      <w:color w:val="auto"/>
                      <w:szCs w:val="21"/>
                    </w:rPr>
                  </w:pPr>
                  <w:r>
                    <w:rPr>
                      <w:rFonts w:hint="eastAsia"/>
                      <w:color w:val="auto"/>
                      <w:szCs w:val="21"/>
                    </w:rPr>
                    <w:t>废机滤</w:t>
                  </w:r>
                </w:p>
              </w:tc>
              <w:tc>
                <w:tcPr>
                  <w:tcW w:w="421" w:type="pct"/>
                  <w:vMerge w:val="continue"/>
                  <w:noWrap w:val="0"/>
                  <w:vAlign w:val="center"/>
                </w:tcPr>
                <w:p w14:paraId="38810E50">
                  <w:pPr>
                    <w:jc w:val="center"/>
                    <w:rPr>
                      <w:color w:val="auto"/>
                      <w:szCs w:val="21"/>
                    </w:rPr>
                  </w:pPr>
                </w:p>
              </w:tc>
              <w:tc>
                <w:tcPr>
                  <w:tcW w:w="545" w:type="pct"/>
                  <w:vMerge w:val="continue"/>
                  <w:noWrap w:val="0"/>
                  <w:vAlign w:val="center"/>
                </w:tcPr>
                <w:p w14:paraId="08EC820D">
                  <w:pPr>
                    <w:pStyle w:val="44"/>
                    <w:jc w:val="center"/>
                    <w:rPr>
                      <w:rFonts w:ascii="Times New Roman" w:hAnsi="Times New Roman" w:eastAsia="宋体" w:cs="Times New Roman"/>
                      <w:color w:val="auto"/>
                      <w:sz w:val="21"/>
                      <w:szCs w:val="21"/>
                    </w:rPr>
                  </w:pPr>
                </w:p>
              </w:tc>
              <w:tc>
                <w:tcPr>
                  <w:tcW w:w="545" w:type="pct"/>
                  <w:vMerge w:val="continue"/>
                  <w:noWrap w:val="0"/>
                  <w:vAlign w:val="center"/>
                </w:tcPr>
                <w:p w14:paraId="08572477">
                  <w:pPr>
                    <w:jc w:val="center"/>
                    <w:rPr>
                      <w:rFonts w:hint="eastAsia" w:ascii="Times New Roman" w:hAnsi="Times New Roman" w:eastAsia="宋体" w:cs="Times New Roman"/>
                      <w:color w:val="auto"/>
                      <w:szCs w:val="21"/>
                    </w:rPr>
                  </w:pPr>
                </w:p>
              </w:tc>
              <w:tc>
                <w:tcPr>
                  <w:tcW w:w="556" w:type="pct"/>
                  <w:vMerge w:val="continue"/>
                  <w:noWrap w:val="0"/>
                  <w:vAlign w:val="center"/>
                </w:tcPr>
                <w:p w14:paraId="66015ABF">
                  <w:pPr>
                    <w:jc w:val="center"/>
                    <w:rPr>
                      <w:color w:val="auto"/>
                      <w:szCs w:val="21"/>
                    </w:rPr>
                  </w:pPr>
                </w:p>
              </w:tc>
              <w:tc>
                <w:tcPr>
                  <w:tcW w:w="566" w:type="pct"/>
                  <w:noWrap w:val="0"/>
                  <w:vAlign w:val="center"/>
                </w:tcPr>
                <w:p w14:paraId="18E25531">
                  <w:pPr>
                    <w:jc w:val="center"/>
                    <w:rPr>
                      <w:rFonts w:hint="default" w:eastAsia="宋体"/>
                      <w:color w:val="auto"/>
                      <w:szCs w:val="21"/>
                      <w:lang w:val="en-US" w:eastAsia="zh-CN"/>
                    </w:rPr>
                  </w:pPr>
                  <w:r>
                    <w:rPr>
                      <w:rFonts w:hint="eastAsia"/>
                      <w:color w:val="auto"/>
                      <w:szCs w:val="21"/>
                      <w:lang w:val="en-US" w:eastAsia="zh-CN"/>
                    </w:rPr>
                    <w:t>2.6</w:t>
                  </w:r>
                </w:p>
              </w:tc>
              <w:tc>
                <w:tcPr>
                  <w:tcW w:w="850" w:type="pct"/>
                  <w:gridSpan w:val="2"/>
                  <w:vMerge w:val="continue"/>
                  <w:noWrap w:val="0"/>
                  <w:vAlign w:val="center"/>
                </w:tcPr>
                <w:p w14:paraId="04228B9F">
                  <w:pPr>
                    <w:jc w:val="center"/>
                    <w:rPr>
                      <w:color w:val="auto"/>
                      <w:szCs w:val="21"/>
                    </w:rPr>
                  </w:pPr>
                </w:p>
              </w:tc>
              <w:tc>
                <w:tcPr>
                  <w:tcW w:w="608" w:type="pct"/>
                  <w:noWrap w:val="0"/>
                  <w:vAlign w:val="center"/>
                </w:tcPr>
                <w:p w14:paraId="0784DE50">
                  <w:pPr>
                    <w:jc w:val="center"/>
                    <w:rPr>
                      <w:rFonts w:hint="eastAsia" w:eastAsia="宋体"/>
                      <w:color w:val="auto"/>
                      <w:kern w:val="2"/>
                      <w:sz w:val="21"/>
                      <w:szCs w:val="21"/>
                      <w:lang w:val="en-US" w:eastAsia="zh-CN" w:bidi="ar-SA"/>
                    </w:rPr>
                  </w:pPr>
                  <w:r>
                    <w:rPr>
                      <w:rFonts w:hint="eastAsia"/>
                      <w:color w:val="auto"/>
                      <w:szCs w:val="21"/>
                      <w:lang w:val="en-US" w:eastAsia="zh-CN"/>
                    </w:rPr>
                    <w:t>2.6</w:t>
                  </w:r>
                </w:p>
              </w:tc>
            </w:tr>
          </w:tbl>
          <w:p w14:paraId="000AD5EE">
            <w:pPr>
              <w:pStyle w:val="6"/>
              <w:spacing w:before="120" w:beforeLines="50" w:line="360" w:lineRule="auto"/>
              <w:ind w:firstLine="480" w:firstLineChars="200"/>
              <w:rPr>
                <w:color w:val="auto"/>
                <w:szCs w:val="24"/>
              </w:rPr>
            </w:pPr>
            <w:r>
              <w:rPr>
                <w:rFonts w:hint="eastAsia"/>
                <w:color w:val="auto"/>
                <w:szCs w:val="24"/>
              </w:rPr>
              <w:t>（4）环境管理要求</w:t>
            </w:r>
          </w:p>
          <w:p w14:paraId="5ED094CF">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Times New Roman" w:hAnsi="Times New Roman" w:eastAsia="宋体" w:cs="Times New Roman"/>
                <w:bCs/>
                <w:color w:val="auto"/>
                <w:sz w:val="24"/>
              </w:rPr>
            </w:pPr>
            <w:r>
              <w:rPr>
                <w:rFonts w:hint="eastAsia" w:ascii="Times New Roman" w:hAnsi="Times New Roman" w:eastAsia="宋体" w:cs="Times New Roman"/>
                <w:bCs/>
                <w:color w:val="auto"/>
                <w:sz w:val="24"/>
              </w:rPr>
              <w:t>1）一般固体废物</w:t>
            </w:r>
          </w:p>
          <w:p w14:paraId="4DC5CAD9">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Times New Roman" w:hAnsi="Times New Roman" w:eastAsia="宋体" w:cs="Times New Roman"/>
                <w:bCs/>
                <w:color w:val="auto"/>
                <w:sz w:val="24"/>
              </w:rPr>
            </w:pPr>
            <w:r>
              <w:rPr>
                <w:rFonts w:hint="eastAsia" w:ascii="Times New Roman" w:hAnsi="Times New Roman" w:eastAsia="宋体" w:cs="Times New Roman"/>
                <w:bCs/>
                <w:color w:val="auto"/>
                <w:sz w:val="24"/>
              </w:rPr>
              <w:t>本项目设置旧件储存室（</w:t>
            </w:r>
            <w:r>
              <w:rPr>
                <w:rFonts w:hint="eastAsia" w:ascii="Times New Roman" w:hAnsi="Times New Roman" w:eastAsia="宋体" w:cs="Times New Roman"/>
                <w:bCs/>
                <w:color w:val="auto"/>
                <w:sz w:val="24"/>
                <w:lang w:val="en-US" w:eastAsia="zh-CN"/>
              </w:rPr>
              <w:t>分别位于西南侧和南侧</w:t>
            </w:r>
            <w:r>
              <w:rPr>
                <w:rFonts w:hint="eastAsia" w:ascii="Times New Roman" w:hAnsi="Times New Roman" w:eastAsia="宋体" w:cs="Times New Roman"/>
                <w:bCs/>
                <w:color w:val="auto"/>
                <w:sz w:val="24"/>
              </w:rPr>
              <w:t>），位于厂房内，满足防风、防雨、防晒、防渗漏的要求。</w:t>
            </w:r>
          </w:p>
          <w:p w14:paraId="68D96D9A">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Times New Roman" w:hAnsi="Times New Roman" w:eastAsia="宋体" w:cs="Times New Roman"/>
                <w:bCs/>
                <w:color w:val="auto"/>
                <w:sz w:val="24"/>
                <w:lang w:val="en-US" w:eastAsia="zh-CN"/>
              </w:rPr>
            </w:pPr>
            <w:r>
              <w:rPr>
                <w:rFonts w:hint="eastAsia" w:ascii="Times New Roman" w:hAnsi="Times New Roman" w:eastAsia="宋体" w:cs="Times New Roman"/>
                <w:bCs/>
                <w:color w:val="auto"/>
                <w:sz w:val="24"/>
              </w:rPr>
              <w:t>锂电池和废锂电池</w:t>
            </w:r>
            <w:r>
              <w:rPr>
                <w:rFonts w:hint="eastAsia" w:ascii="Times New Roman" w:hAnsi="Times New Roman" w:eastAsia="宋体" w:cs="Times New Roman"/>
                <w:bCs/>
                <w:color w:val="auto"/>
                <w:sz w:val="24"/>
                <w:lang w:val="en-US" w:eastAsia="zh-CN"/>
              </w:rPr>
              <w:t>贮存于动力电池储存室，</w:t>
            </w:r>
            <w:r>
              <w:rPr>
                <w:rFonts w:hint="eastAsia" w:ascii="Times New Roman" w:hAnsi="Times New Roman" w:eastAsia="宋体" w:cs="Times New Roman"/>
                <w:bCs/>
                <w:color w:val="auto"/>
                <w:sz w:val="24"/>
              </w:rPr>
              <w:t>锂电池和废锂电池的贮存需严格遵循环境控制、安全规范及法规要求</w:t>
            </w:r>
            <w:r>
              <w:rPr>
                <w:rFonts w:hint="eastAsia" w:ascii="Times New Roman" w:hAnsi="Times New Roman" w:eastAsia="宋体" w:cs="Times New Roman"/>
                <w:bCs/>
                <w:color w:val="auto"/>
                <w:sz w:val="24"/>
                <w:lang w:eastAsia="zh-CN"/>
              </w:rPr>
              <w:t>。</w:t>
            </w:r>
            <w:r>
              <w:rPr>
                <w:rFonts w:hint="eastAsia" w:ascii="Times New Roman" w:hAnsi="Times New Roman" w:eastAsia="宋体" w:cs="Times New Roman"/>
                <w:bCs/>
                <w:color w:val="auto"/>
                <w:sz w:val="24"/>
                <w:lang w:val="en-US" w:eastAsia="zh-CN"/>
              </w:rPr>
              <w:t>锂电池贮存要求：控制温湿度、电量；存放需远离火源、水源及高温区域。</w:t>
            </w:r>
            <w:r>
              <w:rPr>
                <w:rFonts w:hint="eastAsia" w:ascii="Times New Roman" w:hAnsi="Times New Roman" w:eastAsia="宋体" w:cs="Times New Roman"/>
                <w:bCs/>
                <w:color w:val="auto"/>
                <w:sz w:val="24"/>
              </w:rPr>
              <w:t>废锂电池</w:t>
            </w:r>
            <w:r>
              <w:rPr>
                <w:rFonts w:hint="eastAsia" w:ascii="Times New Roman" w:hAnsi="Times New Roman" w:eastAsia="宋体" w:cs="Times New Roman"/>
                <w:bCs/>
                <w:color w:val="auto"/>
                <w:sz w:val="24"/>
                <w:lang w:val="en-US" w:eastAsia="zh-CN"/>
              </w:rPr>
              <w:t>分类贮存：废锂电池按《废电池污染防治技术政策》</w:t>
            </w:r>
            <w:r>
              <w:rPr>
                <w:rFonts w:hint="eastAsia" w:cs="Times New Roman"/>
                <w:bCs/>
                <w:color w:val="auto"/>
                <w:sz w:val="24"/>
                <w:lang w:val="en-US" w:eastAsia="zh-CN"/>
              </w:rPr>
              <w:t>、</w:t>
            </w:r>
            <w:r>
              <w:rPr>
                <w:rFonts w:hint="eastAsia" w:ascii="Times New Roman" w:hAnsi="Times New Roman" w:eastAsia="宋体" w:cs="Times New Roman"/>
                <w:bCs/>
                <w:color w:val="auto"/>
                <w:sz w:val="24"/>
                <w:lang w:val="en-US" w:eastAsia="zh-CN"/>
              </w:rPr>
              <w:t>《废锂离子动力蓄电池处理污染控制技术规范（试行）》</w:t>
            </w:r>
            <w:r>
              <w:rPr>
                <w:rFonts w:hint="eastAsia" w:cs="Times New Roman"/>
                <w:bCs/>
                <w:color w:val="auto"/>
                <w:sz w:val="24"/>
                <w:lang w:val="en-US" w:eastAsia="zh-CN"/>
              </w:rPr>
              <w:t>、《电池废料贮存规范》等贮存要求，应分类贮存、</w:t>
            </w:r>
            <w:r>
              <w:rPr>
                <w:rFonts w:hint="eastAsia" w:ascii="Times New Roman" w:hAnsi="Times New Roman" w:eastAsia="宋体" w:cs="Times New Roman"/>
                <w:bCs/>
                <w:color w:val="auto"/>
                <w:sz w:val="24"/>
                <w:lang w:val="en-US" w:eastAsia="zh-CN"/>
              </w:rPr>
              <w:t>禁止露天堆放</w:t>
            </w:r>
            <w:r>
              <w:rPr>
                <w:rFonts w:hint="eastAsia" w:cs="Times New Roman"/>
                <w:bCs/>
                <w:color w:val="auto"/>
                <w:sz w:val="24"/>
                <w:lang w:val="en-US" w:eastAsia="zh-CN"/>
              </w:rPr>
              <w:t>、应控制贮存场所的环境温度，避免因高温自燃等引起的环境风险</w:t>
            </w:r>
            <w:r>
              <w:rPr>
                <w:rFonts w:hint="eastAsia" w:ascii="Times New Roman" w:hAnsi="Times New Roman" w:eastAsia="宋体" w:cs="Times New Roman"/>
                <w:bCs/>
                <w:color w:val="auto"/>
                <w:sz w:val="24"/>
                <w:lang w:val="en-US" w:eastAsia="zh-CN"/>
              </w:rPr>
              <w:t>。</w:t>
            </w:r>
          </w:p>
          <w:p w14:paraId="6255BE88">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Times New Roman" w:hAnsi="Times New Roman" w:eastAsia="宋体" w:cs="Times New Roman"/>
                <w:bCs/>
                <w:color w:val="auto"/>
                <w:sz w:val="24"/>
              </w:rPr>
            </w:pPr>
            <w:r>
              <w:rPr>
                <w:rFonts w:hint="eastAsia" w:ascii="Times New Roman" w:hAnsi="Times New Roman" w:eastAsia="宋体" w:cs="Times New Roman"/>
                <w:bCs/>
                <w:color w:val="auto"/>
                <w:sz w:val="24"/>
              </w:rPr>
              <w:t>2）危险废物</w:t>
            </w:r>
          </w:p>
          <w:p w14:paraId="69CB0EB5">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Times New Roman" w:hAnsi="Times New Roman" w:eastAsia="宋体" w:cs="Times New Roman"/>
                <w:bCs/>
                <w:color w:val="auto"/>
                <w:sz w:val="24"/>
              </w:rPr>
            </w:pPr>
            <w:r>
              <w:rPr>
                <w:rFonts w:hint="eastAsia" w:ascii="Times New Roman" w:hAnsi="Times New Roman" w:eastAsia="宋体" w:cs="Times New Roman"/>
                <w:bCs/>
                <w:color w:val="auto"/>
                <w:sz w:val="24"/>
              </w:rPr>
              <w:t>1）本项目危险废物贮存库已建设情况：</w:t>
            </w:r>
          </w:p>
          <w:p w14:paraId="39A139C6">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Times New Roman" w:hAnsi="Times New Roman" w:eastAsia="宋体" w:cs="Times New Roman"/>
                <w:bCs/>
                <w:color w:val="auto"/>
                <w:sz w:val="24"/>
              </w:rPr>
            </w:pPr>
            <w:r>
              <w:rPr>
                <w:rFonts w:hint="eastAsia" w:ascii="Times New Roman" w:hAnsi="Times New Roman" w:eastAsia="宋体" w:cs="Times New Roman"/>
                <w:bCs/>
                <w:color w:val="auto"/>
                <w:sz w:val="24"/>
              </w:rPr>
              <w:t>①建设单位已建设</w:t>
            </w:r>
            <w:r>
              <w:rPr>
                <w:rFonts w:hint="eastAsia" w:cs="Times New Roman"/>
                <w:bCs/>
                <w:color w:val="auto"/>
                <w:sz w:val="24"/>
                <w:lang w:val="en-US" w:eastAsia="zh-CN"/>
              </w:rPr>
              <w:t>2</w:t>
            </w:r>
            <w:r>
              <w:rPr>
                <w:rFonts w:hint="eastAsia" w:ascii="Times New Roman" w:hAnsi="Times New Roman" w:eastAsia="宋体" w:cs="Times New Roman"/>
                <w:bCs/>
                <w:color w:val="auto"/>
                <w:sz w:val="24"/>
                <w:lang w:val="en-US" w:eastAsia="zh-CN"/>
              </w:rPr>
              <w:t>间</w:t>
            </w:r>
            <w:r>
              <w:rPr>
                <w:rFonts w:hint="eastAsia" w:cs="Times New Roman"/>
                <w:bCs/>
                <w:color w:val="auto"/>
                <w:sz w:val="24"/>
                <w:lang w:val="en-US" w:eastAsia="zh-CN"/>
              </w:rPr>
              <w:t>危废贮存库，危废贮存库1#</w:t>
            </w:r>
            <w:r>
              <w:rPr>
                <w:rFonts w:hint="eastAsia" w:ascii="Times New Roman" w:hAnsi="Times New Roman" w:eastAsia="宋体" w:cs="Times New Roman"/>
                <w:bCs/>
                <w:color w:val="auto"/>
                <w:sz w:val="24"/>
                <w:lang w:val="en-US" w:eastAsia="zh-CN"/>
              </w:rPr>
              <w:t>位于</w:t>
            </w:r>
            <w:r>
              <w:rPr>
                <w:rFonts w:hint="eastAsia" w:ascii="Times New Roman" w:hAnsi="Times New Roman" w:eastAsia="宋体" w:cs="Times New Roman"/>
                <w:bCs/>
                <w:color w:val="auto"/>
                <w:sz w:val="24"/>
              </w:rPr>
              <w:t>厂区</w:t>
            </w:r>
            <w:r>
              <w:rPr>
                <w:rFonts w:hint="eastAsia" w:ascii="Times New Roman" w:hAnsi="Times New Roman" w:eastAsia="宋体" w:cs="Times New Roman"/>
                <w:bCs/>
                <w:color w:val="auto"/>
                <w:sz w:val="24"/>
                <w:lang w:val="en-US" w:eastAsia="zh-CN"/>
              </w:rPr>
              <w:t>西</w:t>
            </w:r>
            <w:r>
              <w:rPr>
                <w:rFonts w:hint="eastAsia" w:ascii="Times New Roman" w:hAnsi="Times New Roman" w:eastAsia="宋体" w:cs="Times New Roman"/>
                <w:bCs/>
                <w:color w:val="auto"/>
                <w:sz w:val="24"/>
              </w:rPr>
              <w:t>侧，占地面积</w:t>
            </w:r>
            <w:r>
              <w:rPr>
                <w:rFonts w:hint="eastAsia" w:ascii="Times New Roman" w:hAnsi="Times New Roman" w:eastAsia="宋体" w:cs="Times New Roman"/>
                <w:bCs/>
                <w:color w:val="auto"/>
                <w:sz w:val="24"/>
                <w:lang w:val="en-US" w:eastAsia="zh-CN"/>
              </w:rPr>
              <w:t>2</w:t>
            </w:r>
            <w:r>
              <w:rPr>
                <w:rFonts w:hint="eastAsia" w:ascii="Times New Roman" w:hAnsi="Times New Roman" w:eastAsia="宋体" w:cs="Times New Roman"/>
                <w:bCs/>
                <w:color w:val="auto"/>
                <w:sz w:val="24"/>
              </w:rPr>
              <w:t>5m</w:t>
            </w:r>
            <w:r>
              <w:rPr>
                <w:rFonts w:hint="eastAsia" w:ascii="Times New Roman" w:hAnsi="Times New Roman" w:eastAsia="宋体" w:cs="Times New Roman"/>
                <w:bCs/>
                <w:color w:val="auto"/>
                <w:sz w:val="24"/>
                <w:vertAlign w:val="superscript"/>
              </w:rPr>
              <w:t>2</w:t>
            </w:r>
            <w:r>
              <w:rPr>
                <w:rFonts w:hint="eastAsia" w:ascii="Times New Roman" w:hAnsi="Times New Roman" w:eastAsia="宋体" w:cs="Times New Roman"/>
                <w:bCs/>
                <w:color w:val="auto"/>
                <w:sz w:val="24"/>
              </w:rPr>
              <w:t>，存放废机油</w:t>
            </w:r>
            <w:r>
              <w:rPr>
                <w:rFonts w:hint="eastAsia" w:ascii="Times New Roman" w:hAnsi="Times New Roman" w:eastAsia="宋体" w:cs="Times New Roman"/>
                <w:bCs/>
                <w:color w:val="auto"/>
                <w:sz w:val="24"/>
                <w:lang w:eastAsia="zh-CN"/>
              </w:rPr>
              <w:t>、</w:t>
            </w:r>
            <w:r>
              <w:rPr>
                <w:rFonts w:hint="eastAsia" w:ascii="Times New Roman" w:hAnsi="Times New Roman" w:eastAsia="宋体" w:cs="Times New Roman"/>
                <w:bCs/>
                <w:color w:val="auto"/>
                <w:sz w:val="24"/>
              </w:rPr>
              <w:t>废油桶</w:t>
            </w:r>
            <w:r>
              <w:rPr>
                <w:rFonts w:hint="eastAsia" w:ascii="Times New Roman" w:hAnsi="Times New Roman" w:eastAsia="宋体" w:cs="Times New Roman"/>
                <w:bCs/>
                <w:color w:val="auto"/>
                <w:sz w:val="24"/>
                <w:lang w:eastAsia="zh-CN"/>
              </w:rPr>
              <w:t>、</w:t>
            </w:r>
            <w:r>
              <w:rPr>
                <w:rFonts w:hint="eastAsia" w:ascii="Times New Roman" w:hAnsi="Times New Roman" w:eastAsia="宋体" w:cs="Times New Roman"/>
                <w:bCs/>
                <w:color w:val="auto"/>
                <w:sz w:val="24"/>
                <w:lang w:val="en-US" w:eastAsia="zh-CN"/>
              </w:rPr>
              <w:t>废抹布等危险废物；</w:t>
            </w:r>
            <w:r>
              <w:rPr>
                <w:rFonts w:hint="eastAsia" w:cs="Times New Roman"/>
                <w:bCs/>
                <w:color w:val="auto"/>
                <w:sz w:val="24"/>
                <w:lang w:val="en-US" w:eastAsia="zh-CN"/>
              </w:rPr>
              <w:t>危废贮存库2#</w:t>
            </w:r>
            <w:r>
              <w:rPr>
                <w:rFonts w:hint="eastAsia" w:ascii="Times New Roman" w:hAnsi="Times New Roman" w:eastAsia="宋体" w:cs="Times New Roman"/>
                <w:bCs/>
                <w:color w:val="auto"/>
                <w:sz w:val="24"/>
                <w:lang w:val="en-US" w:eastAsia="zh-CN"/>
              </w:rPr>
              <w:t>位于</w:t>
            </w:r>
            <w:r>
              <w:rPr>
                <w:rFonts w:hint="eastAsia" w:ascii="Times New Roman" w:hAnsi="Times New Roman" w:eastAsia="宋体" w:cs="Times New Roman"/>
                <w:bCs/>
                <w:color w:val="auto"/>
                <w:sz w:val="24"/>
              </w:rPr>
              <w:t>厂区</w:t>
            </w:r>
            <w:r>
              <w:rPr>
                <w:rFonts w:hint="eastAsia" w:ascii="Times New Roman" w:hAnsi="Times New Roman" w:eastAsia="宋体" w:cs="Times New Roman"/>
                <w:bCs/>
                <w:color w:val="auto"/>
                <w:sz w:val="24"/>
                <w:lang w:val="en-US" w:eastAsia="zh-CN"/>
              </w:rPr>
              <w:t>西</w:t>
            </w:r>
            <w:r>
              <w:rPr>
                <w:rFonts w:hint="eastAsia" w:ascii="Times New Roman" w:hAnsi="Times New Roman" w:eastAsia="宋体" w:cs="Times New Roman"/>
                <w:bCs/>
                <w:color w:val="auto"/>
                <w:sz w:val="24"/>
              </w:rPr>
              <w:t>侧，占地面积</w:t>
            </w:r>
            <w:r>
              <w:rPr>
                <w:rFonts w:hint="eastAsia" w:cs="Times New Roman"/>
                <w:bCs/>
                <w:color w:val="auto"/>
                <w:sz w:val="24"/>
                <w:lang w:val="en-US" w:eastAsia="zh-CN"/>
              </w:rPr>
              <w:t>16</w:t>
            </w:r>
            <w:r>
              <w:rPr>
                <w:rFonts w:hint="eastAsia" w:ascii="Times New Roman" w:hAnsi="Times New Roman" w:eastAsia="宋体" w:cs="Times New Roman"/>
                <w:bCs/>
                <w:color w:val="auto"/>
                <w:sz w:val="24"/>
              </w:rPr>
              <w:t>m</w:t>
            </w:r>
            <w:r>
              <w:rPr>
                <w:rFonts w:hint="eastAsia" w:ascii="Times New Roman" w:hAnsi="Times New Roman" w:eastAsia="宋体" w:cs="Times New Roman"/>
                <w:bCs/>
                <w:color w:val="auto"/>
                <w:sz w:val="24"/>
                <w:vertAlign w:val="superscript"/>
              </w:rPr>
              <w:t>2</w:t>
            </w:r>
            <w:r>
              <w:rPr>
                <w:rFonts w:hint="eastAsia" w:ascii="Times New Roman" w:hAnsi="Times New Roman" w:eastAsia="宋体" w:cs="Times New Roman"/>
                <w:bCs/>
                <w:color w:val="auto"/>
                <w:sz w:val="24"/>
              </w:rPr>
              <w:t>，存放废活性炭</w:t>
            </w:r>
            <w:r>
              <w:rPr>
                <w:rFonts w:hint="eastAsia" w:ascii="Times New Roman" w:hAnsi="Times New Roman" w:eastAsia="宋体" w:cs="Times New Roman"/>
                <w:bCs/>
                <w:color w:val="auto"/>
                <w:sz w:val="24"/>
                <w:lang w:eastAsia="zh-CN"/>
              </w:rPr>
              <w:t>、</w:t>
            </w:r>
            <w:r>
              <w:rPr>
                <w:rFonts w:hint="eastAsia" w:ascii="Times New Roman" w:hAnsi="Times New Roman" w:eastAsia="宋体" w:cs="Times New Roman"/>
                <w:bCs/>
                <w:color w:val="auto"/>
                <w:sz w:val="24"/>
                <w:lang w:val="en-US" w:eastAsia="zh-CN"/>
              </w:rPr>
              <w:t>废原子灰渣、废过滤棉等危险废物；均位于车间内，</w:t>
            </w:r>
            <w:r>
              <w:rPr>
                <w:rFonts w:hint="eastAsia" w:ascii="Times New Roman" w:hAnsi="Times New Roman" w:eastAsia="宋体" w:cs="Times New Roman"/>
                <w:bCs/>
                <w:color w:val="auto"/>
                <w:sz w:val="24"/>
              </w:rPr>
              <w:t>满足防风、防雨、防晒的要求，已进行地面硬化</w:t>
            </w:r>
            <w:r>
              <w:rPr>
                <w:rFonts w:hint="eastAsia" w:cs="Times New Roman"/>
                <w:bCs/>
                <w:color w:val="auto"/>
                <w:sz w:val="24"/>
                <w:lang w:val="en-US" w:eastAsia="zh-CN"/>
              </w:rPr>
              <w:t>及防渗处理</w:t>
            </w:r>
            <w:r>
              <w:rPr>
                <w:rFonts w:hint="eastAsia" w:ascii="Times New Roman" w:hAnsi="Times New Roman" w:eastAsia="宋体" w:cs="Times New Roman"/>
                <w:bCs/>
                <w:color w:val="auto"/>
                <w:sz w:val="24"/>
              </w:rPr>
              <w:t>；</w:t>
            </w:r>
          </w:p>
          <w:p w14:paraId="25C1228B">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Times New Roman" w:hAnsi="Times New Roman" w:eastAsia="宋体" w:cs="Times New Roman"/>
                <w:bCs/>
                <w:color w:val="auto"/>
                <w:sz w:val="24"/>
              </w:rPr>
            </w:pPr>
            <w:r>
              <w:rPr>
                <w:rFonts w:hint="eastAsia" w:ascii="Times New Roman" w:hAnsi="Times New Roman" w:eastAsia="宋体" w:cs="Times New Roman"/>
                <w:bCs/>
                <w:color w:val="auto"/>
                <w:sz w:val="24"/>
              </w:rPr>
              <w:t>②废</w:t>
            </w:r>
            <w:r>
              <w:rPr>
                <w:rFonts w:hint="eastAsia" w:ascii="Times New Roman" w:hAnsi="Times New Roman" w:eastAsia="宋体" w:cs="Times New Roman"/>
                <w:bCs/>
                <w:color w:val="auto"/>
                <w:sz w:val="24"/>
                <w:lang w:val="en-US" w:eastAsia="zh-CN"/>
              </w:rPr>
              <w:t>矿物油、废防冻液等</w:t>
            </w:r>
            <w:r>
              <w:rPr>
                <w:rFonts w:hint="eastAsia" w:ascii="Times New Roman" w:hAnsi="Times New Roman" w:eastAsia="宋体" w:cs="Times New Roman"/>
                <w:bCs/>
                <w:color w:val="auto"/>
                <w:sz w:val="24"/>
              </w:rPr>
              <w:t>贮存设置防渗托盘，</w:t>
            </w:r>
            <w:r>
              <w:rPr>
                <w:rFonts w:hint="eastAsia" w:cs="Times New Roman"/>
                <w:bCs/>
                <w:color w:val="auto"/>
                <w:sz w:val="24"/>
                <w:lang w:val="en-US" w:eastAsia="zh-CN"/>
              </w:rPr>
              <w:t>危废贮存库1#</w:t>
            </w:r>
            <w:r>
              <w:rPr>
                <w:rFonts w:hint="eastAsia" w:ascii="Times New Roman" w:hAnsi="Times New Roman" w:eastAsia="宋体" w:cs="Times New Roman"/>
                <w:bCs/>
                <w:color w:val="auto"/>
                <w:sz w:val="24"/>
                <w:lang w:val="en-US" w:eastAsia="zh-CN"/>
              </w:rPr>
              <w:t>设置导流槽和集漏池</w:t>
            </w:r>
            <w:r>
              <w:rPr>
                <w:rFonts w:hint="eastAsia" w:ascii="Times New Roman" w:hAnsi="Times New Roman" w:eastAsia="宋体" w:cs="Times New Roman"/>
                <w:bCs/>
                <w:color w:val="auto"/>
                <w:sz w:val="24"/>
              </w:rPr>
              <w:t>以便收集事故状态下泄漏的废矿物油等。</w:t>
            </w:r>
          </w:p>
          <w:p w14:paraId="4AB6465E">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Times New Roman" w:hAnsi="Times New Roman" w:eastAsia="宋体" w:cs="Times New Roman"/>
                <w:bCs/>
                <w:color w:val="auto"/>
                <w:sz w:val="24"/>
              </w:rPr>
            </w:pPr>
            <w:r>
              <w:rPr>
                <w:rFonts w:hint="eastAsia" w:ascii="Times New Roman" w:hAnsi="Times New Roman" w:eastAsia="宋体" w:cs="Times New Roman"/>
                <w:bCs/>
                <w:color w:val="auto"/>
                <w:sz w:val="24"/>
              </w:rPr>
              <w:t>③已使用符合标准的容器盛装</w:t>
            </w:r>
            <w:r>
              <w:rPr>
                <w:rFonts w:hint="eastAsia" w:ascii="Times New Roman" w:hAnsi="Times New Roman" w:eastAsia="宋体" w:cs="Times New Roman"/>
                <w:bCs/>
                <w:color w:val="auto"/>
                <w:sz w:val="24"/>
                <w:lang w:val="en-US" w:eastAsia="zh-CN"/>
              </w:rPr>
              <w:t>各类危险废物</w:t>
            </w:r>
            <w:r>
              <w:rPr>
                <w:rFonts w:hint="eastAsia" w:ascii="Times New Roman" w:hAnsi="Times New Roman" w:eastAsia="宋体" w:cs="Times New Roman"/>
                <w:bCs/>
                <w:color w:val="auto"/>
                <w:sz w:val="24"/>
              </w:rPr>
              <w:t>；装载危险废物的容器及材质满足要求，完好无损，且不相容（不相互反应）。</w:t>
            </w:r>
          </w:p>
          <w:p w14:paraId="3D31BCE2">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ascii="Times New Roman" w:hAnsi="Times New Roman" w:eastAsia="宋体" w:cs="Times New Roman"/>
                <w:bCs/>
                <w:color w:val="auto"/>
                <w:sz w:val="24"/>
              </w:rPr>
            </w:pPr>
            <w:r>
              <w:rPr>
                <w:rFonts w:hint="eastAsia" w:ascii="Times New Roman" w:hAnsi="Times New Roman" w:eastAsia="宋体" w:cs="Times New Roman"/>
                <w:bCs/>
                <w:color w:val="auto"/>
                <w:sz w:val="24"/>
              </w:rPr>
              <w:t>④管理：危险</w:t>
            </w:r>
            <w:r>
              <w:rPr>
                <w:rFonts w:hint="eastAsia" w:ascii="Times New Roman" w:hAnsi="Times New Roman" w:eastAsia="宋体" w:cs="Times New Roman"/>
                <w:bCs/>
                <w:color w:val="auto"/>
                <w:sz w:val="24"/>
                <w:lang w:val="en-US" w:eastAsia="zh-CN"/>
              </w:rPr>
              <w:t>废物</w:t>
            </w:r>
            <w:r>
              <w:rPr>
                <w:rFonts w:hint="eastAsia" w:ascii="Times New Roman" w:hAnsi="Times New Roman" w:eastAsia="宋体" w:cs="Times New Roman"/>
                <w:bCs/>
                <w:color w:val="auto"/>
                <w:sz w:val="24"/>
              </w:rPr>
              <w:t>存储时按危废种类分类堆放，无混合存放。且对危险废物进行密闭包装。并严格按照《危险废物贮存污染控制标准》（GB18597-2023）和《危险废物转移管理办法》（部令第23号）中的规定，设管理制度，责任落实到具体负责人，并设台账进行管理和登记，记录上注明危险废物的名称、来源、数量、特性和包装容器的类别、入库日期、存放库位、危废出库日期及接收单位名称，做好转移联单。</w:t>
            </w:r>
          </w:p>
          <w:p w14:paraId="483CC44B">
            <w:pPr>
              <w:pStyle w:val="6"/>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default" w:ascii="Times New Roman" w:hAnsi="Times New Roman" w:eastAsia="宋体" w:cs="Times New Roman"/>
                <w:bCs/>
                <w:color w:val="auto"/>
                <w:sz w:val="24"/>
                <w:lang w:val="en-US" w:eastAsia="zh-CN"/>
              </w:rPr>
            </w:pPr>
            <w:r>
              <w:rPr>
                <w:rFonts w:hint="eastAsia" w:cs="Times New Roman"/>
                <w:bCs/>
                <w:color w:val="auto"/>
                <w:sz w:val="24"/>
                <w:lang w:val="en-US" w:eastAsia="zh-CN"/>
              </w:rPr>
              <w:t>危废贮存库现状见下图：</w:t>
            </w:r>
          </w:p>
          <w:tbl>
            <w:tblPr>
              <w:tblStyle w:val="26"/>
              <w:tblW w:w="80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07"/>
              <w:gridCol w:w="4008"/>
            </w:tblGrid>
            <w:tr w14:paraId="1E15F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07" w:type="dxa"/>
                  <w:noWrap w:val="0"/>
                  <w:vAlign w:val="center"/>
                </w:tcPr>
                <w:p w14:paraId="1616EC48">
                  <w:pPr>
                    <w:pStyle w:val="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eastAsia" w:ascii="Times New Roman" w:hAnsi="Times New Roman" w:eastAsia="宋体" w:cs="Times New Roman"/>
                      <w:bCs/>
                      <w:color w:val="auto"/>
                      <w:sz w:val="24"/>
                      <w:vertAlign w:val="baseline"/>
                      <w:lang w:eastAsia="zh-CN"/>
                    </w:rPr>
                  </w:pPr>
                  <w:r>
                    <w:rPr>
                      <w:rFonts w:hint="eastAsia" w:ascii="Times New Roman" w:hAnsi="Times New Roman" w:eastAsia="宋体" w:cs="Times New Roman"/>
                      <w:bCs/>
                      <w:color w:val="auto"/>
                      <w:sz w:val="24"/>
                      <w:vertAlign w:val="baseline"/>
                      <w:lang w:eastAsia="zh-CN"/>
                    </w:rPr>
                    <w:drawing>
                      <wp:inline distT="0" distB="0" distL="114300" distR="114300">
                        <wp:extent cx="2063750" cy="1548130"/>
                        <wp:effectExtent l="0" t="0" r="12700" b="13970"/>
                        <wp:docPr id="9" name="图片 53" descr="危废间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3" descr="危废间1"/>
                                <pic:cNvPicPr>
                                  <a:picLocks noChangeAspect="1"/>
                                </pic:cNvPicPr>
                              </pic:nvPicPr>
                              <pic:blipFill>
                                <a:blip r:embed="rId23"/>
                                <a:stretch>
                                  <a:fillRect/>
                                </a:stretch>
                              </pic:blipFill>
                              <pic:spPr>
                                <a:xfrm>
                                  <a:off x="0" y="0"/>
                                  <a:ext cx="2063750" cy="1548130"/>
                                </a:xfrm>
                                <a:prstGeom prst="rect">
                                  <a:avLst/>
                                </a:prstGeom>
                                <a:noFill/>
                                <a:ln>
                                  <a:noFill/>
                                </a:ln>
                              </pic:spPr>
                            </pic:pic>
                          </a:graphicData>
                        </a:graphic>
                      </wp:inline>
                    </w:drawing>
                  </w:r>
                </w:p>
              </w:tc>
              <w:tc>
                <w:tcPr>
                  <w:tcW w:w="4008" w:type="dxa"/>
                  <w:noWrap w:val="0"/>
                  <w:vAlign w:val="center"/>
                </w:tcPr>
                <w:p w14:paraId="76A62564">
                  <w:pPr>
                    <w:pStyle w:val="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eastAsia" w:ascii="Times New Roman" w:hAnsi="Times New Roman" w:eastAsia="宋体" w:cs="Times New Roman"/>
                      <w:bCs/>
                      <w:color w:val="auto"/>
                      <w:sz w:val="24"/>
                      <w:vertAlign w:val="baseline"/>
                      <w:lang w:eastAsia="zh-CN"/>
                    </w:rPr>
                  </w:pPr>
                  <w:r>
                    <w:rPr>
                      <w:rFonts w:hint="eastAsia" w:ascii="Times New Roman" w:hAnsi="Times New Roman" w:eastAsia="宋体" w:cs="Times New Roman"/>
                      <w:bCs/>
                      <w:color w:val="auto"/>
                      <w:sz w:val="24"/>
                      <w:vertAlign w:val="baseline"/>
                      <w:lang w:eastAsia="zh-CN"/>
                    </w:rPr>
                    <w:drawing>
                      <wp:inline distT="0" distB="0" distL="114300" distR="114300">
                        <wp:extent cx="2063750" cy="1548130"/>
                        <wp:effectExtent l="0" t="0" r="12700" b="13970"/>
                        <wp:docPr id="10" name="图片 27" descr="危废间1-分区暂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7" descr="危废间1-分区暂存"/>
                                <pic:cNvPicPr>
                                  <a:picLocks noChangeAspect="1"/>
                                </pic:cNvPicPr>
                              </pic:nvPicPr>
                              <pic:blipFill>
                                <a:blip r:embed="rId24"/>
                                <a:stretch>
                                  <a:fillRect/>
                                </a:stretch>
                              </pic:blipFill>
                              <pic:spPr>
                                <a:xfrm>
                                  <a:off x="0" y="0"/>
                                  <a:ext cx="2063750" cy="1548130"/>
                                </a:xfrm>
                                <a:prstGeom prst="rect">
                                  <a:avLst/>
                                </a:prstGeom>
                                <a:noFill/>
                                <a:ln>
                                  <a:noFill/>
                                </a:ln>
                              </pic:spPr>
                            </pic:pic>
                          </a:graphicData>
                        </a:graphic>
                      </wp:inline>
                    </w:drawing>
                  </w:r>
                </w:p>
              </w:tc>
            </w:tr>
            <w:tr w14:paraId="077B9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07" w:type="dxa"/>
                  <w:noWrap w:val="0"/>
                  <w:vAlign w:val="center"/>
                </w:tcPr>
                <w:p w14:paraId="4888F01B">
                  <w:pPr>
                    <w:pStyle w:val="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Cs/>
                      <w:color w:val="auto"/>
                      <w:sz w:val="21"/>
                      <w:szCs w:val="16"/>
                      <w:vertAlign w:val="baseline"/>
                      <w:lang w:val="en-US" w:eastAsia="zh-CN"/>
                    </w:rPr>
                  </w:pPr>
                  <w:r>
                    <w:rPr>
                      <w:rFonts w:hint="eastAsia" w:cs="Times New Roman"/>
                      <w:bCs/>
                      <w:color w:val="auto"/>
                      <w:sz w:val="21"/>
                      <w:szCs w:val="16"/>
                      <w:vertAlign w:val="baseline"/>
                      <w:lang w:val="en-US" w:eastAsia="zh-CN"/>
                    </w:rPr>
                    <w:t>危废贮存库1#</w:t>
                  </w:r>
                  <w:r>
                    <w:rPr>
                      <w:rFonts w:hint="eastAsia" w:ascii="Times New Roman" w:hAnsi="Times New Roman" w:eastAsia="宋体" w:cs="Times New Roman"/>
                      <w:bCs/>
                      <w:color w:val="auto"/>
                      <w:sz w:val="21"/>
                      <w:szCs w:val="16"/>
                      <w:vertAlign w:val="baseline"/>
                      <w:lang w:val="en-US" w:eastAsia="zh-CN"/>
                    </w:rPr>
                    <w:t>标志、制度</w:t>
                  </w:r>
                </w:p>
              </w:tc>
              <w:tc>
                <w:tcPr>
                  <w:tcW w:w="4008" w:type="dxa"/>
                  <w:noWrap w:val="0"/>
                  <w:vAlign w:val="center"/>
                </w:tcPr>
                <w:p w14:paraId="6700E2D2">
                  <w:pPr>
                    <w:pStyle w:val="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bCs/>
                      <w:color w:val="auto"/>
                      <w:sz w:val="21"/>
                      <w:szCs w:val="16"/>
                      <w:vertAlign w:val="baseline"/>
                      <w:lang w:val="en-US" w:eastAsia="zh-CN"/>
                    </w:rPr>
                  </w:pPr>
                  <w:r>
                    <w:rPr>
                      <w:rFonts w:hint="eastAsia" w:cs="Times New Roman"/>
                      <w:bCs/>
                      <w:color w:val="auto"/>
                      <w:sz w:val="21"/>
                      <w:szCs w:val="16"/>
                      <w:vertAlign w:val="baseline"/>
                      <w:lang w:val="en-US" w:eastAsia="zh-CN"/>
                    </w:rPr>
                    <w:t>危废贮存库1#</w:t>
                  </w:r>
                  <w:r>
                    <w:rPr>
                      <w:rFonts w:hint="eastAsia" w:ascii="Times New Roman" w:hAnsi="Times New Roman" w:eastAsia="宋体" w:cs="Times New Roman"/>
                      <w:bCs/>
                      <w:color w:val="auto"/>
                      <w:sz w:val="21"/>
                      <w:szCs w:val="16"/>
                      <w:vertAlign w:val="baseline"/>
                      <w:lang w:val="en-US" w:eastAsia="zh-CN"/>
                    </w:rPr>
                    <w:t>分区暂存</w:t>
                  </w:r>
                </w:p>
              </w:tc>
            </w:tr>
            <w:tr w14:paraId="2741F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07" w:type="dxa"/>
                  <w:noWrap w:val="0"/>
                  <w:vAlign w:val="center"/>
                </w:tcPr>
                <w:p w14:paraId="791B80DE">
                  <w:pPr>
                    <w:pStyle w:val="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eastAsia" w:ascii="Times New Roman" w:hAnsi="Times New Roman" w:eastAsia="宋体" w:cs="Times New Roman"/>
                      <w:bCs/>
                      <w:color w:val="auto"/>
                      <w:sz w:val="24"/>
                      <w:vertAlign w:val="baseline"/>
                      <w:lang w:eastAsia="zh-CN"/>
                    </w:rPr>
                  </w:pPr>
                  <w:r>
                    <w:rPr>
                      <w:rFonts w:hint="eastAsia" w:ascii="Times New Roman" w:hAnsi="Times New Roman" w:eastAsia="宋体" w:cs="Times New Roman"/>
                      <w:bCs/>
                      <w:color w:val="auto"/>
                      <w:sz w:val="24"/>
                      <w:vertAlign w:val="baseline"/>
                      <w:lang w:eastAsia="zh-CN"/>
                    </w:rPr>
                    <w:drawing>
                      <wp:inline distT="0" distB="0" distL="114300" distR="114300">
                        <wp:extent cx="1917065" cy="1548130"/>
                        <wp:effectExtent l="0" t="0" r="6985" b="13970"/>
                        <wp:docPr id="11" name="图片 25" descr="危废间1-导流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5" descr="危废间1-导流沟"/>
                                <pic:cNvPicPr>
                                  <a:picLocks noChangeAspect="1"/>
                                </pic:cNvPicPr>
                              </pic:nvPicPr>
                              <pic:blipFill>
                                <a:blip r:embed="rId25"/>
                                <a:srcRect t="39459"/>
                                <a:stretch>
                                  <a:fillRect/>
                                </a:stretch>
                              </pic:blipFill>
                              <pic:spPr>
                                <a:xfrm>
                                  <a:off x="0" y="0"/>
                                  <a:ext cx="1917065" cy="1548130"/>
                                </a:xfrm>
                                <a:prstGeom prst="rect">
                                  <a:avLst/>
                                </a:prstGeom>
                                <a:noFill/>
                                <a:ln>
                                  <a:noFill/>
                                </a:ln>
                              </pic:spPr>
                            </pic:pic>
                          </a:graphicData>
                        </a:graphic>
                      </wp:inline>
                    </w:drawing>
                  </w:r>
                </w:p>
              </w:tc>
              <w:tc>
                <w:tcPr>
                  <w:tcW w:w="4008" w:type="dxa"/>
                  <w:noWrap w:val="0"/>
                  <w:vAlign w:val="center"/>
                </w:tcPr>
                <w:p w14:paraId="235127F0">
                  <w:pPr>
                    <w:pStyle w:val="6"/>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eastAsia" w:ascii="Times New Roman" w:hAnsi="Times New Roman" w:eastAsia="宋体" w:cs="Times New Roman"/>
                      <w:bCs/>
                      <w:color w:val="auto"/>
                      <w:sz w:val="24"/>
                      <w:vertAlign w:val="baseline"/>
                    </w:rPr>
                  </w:pPr>
                  <w:r>
                    <w:rPr>
                      <w:rFonts w:hint="eastAsia" w:ascii="Times New Roman" w:hAnsi="Times New Roman" w:eastAsia="宋体" w:cs="Times New Roman"/>
                      <w:bCs/>
                      <w:color w:val="auto"/>
                      <w:sz w:val="24"/>
                      <w:vertAlign w:val="baseline"/>
                      <w:lang w:eastAsia="zh-CN"/>
                    </w:rPr>
                    <w:drawing>
                      <wp:inline distT="0" distB="0" distL="114300" distR="114300">
                        <wp:extent cx="2289175" cy="1548130"/>
                        <wp:effectExtent l="0" t="0" r="15875" b="13970"/>
                        <wp:docPr id="12" name="图片 24" descr="危废间1-收集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4" descr="危废间1-收集池"/>
                                <pic:cNvPicPr>
                                  <a:picLocks noChangeAspect="1"/>
                                </pic:cNvPicPr>
                              </pic:nvPicPr>
                              <pic:blipFill>
                                <a:blip r:embed="rId26"/>
                                <a:srcRect l="30462" t="24979" r="4985" b="16899"/>
                                <a:stretch>
                                  <a:fillRect/>
                                </a:stretch>
                              </pic:blipFill>
                              <pic:spPr>
                                <a:xfrm>
                                  <a:off x="0" y="0"/>
                                  <a:ext cx="2289175" cy="1548130"/>
                                </a:xfrm>
                                <a:prstGeom prst="rect">
                                  <a:avLst/>
                                </a:prstGeom>
                                <a:noFill/>
                                <a:ln>
                                  <a:noFill/>
                                </a:ln>
                              </pic:spPr>
                            </pic:pic>
                          </a:graphicData>
                        </a:graphic>
                      </wp:inline>
                    </w:drawing>
                  </w:r>
                </w:p>
              </w:tc>
            </w:tr>
            <w:tr w14:paraId="7D726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07" w:type="dxa"/>
                  <w:noWrap w:val="0"/>
                  <w:vAlign w:val="center"/>
                </w:tcPr>
                <w:p w14:paraId="49DB0A38">
                  <w:pPr>
                    <w:pStyle w:val="6"/>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kern w:val="2"/>
                      <w:sz w:val="21"/>
                      <w:szCs w:val="16"/>
                      <w:vertAlign w:val="baseline"/>
                      <w:lang w:val="en-US" w:eastAsia="zh-CN" w:bidi="ar-SA"/>
                    </w:rPr>
                  </w:pPr>
                  <w:r>
                    <w:rPr>
                      <w:rFonts w:hint="eastAsia" w:cs="Times New Roman"/>
                      <w:bCs/>
                      <w:color w:val="auto"/>
                      <w:sz w:val="21"/>
                      <w:szCs w:val="16"/>
                      <w:vertAlign w:val="baseline"/>
                      <w:lang w:val="en-US" w:eastAsia="zh-CN"/>
                    </w:rPr>
                    <w:t>危废贮存库1#</w:t>
                  </w:r>
                  <w:r>
                    <w:rPr>
                      <w:rFonts w:hint="eastAsia" w:ascii="Times New Roman" w:hAnsi="Times New Roman" w:eastAsia="宋体" w:cs="Times New Roman"/>
                      <w:bCs/>
                      <w:color w:val="auto"/>
                      <w:sz w:val="21"/>
                      <w:szCs w:val="16"/>
                      <w:vertAlign w:val="baseline"/>
                      <w:lang w:val="en-US" w:eastAsia="zh-CN"/>
                    </w:rPr>
                    <w:t>导流槽</w:t>
                  </w:r>
                </w:p>
              </w:tc>
              <w:tc>
                <w:tcPr>
                  <w:tcW w:w="4008" w:type="dxa"/>
                  <w:noWrap w:val="0"/>
                  <w:vAlign w:val="center"/>
                </w:tcPr>
                <w:p w14:paraId="61ED3923">
                  <w:pPr>
                    <w:pStyle w:val="6"/>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16"/>
                      <w:vertAlign w:val="baseline"/>
                      <w:lang w:val="en-US" w:eastAsia="zh-CN" w:bidi="ar-SA"/>
                    </w:rPr>
                  </w:pPr>
                  <w:r>
                    <w:rPr>
                      <w:rFonts w:hint="eastAsia" w:cs="Times New Roman"/>
                      <w:bCs/>
                      <w:color w:val="auto"/>
                      <w:sz w:val="21"/>
                      <w:szCs w:val="16"/>
                      <w:vertAlign w:val="baseline"/>
                      <w:lang w:val="en-US" w:eastAsia="zh-CN"/>
                    </w:rPr>
                    <w:t>危废贮存库1#</w:t>
                  </w:r>
                  <w:r>
                    <w:rPr>
                      <w:rFonts w:hint="eastAsia" w:ascii="Times New Roman" w:hAnsi="Times New Roman" w:eastAsia="宋体" w:cs="Times New Roman"/>
                      <w:bCs/>
                      <w:color w:val="auto"/>
                      <w:sz w:val="21"/>
                      <w:szCs w:val="16"/>
                      <w:vertAlign w:val="baseline"/>
                      <w:lang w:val="en-US" w:eastAsia="zh-CN"/>
                    </w:rPr>
                    <w:t>集液池</w:t>
                  </w:r>
                </w:p>
              </w:tc>
            </w:tr>
            <w:tr w14:paraId="2E08C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07" w:type="dxa"/>
                  <w:noWrap w:val="0"/>
                  <w:vAlign w:val="center"/>
                </w:tcPr>
                <w:p w14:paraId="65103ADF">
                  <w:pPr>
                    <w:pStyle w:val="6"/>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16"/>
                      <w:vertAlign w:val="baseline"/>
                      <w:lang w:val="en-US" w:eastAsia="zh-CN"/>
                    </w:rPr>
                  </w:pPr>
                  <w:r>
                    <w:rPr>
                      <w:rFonts w:hint="eastAsia" w:ascii="Times New Roman" w:hAnsi="Times New Roman" w:eastAsia="宋体" w:cs="Times New Roman"/>
                      <w:bCs/>
                      <w:color w:val="auto"/>
                      <w:sz w:val="21"/>
                      <w:szCs w:val="16"/>
                      <w:vertAlign w:val="baseline"/>
                      <w:lang w:val="en-US" w:eastAsia="zh-CN"/>
                    </w:rPr>
                    <w:drawing>
                      <wp:inline distT="0" distB="0" distL="114300" distR="114300">
                        <wp:extent cx="2063750" cy="1548130"/>
                        <wp:effectExtent l="0" t="0" r="12700" b="13970"/>
                        <wp:docPr id="13" name="图片 44" descr="危废间1-废油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4" descr="危废间1-废油桶"/>
                                <pic:cNvPicPr>
                                  <a:picLocks noChangeAspect="1"/>
                                </pic:cNvPicPr>
                              </pic:nvPicPr>
                              <pic:blipFill>
                                <a:blip r:embed="rId27"/>
                                <a:stretch>
                                  <a:fillRect/>
                                </a:stretch>
                              </pic:blipFill>
                              <pic:spPr>
                                <a:xfrm>
                                  <a:off x="0" y="0"/>
                                  <a:ext cx="2063750" cy="1548130"/>
                                </a:xfrm>
                                <a:prstGeom prst="rect">
                                  <a:avLst/>
                                </a:prstGeom>
                                <a:noFill/>
                                <a:ln>
                                  <a:noFill/>
                                </a:ln>
                              </pic:spPr>
                            </pic:pic>
                          </a:graphicData>
                        </a:graphic>
                      </wp:inline>
                    </w:drawing>
                  </w:r>
                </w:p>
              </w:tc>
              <w:tc>
                <w:tcPr>
                  <w:tcW w:w="4008" w:type="dxa"/>
                  <w:noWrap w:val="0"/>
                  <w:vAlign w:val="center"/>
                </w:tcPr>
                <w:p w14:paraId="0FAAA3A0">
                  <w:pPr>
                    <w:pStyle w:val="6"/>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16"/>
                      <w:vertAlign w:val="baseline"/>
                      <w:lang w:val="en-US" w:eastAsia="zh-CN"/>
                    </w:rPr>
                  </w:pPr>
                  <w:r>
                    <w:rPr>
                      <w:rFonts w:hint="eastAsia" w:ascii="Times New Roman" w:hAnsi="Times New Roman" w:eastAsia="宋体" w:cs="Times New Roman"/>
                      <w:bCs/>
                      <w:color w:val="auto"/>
                      <w:sz w:val="21"/>
                      <w:szCs w:val="16"/>
                      <w:vertAlign w:val="baseline"/>
                      <w:lang w:val="en-US" w:eastAsia="zh-CN"/>
                    </w:rPr>
                    <w:drawing>
                      <wp:inline distT="0" distB="0" distL="114300" distR="114300">
                        <wp:extent cx="2063750" cy="1548130"/>
                        <wp:effectExtent l="0" t="0" r="12700" b="13970"/>
                        <wp:docPr id="14" name="图片 43" descr="危废间1-管理制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3" descr="危废间1-管理制度"/>
                                <pic:cNvPicPr>
                                  <a:picLocks noChangeAspect="1"/>
                                </pic:cNvPicPr>
                              </pic:nvPicPr>
                              <pic:blipFill>
                                <a:blip r:embed="rId28"/>
                                <a:stretch>
                                  <a:fillRect/>
                                </a:stretch>
                              </pic:blipFill>
                              <pic:spPr>
                                <a:xfrm>
                                  <a:off x="0" y="0"/>
                                  <a:ext cx="2063750" cy="1548130"/>
                                </a:xfrm>
                                <a:prstGeom prst="rect">
                                  <a:avLst/>
                                </a:prstGeom>
                                <a:noFill/>
                                <a:ln>
                                  <a:noFill/>
                                </a:ln>
                              </pic:spPr>
                            </pic:pic>
                          </a:graphicData>
                        </a:graphic>
                      </wp:inline>
                    </w:drawing>
                  </w:r>
                </w:p>
              </w:tc>
            </w:tr>
            <w:tr w14:paraId="20C44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07" w:type="dxa"/>
                  <w:noWrap w:val="0"/>
                  <w:vAlign w:val="center"/>
                </w:tcPr>
                <w:p w14:paraId="77AA68DC">
                  <w:pPr>
                    <w:pStyle w:val="6"/>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sz w:val="21"/>
                      <w:szCs w:val="16"/>
                      <w:vertAlign w:val="baseline"/>
                      <w:lang w:val="en-US" w:eastAsia="zh-CN"/>
                    </w:rPr>
                  </w:pPr>
                  <w:r>
                    <w:rPr>
                      <w:rFonts w:hint="eastAsia" w:cs="Times New Roman"/>
                      <w:bCs/>
                      <w:color w:val="auto"/>
                      <w:sz w:val="21"/>
                      <w:szCs w:val="16"/>
                      <w:vertAlign w:val="baseline"/>
                      <w:lang w:val="en-US" w:eastAsia="zh-CN"/>
                    </w:rPr>
                    <w:t>危废贮存库1#</w:t>
                  </w:r>
                  <w:r>
                    <w:rPr>
                      <w:rFonts w:hint="eastAsia" w:ascii="Times New Roman" w:hAnsi="Times New Roman" w:eastAsia="宋体" w:cs="Times New Roman"/>
                      <w:bCs/>
                      <w:color w:val="auto"/>
                      <w:sz w:val="21"/>
                      <w:szCs w:val="16"/>
                      <w:vertAlign w:val="baseline"/>
                      <w:lang w:val="en-US" w:eastAsia="zh-CN"/>
                    </w:rPr>
                    <w:t>分区暂存</w:t>
                  </w:r>
                </w:p>
              </w:tc>
              <w:tc>
                <w:tcPr>
                  <w:tcW w:w="4008" w:type="dxa"/>
                  <w:noWrap w:val="0"/>
                  <w:vAlign w:val="center"/>
                </w:tcPr>
                <w:p w14:paraId="7CA5991F">
                  <w:pPr>
                    <w:pStyle w:val="6"/>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sz w:val="21"/>
                      <w:szCs w:val="16"/>
                      <w:vertAlign w:val="baseline"/>
                      <w:lang w:val="en-US" w:eastAsia="zh-CN"/>
                    </w:rPr>
                  </w:pPr>
                  <w:r>
                    <w:rPr>
                      <w:rFonts w:hint="eastAsia" w:ascii="Times New Roman" w:hAnsi="Times New Roman" w:eastAsia="宋体" w:cs="Times New Roman"/>
                      <w:bCs/>
                      <w:color w:val="auto"/>
                      <w:sz w:val="21"/>
                      <w:szCs w:val="16"/>
                      <w:vertAlign w:val="baseline"/>
                      <w:lang w:val="en-US" w:eastAsia="zh-CN"/>
                    </w:rPr>
                    <w:t>危废制度</w:t>
                  </w:r>
                </w:p>
              </w:tc>
            </w:tr>
            <w:tr w14:paraId="0FE1A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07" w:type="dxa"/>
                  <w:noWrap w:val="0"/>
                  <w:vAlign w:val="center"/>
                </w:tcPr>
                <w:p w14:paraId="261D6DB1">
                  <w:pPr>
                    <w:pStyle w:val="6"/>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16"/>
                      <w:vertAlign w:val="baseline"/>
                      <w:lang w:val="en-US" w:eastAsia="zh-CN"/>
                    </w:rPr>
                  </w:pPr>
                  <w:r>
                    <w:rPr>
                      <w:rFonts w:hint="eastAsia" w:ascii="Times New Roman" w:hAnsi="Times New Roman" w:eastAsia="宋体" w:cs="Times New Roman"/>
                      <w:bCs/>
                      <w:color w:val="auto"/>
                      <w:sz w:val="21"/>
                      <w:szCs w:val="16"/>
                      <w:vertAlign w:val="baseline"/>
                      <w:lang w:val="en-US" w:eastAsia="zh-CN"/>
                    </w:rPr>
                    <w:drawing>
                      <wp:inline distT="0" distB="0" distL="114300" distR="114300">
                        <wp:extent cx="2063750" cy="1548130"/>
                        <wp:effectExtent l="0" t="0" r="12700" b="13970"/>
                        <wp:docPr id="15" name="图片 28" descr="危废间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8" descr="危废间2"/>
                                <pic:cNvPicPr>
                                  <a:picLocks noChangeAspect="1"/>
                                </pic:cNvPicPr>
                              </pic:nvPicPr>
                              <pic:blipFill>
                                <a:blip r:embed="rId29"/>
                                <a:stretch>
                                  <a:fillRect/>
                                </a:stretch>
                              </pic:blipFill>
                              <pic:spPr>
                                <a:xfrm>
                                  <a:off x="0" y="0"/>
                                  <a:ext cx="2063750" cy="1548130"/>
                                </a:xfrm>
                                <a:prstGeom prst="rect">
                                  <a:avLst/>
                                </a:prstGeom>
                                <a:noFill/>
                                <a:ln>
                                  <a:noFill/>
                                </a:ln>
                              </pic:spPr>
                            </pic:pic>
                          </a:graphicData>
                        </a:graphic>
                      </wp:inline>
                    </w:drawing>
                  </w:r>
                </w:p>
              </w:tc>
              <w:tc>
                <w:tcPr>
                  <w:tcW w:w="4008" w:type="dxa"/>
                  <w:noWrap w:val="0"/>
                  <w:vAlign w:val="center"/>
                </w:tcPr>
                <w:p w14:paraId="48EBAC03">
                  <w:pPr>
                    <w:pStyle w:val="6"/>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16"/>
                      <w:vertAlign w:val="baseline"/>
                      <w:lang w:val="en-US" w:eastAsia="zh-CN"/>
                    </w:rPr>
                  </w:pPr>
                  <w:r>
                    <w:rPr>
                      <w:rFonts w:hint="eastAsia" w:ascii="Times New Roman" w:hAnsi="Times New Roman" w:eastAsia="宋体" w:cs="Times New Roman"/>
                      <w:bCs/>
                      <w:color w:val="auto"/>
                      <w:sz w:val="21"/>
                      <w:szCs w:val="16"/>
                      <w:vertAlign w:val="baseline"/>
                      <w:lang w:val="en-US" w:eastAsia="zh-CN"/>
                    </w:rPr>
                    <w:drawing>
                      <wp:inline distT="0" distB="0" distL="114300" distR="114300">
                        <wp:extent cx="2064385" cy="1548130"/>
                        <wp:effectExtent l="0" t="0" r="12065" b="13970"/>
                        <wp:docPr id="16" name="图片 30" descr="危废间2-分区标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0" descr="危废间2-分区标识"/>
                                <pic:cNvPicPr>
                                  <a:picLocks noChangeAspect="1"/>
                                </pic:cNvPicPr>
                              </pic:nvPicPr>
                              <pic:blipFill>
                                <a:blip r:embed="rId30"/>
                                <a:stretch>
                                  <a:fillRect/>
                                </a:stretch>
                              </pic:blipFill>
                              <pic:spPr>
                                <a:xfrm>
                                  <a:off x="0" y="0"/>
                                  <a:ext cx="2064385" cy="1548130"/>
                                </a:xfrm>
                                <a:prstGeom prst="rect">
                                  <a:avLst/>
                                </a:prstGeom>
                                <a:noFill/>
                                <a:ln>
                                  <a:noFill/>
                                </a:ln>
                              </pic:spPr>
                            </pic:pic>
                          </a:graphicData>
                        </a:graphic>
                      </wp:inline>
                    </w:drawing>
                  </w:r>
                </w:p>
              </w:tc>
            </w:tr>
            <w:tr w14:paraId="7B9CE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07" w:type="dxa"/>
                  <w:noWrap w:val="0"/>
                  <w:vAlign w:val="center"/>
                </w:tcPr>
                <w:p w14:paraId="78310523">
                  <w:pPr>
                    <w:pStyle w:val="6"/>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sz w:val="21"/>
                      <w:szCs w:val="16"/>
                      <w:vertAlign w:val="baseline"/>
                      <w:lang w:val="en-US" w:eastAsia="zh-CN"/>
                    </w:rPr>
                  </w:pPr>
                  <w:r>
                    <w:rPr>
                      <w:rFonts w:hint="eastAsia" w:cs="Times New Roman"/>
                      <w:bCs/>
                      <w:color w:val="auto"/>
                      <w:sz w:val="21"/>
                      <w:szCs w:val="16"/>
                      <w:vertAlign w:val="baseline"/>
                      <w:lang w:val="en-US" w:eastAsia="zh-CN"/>
                    </w:rPr>
                    <w:t>危废贮存库2#</w:t>
                  </w:r>
                  <w:r>
                    <w:rPr>
                      <w:rFonts w:hint="eastAsia" w:ascii="Times New Roman" w:hAnsi="Times New Roman" w:eastAsia="宋体" w:cs="Times New Roman"/>
                      <w:bCs/>
                      <w:color w:val="auto"/>
                      <w:sz w:val="21"/>
                      <w:szCs w:val="16"/>
                      <w:vertAlign w:val="baseline"/>
                      <w:lang w:val="en-US" w:eastAsia="zh-CN"/>
                    </w:rPr>
                    <w:t>标识</w:t>
                  </w:r>
                </w:p>
              </w:tc>
              <w:tc>
                <w:tcPr>
                  <w:tcW w:w="4008" w:type="dxa"/>
                  <w:noWrap w:val="0"/>
                  <w:vAlign w:val="center"/>
                </w:tcPr>
                <w:p w14:paraId="0D3A04A2">
                  <w:pPr>
                    <w:pStyle w:val="6"/>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sz w:val="21"/>
                      <w:szCs w:val="16"/>
                      <w:vertAlign w:val="baseline"/>
                      <w:lang w:val="en-US" w:eastAsia="zh-CN"/>
                    </w:rPr>
                  </w:pPr>
                  <w:r>
                    <w:rPr>
                      <w:rFonts w:hint="eastAsia" w:cs="Times New Roman"/>
                      <w:bCs/>
                      <w:color w:val="auto"/>
                      <w:sz w:val="21"/>
                      <w:szCs w:val="16"/>
                      <w:vertAlign w:val="baseline"/>
                      <w:lang w:val="en-US" w:eastAsia="zh-CN"/>
                    </w:rPr>
                    <w:t>危废贮存库2#</w:t>
                  </w:r>
                  <w:r>
                    <w:rPr>
                      <w:rFonts w:hint="eastAsia" w:ascii="Times New Roman" w:hAnsi="Times New Roman" w:eastAsia="宋体" w:cs="Times New Roman"/>
                      <w:bCs/>
                      <w:color w:val="auto"/>
                      <w:sz w:val="21"/>
                      <w:szCs w:val="16"/>
                      <w:vertAlign w:val="baseline"/>
                      <w:lang w:val="en-US" w:eastAsia="zh-CN"/>
                    </w:rPr>
                    <w:t>分区暂存</w:t>
                  </w:r>
                </w:p>
              </w:tc>
            </w:tr>
          </w:tbl>
          <w:p w14:paraId="313C15CB">
            <w:pPr>
              <w:pStyle w:val="6"/>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eastAsia="宋体" w:cs="Times New Roman"/>
                <w:bCs/>
                <w:color w:val="auto"/>
                <w:sz w:val="24"/>
              </w:rPr>
            </w:pPr>
            <w:r>
              <w:rPr>
                <w:rFonts w:hint="eastAsia" w:ascii="Times New Roman" w:hAnsi="Times New Roman" w:eastAsia="宋体" w:cs="Times New Roman"/>
                <w:b/>
                <w:bCs w:val="0"/>
                <w:color w:val="auto"/>
                <w:sz w:val="24"/>
              </w:rPr>
              <w:t>图4-1  危险废物现状</w:t>
            </w:r>
          </w:p>
          <w:p w14:paraId="30056BAA">
            <w:pPr>
              <w:pStyle w:val="6"/>
              <w:spacing w:line="360" w:lineRule="auto"/>
              <w:ind w:firstLine="480" w:firstLineChars="200"/>
              <w:rPr>
                <w:rFonts w:hint="eastAsia" w:ascii="Times New Roman" w:hAnsi="Times New Roman" w:eastAsia="宋体" w:cs="Times New Roman"/>
                <w:bCs/>
                <w:color w:val="auto"/>
                <w:sz w:val="24"/>
              </w:rPr>
            </w:pPr>
            <w:r>
              <w:rPr>
                <w:rFonts w:hint="eastAsia" w:ascii="Times New Roman" w:hAnsi="Times New Roman" w:eastAsia="宋体" w:cs="Times New Roman"/>
                <w:bCs/>
                <w:color w:val="auto"/>
                <w:sz w:val="24"/>
              </w:rPr>
              <w:t>2）危险废物贮存还应满足要求如下：</w:t>
            </w:r>
          </w:p>
          <w:p w14:paraId="64B7DD21">
            <w:pPr>
              <w:pStyle w:val="6"/>
              <w:spacing w:line="360" w:lineRule="auto"/>
              <w:ind w:firstLine="480" w:firstLineChars="200"/>
              <w:rPr>
                <w:rFonts w:hint="eastAsia" w:ascii="Times New Roman" w:hAnsi="Times New Roman" w:eastAsia="宋体" w:cs="Times New Roman"/>
                <w:bCs/>
                <w:color w:val="auto"/>
                <w:sz w:val="24"/>
                <w:lang w:val="en-US" w:eastAsia="zh-CN"/>
              </w:rPr>
            </w:pPr>
            <w:r>
              <w:rPr>
                <w:rFonts w:hint="eastAsia" w:ascii="Times New Roman" w:hAnsi="Times New Roman" w:eastAsia="宋体" w:cs="Times New Roman"/>
                <w:bCs/>
                <w:color w:val="auto"/>
                <w:sz w:val="24"/>
              </w:rPr>
              <w:t>标识：废油室和危废贮存库按照危废贮存库1#、危废贮存库2#完善标识牌</w:t>
            </w:r>
            <w:r>
              <w:rPr>
                <w:rFonts w:hint="eastAsia" w:cs="Times New Roman"/>
                <w:bCs/>
                <w:color w:val="auto"/>
                <w:sz w:val="24"/>
                <w:lang w:eastAsia="zh-CN"/>
              </w:rPr>
              <w:t>；</w:t>
            </w:r>
            <w:r>
              <w:rPr>
                <w:rFonts w:hint="eastAsia" w:cs="Times New Roman"/>
                <w:bCs/>
                <w:color w:val="auto"/>
                <w:sz w:val="24"/>
                <w:lang w:val="en-US" w:eastAsia="zh-CN"/>
              </w:rPr>
              <w:t>危废贮存库1#</w:t>
            </w:r>
            <w:r>
              <w:rPr>
                <w:rFonts w:hint="eastAsia" w:ascii="Times New Roman" w:hAnsi="Times New Roman" w:eastAsia="宋体" w:cs="Times New Roman"/>
                <w:bCs/>
                <w:color w:val="auto"/>
                <w:sz w:val="24"/>
                <w:lang w:val="en-US" w:eastAsia="zh-CN"/>
              </w:rPr>
              <w:t>及</w:t>
            </w:r>
            <w:r>
              <w:rPr>
                <w:rFonts w:hint="eastAsia" w:cs="Times New Roman"/>
                <w:bCs/>
                <w:color w:val="auto"/>
                <w:sz w:val="24"/>
                <w:lang w:val="en-US" w:eastAsia="zh-CN"/>
              </w:rPr>
              <w:t>危废贮存库2#</w:t>
            </w:r>
            <w:r>
              <w:rPr>
                <w:rFonts w:hint="eastAsia" w:ascii="Times New Roman" w:hAnsi="Times New Roman" w:eastAsia="宋体" w:cs="Times New Roman"/>
                <w:bCs/>
                <w:color w:val="auto"/>
                <w:sz w:val="24"/>
                <w:lang w:val="en-US" w:eastAsia="zh-CN"/>
              </w:rPr>
              <w:t>按照实际分区更换分区标识，</w:t>
            </w:r>
            <w:r>
              <w:rPr>
                <w:rFonts w:hint="eastAsia" w:ascii="Times New Roman" w:hAnsi="Times New Roman" w:eastAsia="宋体" w:cs="Times New Roman"/>
                <w:bCs/>
                <w:color w:val="auto"/>
                <w:sz w:val="24"/>
              </w:rPr>
              <w:t>应按《危险废物识别标志设置技术规范》（HJ1276-2022）要求</w:t>
            </w:r>
            <w:r>
              <w:rPr>
                <w:rFonts w:hint="eastAsia" w:ascii="Times New Roman" w:hAnsi="Times New Roman" w:eastAsia="宋体" w:cs="Times New Roman"/>
                <w:bCs/>
                <w:color w:val="auto"/>
                <w:sz w:val="24"/>
                <w:lang w:val="en-US" w:eastAsia="zh-CN"/>
              </w:rPr>
              <w:t>完善分区标识及各危险废物贮存标识更换</w:t>
            </w:r>
            <w:r>
              <w:rPr>
                <w:rFonts w:hint="eastAsia" w:cs="Times New Roman"/>
                <w:bCs/>
                <w:color w:val="auto"/>
                <w:sz w:val="24"/>
                <w:lang w:val="en-US" w:eastAsia="zh-CN"/>
              </w:rPr>
              <w:t>，加强危废分类、分区贮存管理</w:t>
            </w:r>
            <w:r>
              <w:rPr>
                <w:rFonts w:hint="eastAsia" w:ascii="Times New Roman" w:hAnsi="Times New Roman" w:eastAsia="宋体" w:cs="Times New Roman"/>
                <w:bCs/>
                <w:color w:val="auto"/>
                <w:sz w:val="24"/>
                <w:lang w:val="en-US" w:eastAsia="zh-CN"/>
              </w:rPr>
              <w:t>。</w:t>
            </w:r>
          </w:p>
          <w:p w14:paraId="60B82407">
            <w:pPr>
              <w:pStyle w:val="6"/>
              <w:spacing w:line="360" w:lineRule="auto"/>
              <w:ind w:firstLine="480" w:firstLineChars="200"/>
              <w:rPr>
                <w:rFonts w:hint="eastAsia" w:ascii="Times New Roman" w:hAnsi="Times New Roman" w:eastAsia="宋体" w:cs="Times New Roman"/>
                <w:bCs/>
                <w:color w:val="auto"/>
                <w:sz w:val="24"/>
              </w:rPr>
            </w:pPr>
            <w:r>
              <w:rPr>
                <w:rFonts w:hint="eastAsia" w:cs="Times New Roman"/>
                <w:bCs/>
                <w:color w:val="auto"/>
                <w:sz w:val="24"/>
                <w:lang w:val="en-US" w:eastAsia="zh-CN"/>
              </w:rPr>
              <w:t>环评要求：</w:t>
            </w:r>
            <w:r>
              <w:rPr>
                <w:rFonts w:hint="eastAsia" w:ascii="Times New Roman" w:hAnsi="Times New Roman" w:eastAsia="宋体" w:cs="Times New Roman"/>
                <w:bCs/>
                <w:color w:val="auto"/>
                <w:sz w:val="24"/>
                <w:lang w:val="en-US" w:eastAsia="zh-CN"/>
              </w:rPr>
              <w:t>废铅蓄电池</w:t>
            </w:r>
            <w:r>
              <w:rPr>
                <w:rFonts w:hint="eastAsia" w:cs="Times New Roman"/>
                <w:bCs/>
                <w:color w:val="auto"/>
                <w:sz w:val="24"/>
                <w:lang w:val="en-US" w:eastAsia="zh-CN"/>
              </w:rPr>
              <w:t>如有破损，采用带盖密闭包装桶收集暂存，密闭转运。</w:t>
            </w:r>
          </w:p>
          <w:p w14:paraId="38C5894B">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b/>
                <w:bCs/>
                <w:color w:val="auto"/>
                <w:sz w:val="24"/>
              </w:rPr>
            </w:pPr>
            <w:r>
              <w:rPr>
                <w:rFonts w:hint="eastAsia"/>
                <w:b/>
                <w:bCs/>
                <w:color w:val="auto"/>
                <w:sz w:val="24"/>
              </w:rPr>
              <w:t>5、地下水、土壤</w:t>
            </w:r>
          </w:p>
          <w:p w14:paraId="33F4C65F">
            <w:pPr>
              <w:pStyle w:val="72"/>
              <w:adjustRightInd w:val="0"/>
              <w:snapToGrid w:val="0"/>
              <w:rPr>
                <w:rFonts w:hint="eastAsia" w:hAnsi="Times New Roman"/>
                <w:snapToGrid w:val="0"/>
                <w:color w:val="auto"/>
                <w:kern w:val="0"/>
                <w:szCs w:val="24"/>
              </w:rPr>
            </w:pPr>
            <w:r>
              <w:rPr>
                <w:rFonts w:hint="eastAsia" w:hAnsi="Times New Roman"/>
                <w:snapToGrid w:val="0"/>
                <w:color w:val="auto"/>
                <w:kern w:val="0"/>
                <w:szCs w:val="24"/>
              </w:rPr>
              <w:t>（1）污染来源、类型及主要污染途径</w:t>
            </w:r>
          </w:p>
          <w:p w14:paraId="393CE897">
            <w:pPr>
              <w:pStyle w:val="72"/>
              <w:adjustRightInd w:val="0"/>
              <w:snapToGrid w:val="0"/>
              <w:rPr>
                <w:rFonts w:hint="eastAsia" w:hAnsi="Times New Roman" w:eastAsia="宋体"/>
                <w:snapToGrid w:val="0"/>
                <w:color w:val="auto"/>
                <w:kern w:val="0"/>
                <w:szCs w:val="24"/>
                <w:lang w:eastAsia="zh-CN"/>
              </w:rPr>
            </w:pPr>
            <w:r>
              <w:rPr>
                <w:rFonts w:hint="eastAsia" w:hAnsi="Times New Roman"/>
                <w:snapToGrid w:val="0"/>
                <w:color w:val="auto"/>
                <w:kern w:val="0"/>
                <w:szCs w:val="24"/>
              </w:rPr>
              <w:t>本项目</w:t>
            </w:r>
            <w:r>
              <w:rPr>
                <w:rFonts w:hint="eastAsia" w:hAnsi="Times New Roman"/>
                <w:snapToGrid w:val="0"/>
                <w:color w:val="auto"/>
                <w:kern w:val="0"/>
                <w:szCs w:val="24"/>
                <w:lang w:val="en-US" w:eastAsia="zh-CN"/>
              </w:rPr>
              <w:t>危废贮存库1#、</w:t>
            </w:r>
            <w:r>
              <w:rPr>
                <w:rFonts w:hint="eastAsia" w:hAnsi="Times New Roman"/>
                <w:snapToGrid w:val="0"/>
                <w:color w:val="auto"/>
                <w:kern w:val="0"/>
                <w:szCs w:val="24"/>
                <w:lang w:eastAsia="zh-CN"/>
              </w:rPr>
              <w:t>危废贮存库2#</w:t>
            </w:r>
            <w:r>
              <w:rPr>
                <w:rFonts w:hint="eastAsia" w:hAnsi="Times New Roman"/>
                <w:snapToGrid w:val="0"/>
                <w:color w:val="auto"/>
                <w:kern w:val="0"/>
                <w:szCs w:val="24"/>
                <w:lang w:val="en-US" w:eastAsia="zh-CN"/>
              </w:rPr>
              <w:t>和车间</w:t>
            </w:r>
            <w:r>
              <w:rPr>
                <w:rFonts w:hint="eastAsia" w:hAnsi="Times New Roman"/>
                <w:snapToGrid w:val="0"/>
                <w:color w:val="auto"/>
                <w:kern w:val="0"/>
                <w:szCs w:val="24"/>
              </w:rPr>
              <w:t>地面破损，</w:t>
            </w:r>
            <w:r>
              <w:rPr>
                <w:rFonts w:hint="eastAsia" w:hAnsi="Times New Roman"/>
                <w:snapToGrid w:val="0"/>
                <w:color w:val="auto"/>
                <w:kern w:val="0"/>
                <w:szCs w:val="24"/>
                <w:lang w:val="en-US" w:eastAsia="zh-CN"/>
              </w:rPr>
              <w:t>机油、刹车油、变速箱油、多功能防锈润滑剂和</w:t>
            </w:r>
            <w:r>
              <w:rPr>
                <w:rFonts w:hint="eastAsia" w:hAnsi="Times New Roman"/>
                <w:snapToGrid w:val="0"/>
                <w:color w:val="auto"/>
                <w:kern w:val="0"/>
                <w:szCs w:val="24"/>
              </w:rPr>
              <w:t>废</w:t>
            </w:r>
            <w:r>
              <w:rPr>
                <w:rFonts w:hint="eastAsia" w:hAnsi="Times New Roman"/>
                <w:snapToGrid w:val="0"/>
                <w:color w:val="auto"/>
                <w:kern w:val="0"/>
                <w:szCs w:val="24"/>
                <w:lang w:val="en-US" w:eastAsia="zh-CN"/>
              </w:rPr>
              <w:t>矿物油</w:t>
            </w:r>
            <w:r>
              <w:rPr>
                <w:rFonts w:hint="eastAsia" w:hAnsi="Times New Roman"/>
                <w:snapToGrid w:val="0"/>
                <w:color w:val="auto"/>
                <w:kern w:val="0"/>
                <w:szCs w:val="24"/>
              </w:rPr>
              <w:t>泄漏，通过下渗污染土壤和地下水</w:t>
            </w:r>
            <w:r>
              <w:rPr>
                <w:rFonts w:hint="eastAsia" w:hAnsi="Times New Roman"/>
                <w:snapToGrid w:val="0"/>
                <w:color w:val="auto"/>
                <w:kern w:val="0"/>
                <w:szCs w:val="24"/>
                <w:lang w:eastAsia="zh-CN"/>
              </w:rPr>
              <w:t>。</w:t>
            </w:r>
          </w:p>
          <w:p w14:paraId="77239BF3">
            <w:pPr>
              <w:pStyle w:val="72"/>
              <w:adjustRightInd w:val="0"/>
              <w:snapToGrid w:val="0"/>
              <w:rPr>
                <w:rFonts w:hint="eastAsia" w:hAnsi="Times New Roman"/>
                <w:snapToGrid w:val="0"/>
                <w:color w:val="auto"/>
                <w:kern w:val="0"/>
                <w:szCs w:val="24"/>
              </w:rPr>
            </w:pPr>
            <w:r>
              <w:rPr>
                <w:rFonts w:hint="eastAsia" w:hAnsi="Times New Roman"/>
                <w:snapToGrid w:val="0"/>
                <w:color w:val="auto"/>
                <w:kern w:val="0"/>
                <w:szCs w:val="24"/>
              </w:rPr>
              <w:t>（2）防控措施</w:t>
            </w:r>
          </w:p>
          <w:p w14:paraId="24DE2DFD">
            <w:pPr>
              <w:pStyle w:val="72"/>
              <w:adjustRightInd w:val="0"/>
              <w:snapToGrid w:val="0"/>
              <w:rPr>
                <w:rFonts w:hint="eastAsia" w:hAnsi="Times New Roman"/>
                <w:snapToGrid w:val="0"/>
                <w:color w:val="auto"/>
                <w:kern w:val="0"/>
                <w:szCs w:val="24"/>
              </w:rPr>
            </w:pPr>
            <w:r>
              <w:rPr>
                <w:rFonts w:hint="eastAsia" w:hAnsi="Times New Roman"/>
                <w:snapToGrid w:val="0"/>
                <w:color w:val="auto"/>
                <w:kern w:val="0"/>
                <w:szCs w:val="24"/>
              </w:rPr>
              <w:t>本项目主要污染单元为</w:t>
            </w:r>
            <w:r>
              <w:rPr>
                <w:rFonts w:hint="eastAsia" w:hAnsi="Times New Roman"/>
                <w:snapToGrid w:val="0"/>
                <w:color w:val="auto"/>
                <w:kern w:val="0"/>
                <w:szCs w:val="24"/>
                <w:lang w:eastAsia="zh-CN"/>
              </w:rPr>
              <w:t>危废贮存库</w:t>
            </w:r>
            <w:r>
              <w:rPr>
                <w:rFonts w:hint="eastAsia" w:hAnsi="Times New Roman"/>
                <w:snapToGrid w:val="0"/>
                <w:color w:val="auto"/>
                <w:kern w:val="0"/>
                <w:szCs w:val="24"/>
                <w:lang w:val="en-US" w:eastAsia="zh-CN"/>
              </w:rPr>
              <w:t>1#、</w:t>
            </w:r>
            <w:r>
              <w:rPr>
                <w:rFonts w:hint="eastAsia" w:hAnsi="Times New Roman"/>
                <w:snapToGrid w:val="0"/>
                <w:color w:val="auto"/>
                <w:kern w:val="0"/>
                <w:szCs w:val="24"/>
                <w:lang w:eastAsia="zh-CN"/>
              </w:rPr>
              <w:t>危废贮存库2#</w:t>
            </w:r>
            <w:r>
              <w:rPr>
                <w:rFonts w:hint="eastAsia" w:hAnsi="Times New Roman"/>
                <w:snapToGrid w:val="0"/>
                <w:color w:val="auto"/>
                <w:kern w:val="0"/>
                <w:szCs w:val="24"/>
                <w:lang w:val="en-US" w:eastAsia="zh-CN"/>
              </w:rPr>
              <w:t>和车间</w:t>
            </w:r>
            <w:r>
              <w:rPr>
                <w:rFonts w:hint="eastAsia" w:hAnsi="Times New Roman"/>
                <w:snapToGrid w:val="0"/>
                <w:color w:val="auto"/>
                <w:kern w:val="0"/>
                <w:szCs w:val="24"/>
              </w:rPr>
              <w:t>。要求企业通过</w:t>
            </w:r>
            <w:r>
              <w:rPr>
                <w:rFonts w:hint="eastAsia" w:hAnsi="Times New Roman"/>
                <w:snapToGrid w:val="0"/>
                <w:color w:val="auto"/>
                <w:kern w:val="0"/>
                <w:szCs w:val="24"/>
                <w:lang w:eastAsia="zh-CN"/>
              </w:rPr>
              <w:t>“</w:t>
            </w:r>
            <w:r>
              <w:rPr>
                <w:rFonts w:hint="eastAsia" w:hAnsi="Times New Roman"/>
                <w:snapToGrid w:val="0"/>
                <w:color w:val="auto"/>
                <w:kern w:val="0"/>
                <w:szCs w:val="24"/>
              </w:rPr>
              <w:t>源头控制，分区防治，应急响应</w:t>
            </w:r>
            <w:r>
              <w:rPr>
                <w:rFonts w:hint="eastAsia" w:hAnsi="Times New Roman"/>
                <w:snapToGrid w:val="0"/>
                <w:color w:val="auto"/>
                <w:kern w:val="0"/>
                <w:szCs w:val="24"/>
                <w:lang w:eastAsia="zh-CN"/>
              </w:rPr>
              <w:t>”</w:t>
            </w:r>
            <w:r>
              <w:rPr>
                <w:rFonts w:hint="eastAsia" w:hAnsi="Times New Roman"/>
                <w:snapToGrid w:val="0"/>
                <w:color w:val="auto"/>
                <w:kern w:val="0"/>
                <w:szCs w:val="24"/>
              </w:rPr>
              <w:t>及加强管理可避免地下水污染事故的发生。</w:t>
            </w:r>
          </w:p>
          <w:p w14:paraId="37286F44">
            <w:pPr>
              <w:pStyle w:val="72"/>
              <w:adjustRightInd w:val="0"/>
              <w:snapToGrid w:val="0"/>
              <w:rPr>
                <w:rFonts w:hint="eastAsia" w:hAnsi="Times New Roman"/>
                <w:snapToGrid w:val="0"/>
                <w:color w:val="auto"/>
                <w:kern w:val="0"/>
                <w:szCs w:val="24"/>
              </w:rPr>
            </w:pPr>
            <w:r>
              <w:rPr>
                <w:rFonts w:hint="eastAsia" w:hAnsi="Times New Roman"/>
                <w:snapToGrid w:val="0"/>
                <w:color w:val="auto"/>
                <w:kern w:val="0"/>
                <w:szCs w:val="24"/>
              </w:rPr>
              <w:t>源头控制：完善危险废物的管理，避免污染物跑、冒、滴、漏现象发生。</w:t>
            </w:r>
          </w:p>
          <w:p w14:paraId="4212938D">
            <w:pPr>
              <w:pStyle w:val="72"/>
              <w:adjustRightInd w:val="0"/>
              <w:snapToGrid w:val="0"/>
              <w:rPr>
                <w:rFonts w:hint="eastAsia" w:hAnsi="Times New Roman"/>
                <w:snapToGrid w:val="0"/>
                <w:color w:val="auto"/>
                <w:kern w:val="0"/>
                <w:szCs w:val="24"/>
              </w:rPr>
            </w:pPr>
            <w:r>
              <w:rPr>
                <w:rFonts w:hint="eastAsia" w:hAnsi="Times New Roman"/>
                <w:snapToGrid w:val="0"/>
                <w:color w:val="auto"/>
                <w:kern w:val="0"/>
                <w:szCs w:val="24"/>
              </w:rPr>
              <w:t>分区防治：企业</w:t>
            </w:r>
            <w:r>
              <w:rPr>
                <w:rFonts w:hint="eastAsia" w:hAnsi="Times New Roman"/>
                <w:snapToGrid w:val="0"/>
                <w:color w:val="auto"/>
                <w:kern w:val="0"/>
                <w:szCs w:val="24"/>
                <w:lang w:eastAsia="zh-CN"/>
              </w:rPr>
              <w:t>危废贮存库2#</w:t>
            </w:r>
            <w:r>
              <w:rPr>
                <w:rFonts w:hint="eastAsia" w:hAnsi="Times New Roman"/>
                <w:snapToGrid w:val="0"/>
                <w:color w:val="auto"/>
                <w:kern w:val="0"/>
                <w:szCs w:val="24"/>
              </w:rPr>
              <w:t>位于</w:t>
            </w:r>
            <w:r>
              <w:rPr>
                <w:rFonts w:hint="eastAsia" w:hAnsi="Times New Roman"/>
                <w:snapToGrid w:val="0"/>
                <w:color w:val="auto"/>
                <w:kern w:val="0"/>
                <w:szCs w:val="24"/>
                <w:lang w:val="en-US" w:eastAsia="zh-CN"/>
              </w:rPr>
              <w:t>厂区北侧、危废贮存库1#位于厂区西侧</w:t>
            </w:r>
            <w:r>
              <w:rPr>
                <w:rFonts w:hint="eastAsia" w:hAnsi="Times New Roman"/>
                <w:snapToGrid w:val="0"/>
                <w:color w:val="auto"/>
                <w:kern w:val="0"/>
                <w:szCs w:val="24"/>
              </w:rPr>
              <w:t>，且按照《危险废物贮存污染控制标准》（GB18597-2023）等要求进行重点防渗处理，等效黏土防渗层Mb≥6.0m，K≤1×10</w:t>
            </w:r>
            <w:r>
              <w:rPr>
                <w:rFonts w:hint="eastAsia" w:hAnsi="Times New Roman"/>
                <w:snapToGrid w:val="0"/>
                <w:color w:val="auto"/>
                <w:kern w:val="0"/>
                <w:szCs w:val="24"/>
                <w:vertAlign w:val="superscript"/>
              </w:rPr>
              <w:t>-7</w:t>
            </w:r>
            <w:r>
              <w:rPr>
                <w:rFonts w:hint="eastAsia" w:hAnsi="Times New Roman"/>
                <w:snapToGrid w:val="0"/>
                <w:color w:val="auto"/>
                <w:kern w:val="0"/>
                <w:szCs w:val="24"/>
              </w:rPr>
              <w:t>cm/s。</w:t>
            </w:r>
          </w:p>
          <w:p w14:paraId="5559A886">
            <w:pPr>
              <w:pStyle w:val="72"/>
              <w:adjustRightInd w:val="0"/>
              <w:snapToGrid w:val="0"/>
              <w:rPr>
                <w:rFonts w:hint="eastAsia" w:ascii="Times New Roman" w:hAnsi="Times New Roman" w:eastAsia="宋体" w:cs="Times New Roman"/>
                <w:snapToGrid w:val="0"/>
                <w:color w:val="auto"/>
                <w:kern w:val="0"/>
                <w:szCs w:val="24"/>
              </w:rPr>
            </w:pPr>
            <w:r>
              <w:rPr>
                <w:rFonts w:hint="eastAsia" w:ascii="Times New Roman" w:hAnsi="Times New Roman" w:eastAsia="宋体" w:cs="Times New Roman"/>
                <w:snapToGrid w:val="0"/>
                <w:color w:val="auto"/>
                <w:kern w:val="0"/>
                <w:szCs w:val="24"/>
              </w:rPr>
              <w:t>应急响应：发现发生泄漏后，应立即将泄漏设施内的物料转移至其他包装完好的容器中并进行紧急处置；及时向生态环境主管部门报告，随时就应急处置工作接受监督检查。</w:t>
            </w:r>
          </w:p>
          <w:p w14:paraId="5685C29E">
            <w:pPr>
              <w:pStyle w:val="72"/>
              <w:adjustRightInd w:val="0"/>
              <w:snapToGrid w:val="0"/>
              <w:rPr>
                <w:rFonts w:hint="eastAsia" w:ascii="Times New Roman" w:hAnsi="Times New Roman" w:eastAsia="宋体" w:cs="Times New Roman"/>
                <w:snapToGrid w:val="0"/>
                <w:color w:val="auto"/>
                <w:kern w:val="0"/>
                <w:szCs w:val="24"/>
              </w:rPr>
            </w:pPr>
            <w:r>
              <w:rPr>
                <w:rFonts w:hint="eastAsia" w:ascii="Times New Roman" w:hAnsi="Times New Roman" w:eastAsia="宋体" w:cs="Times New Roman"/>
                <w:snapToGrid w:val="0"/>
                <w:color w:val="auto"/>
                <w:kern w:val="0"/>
                <w:szCs w:val="24"/>
              </w:rPr>
              <w:t>经采取这些措施后，项目运营后不会对土壤及地下水环境产生影响</w:t>
            </w:r>
            <w:r>
              <w:rPr>
                <w:rFonts w:hint="eastAsia" w:ascii="Times New Roman" w:hAnsi="Times New Roman" w:eastAsia="宋体" w:cs="Times New Roman"/>
                <w:snapToGrid w:val="0"/>
                <w:color w:val="auto"/>
                <w:kern w:val="0"/>
                <w:szCs w:val="24"/>
                <w:lang w:eastAsia="zh-CN"/>
              </w:rPr>
              <w:t>，</w:t>
            </w:r>
            <w:r>
              <w:rPr>
                <w:rFonts w:hint="eastAsia" w:ascii="Times New Roman" w:hAnsi="Times New Roman" w:eastAsia="宋体" w:cs="Times New Roman"/>
                <w:snapToGrid w:val="0"/>
                <w:color w:val="auto"/>
                <w:kern w:val="0"/>
                <w:szCs w:val="24"/>
                <w:lang w:val="en-US" w:eastAsia="zh-CN"/>
              </w:rPr>
              <w:t>对</w:t>
            </w:r>
            <w:r>
              <w:rPr>
                <w:rFonts w:hint="eastAsia" w:hAnsi="Times New Roman" w:cs="Times New Roman"/>
                <w:snapToGrid w:val="0"/>
                <w:color w:val="auto"/>
                <w:kern w:val="0"/>
                <w:szCs w:val="24"/>
                <w:lang w:val="en-US" w:eastAsia="zh-CN"/>
              </w:rPr>
              <w:t>外</w:t>
            </w:r>
            <w:r>
              <w:rPr>
                <w:rFonts w:hint="eastAsia" w:ascii="Times New Roman" w:hAnsi="Times New Roman" w:eastAsia="宋体" w:cs="Times New Roman"/>
                <w:snapToGrid w:val="0"/>
                <w:color w:val="auto"/>
                <w:kern w:val="0"/>
                <w:szCs w:val="24"/>
                <w:lang w:val="en-US" w:eastAsia="zh-CN"/>
              </w:rPr>
              <w:t>环境影响较小</w:t>
            </w:r>
            <w:r>
              <w:rPr>
                <w:rFonts w:hint="eastAsia" w:ascii="Times New Roman" w:hAnsi="Times New Roman" w:eastAsia="宋体" w:cs="Times New Roman"/>
                <w:snapToGrid w:val="0"/>
                <w:color w:val="auto"/>
                <w:kern w:val="0"/>
                <w:szCs w:val="24"/>
              </w:rPr>
              <w:t>。</w:t>
            </w:r>
          </w:p>
          <w:p w14:paraId="0478FEB9">
            <w:pPr>
              <w:spacing w:line="360" w:lineRule="auto"/>
              <w:ind w:firstLine="482" w:firstLineChars="200"/>
              <w:rPr>
                <w:b/>
                <w:bCs/>
                <w:color w:val="auto"/>
                <w:sz w:val="24"/>
              </w:rPr>
            </w:pPr>
            <w:r>
              <w:rPr>
                <w:rFonts w:hint="eastAsia"/>
                <w:b/>
                <w:bCs/>
                <w:color w:val="auto"/>
                <w:sz w:val="24"/>
              </w:rPr>
              <w:t>6、环境风险</w:t>
            </w:r>
          </w:p>
          <w:p w14:paraId="6F7C521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bCs/>
                <w:color w:val="auto"/>
                <w:sz w:val="24"/>
              </w:rPr>
            </w:pPr>
            <w:r>
              <w:rPr>
                <w:bCs/>
                <w:color w:val="auto"/>
                <w:sz w:val="24"/>
              </w:rPr>
              <w:t>（1）</w:t>
            </w:r>
            <w:r>
              <w:rPr>
                <w:rFonts w:hint="eastAsia"/>
                <w:bCs/>
                <w:color w:val="auto"/>
                <w:sz w:val="24"/>
              </w:rPr>
              <w:t>风险源分布</w:t>
            </w:r>
          </w:p>
          <w:p w14:paraId="5A2624C3">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eastAsia="宋体"/>
                <w:bCs/>
                <w:color w:val="auto"/>
                <w:sz w:val="24"/>
                <w:lang w:val="en-US" w:eastAsia="zh-CN"/>
              </w:rPr>
            </w:pPr>
            <w:r>
              <w:rPr>
                <w:rFonts w:hint="eastAsia"/>
                <w:bCs/>
                <w:color w:val="auto"/>
                <w:sz w:val="24"/>
                <w:lang w:val="en-US" w:eastAsia="zh-CN"/>
              </w:rPr>
              <w:t>企业已编制《理行汽车销售服务（西安）有限公司第十八分公司突发环境事件应急预案》（备案编号为610163-2024-040-L），</w:t>
            </w:r>
            <w:r>
              <w:rPr>
                <w:bCs/>
                <w:color w:val="auto"/>
                <w:sz w:val="24"/>
              </w:rPr>
              <w:t>根据</w:t>
            </w:r>
            <w:r>
              <w:rPr>
                <w:rFonts w:hint="eastAsia"/>
                <w:bCs/>
                <w:color w:val="auto"/>
                <w:sz w:val="24"/>
                <w:lang w:val="en-US" w:eastAsia="zh-CN"/>
              </w:rPr>
              <w:t>企业突发环境事件应急预案，本项目风险源主要存在于东侧配件库、危废贮存库1#、危废贮存库2#。</w:t>
            </w:r>
          </w:p>
          <w:p w14:paraId="277CA22A">
            <w:pPr>
              <w:spacing w:line="360" w:lineRule="auto"/>
              <w:ind w:firstLine="480" w:firstLineChars="200"/>
              <w:rPr>
                <w:color w:val="auto"/>
                <w:sz w:val="24"/>
              </w:rPr>
            </w:pPr>
            <w:r>
              <w:rPr>
                <w:rFonts w:hint="eastAsia"/>
                <w:color w:val="auto"/>
                <w:sz w:val="24"/>
              </w:rPr>
              <w:t>（2）环境风险分析</w:t>
            </w:r>
          </w:p>
          <w:p w14:paraId="44AE2987">
            <w:pPr>
              <w:adjustRightInd w:val="0"/>
              <w:snapToGrid w:val="0"/>
              <w:spacing w:line="360" w:lineRule="auto"/>
              <w:ind w:firstLine="480" w:firstLineChars="200"/>
              <w:rPr>
                <w:rFonts w:hint="eastAsia"/>
                <w:color w:val="auto"/>
                <w:sz w:val="24"/>
              </w:rPr>
            </w:pPr>
            <w:r>
              <w:rPr>
                <w:rFonts w:hint="eastAsia"/>
                <w:color w:val="auto"/>
                <w:sz w:val="24"/>
              </w:rPr>
              <w:t>①机油、刹车油、变速箱油、多功能防锈润滑剂和废矿物油泄漏，可能会污染所在地的土壤环境和水环境。</w:t>
            </w:r>
          </w:p>
          <w:p w14:paraId="402F9A4D">
            <w:pPr>
              <w:adjustRightInd w:val="0"/>
              <w:snapToGrid w:val="0"/>
              <w:spacing w:line="360" w:lineRule="auto"/>
              <w:ind w:firstLine="480" w:firstLineChars="200"/>
              <w:rPr>
                <w:rFonts w:hint="eastAsia"/>
                <w:color w:val="auto"/>
                <w:sz w:val="24"/>
              </w:rPr>
            </w:pPr>
            <w:r>
              <w:rPr>
                <w:rFonts w:hint="eastAsia"/>
                <w:color w:val="auto"/>
                <w:sz w:val="24"/>
              </w:rPr>
              <w:t>②油类物质泄漏后遇明火或高温高压后燃烧产生的次生大气污染物。风险物质泄漏后，遇明火或高温高压燃烧或爆炸后产生的烟尘、一氧化碳、氮氧化物等次生大气污染物</w:t>
            </w:r>
            <w:r>
              <w:rPr>
                <w:rFonts w:hint="eastAsia"/>
                <w:color w:val="auto"/>
                <w:sz w:val="24"/>
                <w:lang w:eastAsia="zh-CN"/>
              </w:rPr>
              <w:t>，</w:t>
            </w:r>
            <w:r>
              <w:rPr>
                <w:rFonts w:hint="eastAsia"/>
                <w:color w:val="auto"/>
                <w:sz w:val="24"/>
              </w:rPr>
              <w:t>对周围环境空气会产生一定的影响。</w:t>
            </w:r>
          </w:p>
          <w:p w14:paraId="46921753">
            <w:pPr>
              <w:adjustRightInd w:val="0"/>
              <w:snapToGrid w:val="0"/>
              <w:spacing w:line="360" w:lineRule="auto"/>
              <w:ind w:firstLine="480" w:firstLineChars="200"/>
              <w:rPr>
                <w:rFonts w:hint="eastAsia"/>
                <w:color w:val="auto"/>
                <w:sz w:val="24"/>
                <w:lang w:eastAsia="zh-CN"/>
              </w:rPr>
            </w:pPr>
            <w:r>
              <w:rPr>
                <w:rFonts w:hint="eastAsia"/>
                <w:color w:val="auto"/>
                <w:sz w:val="24"/>
                <w:lang w:val="en-US" w:eastAsia="zh-CN"/>
              </w:rPr>
              <w:t>③</w:t>
            </w:r>
            <w:r>
              <w:rPr>
                <w:rFonts w:hint="eastAsia"/>
                <w:color w:val="auto"/>
                <w:sz w:val="24"/>
              </w:rPr>
              <w:t>废气治理设施故障情况下会造成废气非正常排放</w:t>
            </w:r>
            <w:r>
              <w:rPr>
                <w:rFonts w:hint="eastAsia"/>
                <w:color w:val="auto"/>
                <w:sz w:val="24"/>
                <w:lang w:eastAsia="zh-CN"/>
              </w:rPr>
              <w:t>。</w:t>
            </w:r>
          </w:p>
          <w:p w14:paraId="1E72BBEA">
            <w:pPr>
              <w:adjustRightInd w:val="0"/>
              <w:snapToGrid w:val="0"/>
              <w:spacing w:line="360" w:lineRule="auto"/>
              <w:ind w:firstLine="480" w:firstLineChars="200"/>
              <w:rPr>
                <w:rFonts w:hint="default" w:eastAsia="宋体"/>
                <w:color w:val="auto"/>
                <w:sz w:val="24"/>
                <w:lang w:val="en-US" w:eastAsia="zh-CN"/>
              </w:rPr>
            </w:pPr>
            <w:r>
              <w:rPr>
                <w:rFonts w:hint="eastAsia"/>
                <w:color w:val="auto"/>
                <w:sz w:val="24"/>
                <w:lang w:val="en-US" w:eastAsia="zh-CN"/>
              </w:rPr>
              <w:t>④危险废物泄露或未及时交有资质单位处置。</w:t>
            </w:r>
          </w:p>
          <w:p w14:paraId="5A85229B">
            <w:pPr>
              <w:pStyle w:val="71"/>
              <w:snapToGrid w:val="0"/>
              <w:spacing w:line="360" w:lineRule="auto"/>
              <w:ind w:left="0" w:right="0" w:firstLine="480" w:firstLineChars="200"/>
              <w:contextualSpacing/>
              <w:jc w:val="both"/>
              <w:rPr>
                <w:color w:val="auto"/>
              </w:rPr>
            </w:pPr>
            <w:r>
              <w:rPr>
                <w:rFonts w:hint="eastAsia"/>
                <w:color w:val="auto"/>
              </w:rPr>
              <w:t>（3）</w:t>
            </w:r>
            <w:r>
              <w:rPr>
                <w:color w:val="auto"/>
              </w:rPr>
              <w:t>环境风险防范措施</w:t>
            </w:r>
            <w:r>
              <w:rPr>
                <w:rFonts w:hint="eastAsia"/>
                <w:color w:val="auto"/>
              </w:rPr>
              <w:t>及应急要求</w:t>
            </w:r>
          </w:p>
          <w:p w14:paraId="7AF737A5">
            <w:pPr>
              <w:adjustRightInd w:val="0"/>
              <w:snapToGrid w:val="0"/>
              <w:spacing w:line="360" w:lineRule="auto"/>
              <w:ind w:firstLine="480" w:firstLineChars="200"/>
              <w:rPr>
                <w:rFonts w:hint="eastAsia"/>
                <w:color w:val="auto"/>
                <w:sz w:val="24"/>
              </w:rPr>
            </w:pPr>
            <w:r>
              <w:rPr>
                <w:rFonts w:hint="eastAsia"/>
                <w:color w:val="auto"/>
                <w:sz w:val="24"/>
                <w:lang w:val="en-US" w:eastAsia="zh-CN"/>
              </w:rPr>
              <w:t>根据企业突发环境事件应急预案，</w:t>
            </w:r>
            <w:r>
              <w:rPr>
                <w:rFonts w:hint="eastAsia"/>
                <w:color w:val="auto"/>
                <w:sz w:val="24"/>
              </w:rPr>
              <w:t>本项目已采取环境风险防范措施如下：</w:t>
            </w:r>
          </w:p>
          <w:p w14:paraId="12FF9677">
            <w:pPr>
              <w:adjustRightInd w:val="0"/>
              <w:snapToGrid w:val="0"/>
              <w:spacing w:line="360" w:lineRule="auto"/>
              <w:ind w:firstLine="480" w:firstLineChars="200"/>
              <w:rPr>
                <w:rFonts w:hint="eastAsia"/>
                <w:color w:val="auto"/>
                <w:sz w:val="24"/>
              </w:rPr>
            </w:pPr>
            <w:r>
              <w:rPr>
                <w:rFonts w:hint="eastAsia"/>
                <w:color w:val="auto"/>
                <w:sz w:val="24"/>
                <w:lang w:val="en-US" w:eastAsia="zh-CN"/>
              </w:rPr>
              <w:t>①</w:t>
            </w:r>
            <w:r>
              <w:rPr>
                <w:rFonts w:hint="eastAsia"/>
                <w:color w:val="auto"/>
                <w:sz w:val="24"/>
              </w:rPr>
              <w:t>定期组织环境安全检查工作，各部门以自查为主，互查为辅，实时监控对环境可能构成危害的风险源。</w:t>
            </w:r>
          </w:p>
          <w:p w14:paraId="43388D1C">
            <w:pPr>
              <w:adjustRightInd w:val="0"/>
              <w:snapToGrid w:val="0"/>
              <w:spacing w:line="360" w:lineRule="auto"/>
              <w:ind w:firstLine="480" w:firstLineChars="200"/>
              <w:rPr>
                <w:rFonts w:hint="eastAsia"/>
                <w:color w:val="auto"/>
                <w:sz w:val="24"/>
              </w:rPr>
            </w:pPr>
            <w:r>
              <w:rPr>
                <w:rFonts w:hint="eastAsia"/>
                <w:color w:val="auto"/>
                <w:sz w:val="24"/>
                <w:lang w:val="en-US" w:eastAsia="zh-CN"/>
              </w:rPr>
              <w:t>②</w:t>
            </w:r>
            <w:r>
              <w:rPr>
                <w:rFonts w:hint="eastAsia"/>
                <w:color w:val="auto"/>
                <w:sz w:val="24"/>
              </w:rPr>
              <w:t>定期对职工开展环境风险和环境应急知识的宣传和培训。</w:t>
            </w:r>
          </w:p>
          <w:p w14:paraId="23819F0C">
            <w:pPr>
              <w:adjustRightInd w:val="0"/>
              <w:snapToGrid w:val="0"/>
              <w:spacing w:line="360" w:lineRule="auto"/>
              <w:ind w:firstLine="480" w:firstLineChars="200"/>
              <w:rPr>
                <w:rFonts w:hint="eastAsia"/>
                <w:color w:val="auto"/>
                <w:sz w:val="24"/>
              </w:rPr>
            </w:pPr>
            <w:r>
              <w:rPr>
                <w:rFonts w:hint="eastAsia"/>
                <w:color w:val="auto"/>
                <w:sz w:val="24"/>
                <w:lang w:val="en-US" w:eastAsia="zh-CN"/>
              </w:rPr>
              <w:t>③</w:t>
            </w:r>
            <w:r>
              <w:rPr>
                <w:rFonts w:hint="eastAsia"/>
                <w:color w:val="auto"/>
                <w:sz w:val="24"/>
              </w:rPr>
              <w:t>定期对设备进行维护和检修。</w:t>
            </w:r>
          </w:p>
          <w:p w14:paraId="4D07A968">
            <w:pPr>
              <w:adjustRightInd w:val="0"/>
              <w:snapToGrid w:val="0"/>
              <w:spacing w:line="360" w:lineRule="auto"/>
              <w:ind w:firstLine="480" w:firstLineChars="200"/>
              <w:rPr>
                <w:rFonts w:hint="eastAsia"/>
                <w:color w:val="auto"/>
                <w:sz w:val="24"/>
              </w:rPr>
            </w:pPr>
            <w:r>
              <w:rPr>
                <w:rFonts w:hint="eastAsia"/>
                <w:color w:val="auto"/>
                <w:sz w:val="24"/>
                <w:lang w:val="en-US" w:eastAsia="zh-CN"/>
              </w:rPr>
              <w:t>④</w:t>
            </w:r>
            <w:r>
              <w:rPr>
                <w:rFonts w:hint="eastAsia"/>
                <w:color w:val="auto"/>
                <w:sz w:val="24"/>
              </w:rPr>
              <w:t>配置灭火器，发生火灾时防止火势蔓延</w:t>
            </w:r>
            <w:r>
              <w:rPr>
                <w:rFonts w:hint="eastAsia"/>
                <w:color w:val="auto"/>
                <w:sz w:val="24"/>
                <w:lang w:eastAsia="zh-CN"/>
              </w:rPr>
              <w:t>，</w:t>
            </w:r>
            <w:r>
              <w:rPr>
                <w:rFonts w:hint="eastAsia"/>
                <w:color w:val="auto"/>
                <w:sz w:val="24"/>
              </w:rPr>
              <w:t>消防器材设置在明显和便于取用的地点，周围无堆放物品和杂物。</w:t>
            </w:r>
          </w:p>
          <w:p w14:paraId="5955D50E">
            <w:pPr>
              <w:adjustRightInd w:val="0"/>
              <w:snapToGrid w:val="0"/>
              <w:spacing w:line="360" w:lineRule="auto"/>
              <w:ind w:firstLine="480" w:firstLineChars="200"/>
              <w:rPr>
                <w:rFonts w:hint="eastAsia" w:eastAsia="宋体"/>
                <w:color w:val="auto"/>
                <w:sz w:val="24"/>
                <w:lang w:eastAsia="zh-CN"/>
              </w:rPr>
            </w:pPr>
            <w:r>
              <w:rPr>
                <w:rFonts w:hint="eastAsia" w:ascii="宋体" w:hAnsi="宋体" w:cs="宋体"/>
                <w:color w:val="auto"/>
                <w:sz w:val="24"/>
              </w:rPr>
              <w:t>⑤</w:t>
            </w:r>
            <w:r>
              <w:rPr>
                <w:rFonts w:hint="eastAsia"/>
                <w:color w:val="auto"/>
                <w:sz w:val="24"/>
              </w:rPr>
              <w:t>危险废物处理处置严格按照国家规定贮存、转移、处置</w:t>
            </w:r>
            <w:r>
              <w:rPr>
                <w:rFonts w:hint="eastAsia"/>
                <w:color w:val="auto"/>
                <w:sz w:val="24"/>
                <w:lang w:eastAsia="zh-CN"/>
              </w:rPr>
              <w:t>。</w:t>
            </w:r>
          </w:p>
          <w:p w14:paraId="22CF0210">
            <w:pPr>
              <w:adjustRightInd w:val="0"/>
              <w:snapToGrid w:val="0"/>
              <w:spacing w:line="360" w:lineRule="auto"/>
              <w:ind w:firstLine="480" w:firstLineChars="200"/>
              <w:rPr>
                <w:rFonts w:hint="eastAsia" w:eastAsia="宋体"/>
                <w:color w:val="auto"/>
                <w:sz w:val="24"/>
                <w:lang w:eastAsia="zh-CN"/>
              </w:rPr>
            </w:pPr>
            <w:r>
              <w:rPr>
                <w:rFonts w:hint="eastAsia"/>
                <w:bCs/>
                <w:color w:val="auto"/>
                <w:sz w:val="24"/>
              </w:rPr>
              <w:t>⑥</w:t>
            </w:r>
            <w:r>
              <w:rPr>
                <w:rFonts w:hint="eastAsia"/>
                <w:color w:val="auto"/>
                <w:sz w:val="24"/>
              </w:rPr>
              <w:t>发生突发环境事件后进行相应的应急处置，尽可能缩小污染范围</w:t>
            </w:r>
            <w:r>
              <w:rPr>
                <w:rFonts w:hint="eastAsia"/>
                <w:color w:val="auto"/>
                <w:sz w:val="24"/>
                <w:lang w:eastAsia="zh-CN"/>
              </w:rPr>
              <w:t>。</w:t>
            </w:r>
          </w:p>
          <w:p w14:paraId="65B0FBD9">
            <w:pPr>
              <w:adjustRightInd w:val="0"/>
              <w:snapToGrid w:val="0"/>
              <w:spacing w:line="360" w:lineRule="auto"/>
              <w:ind w:firstLine="480" w:firstLineChars="200"/>
              <w:rPr>
                <w:color w:val="auto"/>
                <w:sz w:val="24"/>
              </w:rPr>
            </w:pPr>
            <w:r>
              <w:rPr>
                <w:rFonts w:hint="eastAsia"/>
                <w:color w:val="auto"/>
                <w:sz w:val="24"/>
              </w:rPr>
              <w:t>（</w:t>
            </w:r>
            <w:r>
              <w:rPr>
                <w:rFonts w:hint="eastAsia"/>
                <w:color w:val="auto"/>
                <w:sz w:val="24"/>
                <w:lang w:val="en-US" w:eastAsia="zh-CN"/>
              </w:rPr>
              <w:t>4</w:t>
            </w:r>
            <w:r>
              <w:rPr>
                <w:rFonts w:hint="eastAsia"/>
                <w:color w:val="auto"/>
                <w:sz w:val="24"/>
              </w:rPr>
              <w:t>）分析结论</w:t>
            </w:r>
          </w:p>
          <w:p w14:paraId="65D5C680">
            <w:pPr>
              <w:widowControl/>
              <w:spacing w:line="360" w:lineRule="auto"/>
              <w:ind w:firstLine="480" w:firstLineChars="200"/>
              <w:rPr>
                <w:color w:val="auto"/>
                <w:sz w:val="24"/>
              </w:rPr>
            </w:pPr>
            <w:r>
              <w:rPr>
                <w:color w:val="auto"/>
                <w:sz w:val="24"/>
              </w:rPr>
              <w:t>通过采取以上环境风险防范措施，本项目环境风险能够控制在可接受范围之内。</w:t>
            </w:r>
          </w:p>
          <w:p w14:paraId="56B4611C">
            <w:pPr>
              <w:widowControl/>
              <w:spacing w:line="360" w:lineRule="auto"/>
              <w:ind w:firstLine="482" w:firstLineChars="200"/>
              <w:rPr>
                <w:b/>
                <w:bCs/>
                <w:color w:val="auto"/>
                <w:sz w:val="24"/>
              </w:rPr>
            </w:pPr>
            <w:r>
              <w:rPr>
                <w:rFonts w:hint="eastAsia"/>
                <w:b/>
                <w:bCs/>
                <w:color w:val="auto"/>
                <w:sz w:val="24"/>
                <w:lang w:val="en-US" w:eastAsia="zh-CN"/>
              </w:rPr>
              <w:t>7</w:t>
            </w:r>
            <w:r>
              <w:rPr>
                <w:rFonts w:hint="eastAsia"/>
                <w:b/>
                <w:bCs/>
                <w:color w:val="auto"/>
                <w:sz w:val="24"/>
              </w:rPr>
              <w:t>、环保投资</w:t>
            </w:r>
          </w:p>
          <w:p w14:paraId="2AF1EF5A">
            <w:pPr>
              <w:pStyle w:val="6"/>
              <w:ind w:firstLine="0"/>
              <w:jc w:val="center"/>
              <w:rPr>
                <w:b/>
                <w:bCs/>
                <w:color w:val="auto"/>
                <w:szCs w:val="24"/>
              </w:rPr>
            </w:pPr>
            <w:r>
              <w:rPr>
                <w:b/>
                <w:bCs/>
                <w:color w:val="auto"/>
                <w:szCs w:val="24"/>
              </w:rPr>
              <w:t>表</w:t>
            </w:r>
            <w:r>
              <w:rPr>
                <w:rFonts w:hint="eastAsia"/>
                <w:b/>
                <w:bCs/>
                <w:color w:val="auto"/>
                <w:szCs w:val="24"/>
              </w:rPr>
              <w:t>4-1</w:t>
            </w:r>
            <w:r>
              <w:rPr>
                <w:rFonts w:hint="eastAsia"/>
                <w:b/>
                <w:bCs/>
                <w:color w:val="auto"/>
                <w:szCs w:val="24"/>
                <w:lang w:val="en-US" w:eastAsia="zh-CN"/>
              </w:rPr>
              <w:t>5</w:t>
            </w:r>
            <w:r>
              <w:rPr>
                <w:b/>
                <w:bCs/>
                <w:color w:val="auto"/>
                <w:szCs w:val="24"/>
              </w:rPr>
              <w:t xml:space="preserve">  环保投资一览表</w:t>
            </w:r>
          </w:p>
          <w:tbl>
            <w:tblPr>
              <w:tblStyle w:val="25"/>
              <w:tblW w:w="5049" w:type="pct"/>
              <w:jc w:val="center"/>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1"/>
              <w:gridCol w:w="1154"/>
              <w:gridCol w:w="3839"/>
              <w:gridCol w:w="836"/>
              <w:gridCol w:w="1515"/>
            </w:tblGrid>
            <w:tr w14:paraId="7AE36F57">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4" w:type="pct"/>
                  <w:noWrap w:val="0"/>
                  <w:vAlign w:val="center"/>
                </w:tcPr>
                <w:p w14:paraId="04605399">
                  <w:pPr>
                    <w:jc w:val="center"/>
                    <w:rPr>
                      <w:rFonts w:hint="eastAsia"/>
                      <w:b/>
                      <w:bCs/>
                      <w:color w:val="auto"/>
                      <w:szCs w:val="21"/>
                    </w:rPr>
                  </w:pPr>
                  <w:r>
                    <w:rPr>
                      <w:rFonts w:hint="eastAsia"/>
                      <w:b/>
                      <w:bCs/>
                      <w:color w:val="auto"/>
                      <w:szCs w:val="21"/>
                    </w:rPr>
                    <w:t>序号</w:t>
                  </w:r>
                </w:p>
              </w:tc>
              <w:tc>
                <w:tcPr>
                  <w:tcW w:w="719" w:type="pct"/>
                  <w:noWrap w:val="0"/>
                  <w:vAlign w:val="center"/>
                </w:tcPr>
                <w:p w14:paraId="442F6274">
                  <w:pPr>
                    <w:jc w:val="center"/>
                    <w:rPr>
                      <w:b/>
                      <w:bCs/>
                      <w:color w:val="auto"/>
                      <w:szCs w:val="21"/>
                    </w:rPr>
                  </w:pPr>
                  <w:r>
                    <w:rPr>
                      <w:b/>
                      <w:bCs/>
                      <w:color w:val="auto"/>
                      <w:szCs w:val="21"/>
                    </w:rPr>
                    <w:t>污染种类</w:t>
                  </w:r>
                </w:p>
              </w:tc>
              <w:tc>
                <w:tcPr>
                  <w:tcW w:w="2391" w:type="pct"/>
                  <w:noWrap w:val="0"/>
                  <w:vAlign w:val="center"/>
                </w:tcPr>
                <w:p w14:paraId="6DE723C8">
                  <w:pPr>
                    <w:jc w:val="center"/>
                    <w:rPr>
                      <w:b/>
                      <w:bCs/>
                      <w:color w:val="auto"/>
                      <w:szCs w:val="21"/>
                    </w:rPr>
                  </w:pPr>
                  <w:r>
                    <w:rPr>
                      <w:b/>
                      <w:bCs/>
                      <w:color w:val="auto"/>
                      <w:szCs w:val="21"/>
                    </w:rPr>
                    <w:t>设施名称</w:t>
                  </w:r>
                </w:p>
              </w:tc>
              <w:tc>
                <w:tcPr>
                  <w:tcW w:w="520" w:type="pct"/>
                  <w:noWrap w:val="0"/>
                  <w:vAlign w:val="center"/>
                </w:tcPr>
                <w:p w14:paraId="586E33FF">
                  <w:pPr>
                    <w:jc w:val="center"/>
                    <w:rPr>
                      <w:b/>
                      <w:bCs/>
                      <w:color w:val="auto"/>
                      <w:szCs w:val="21"/>
                    </w:rPr>
                  </w:pPr>
                  <w:r>
                    <w:rPr>
                      <w:b/>
                      <w:bCs/>
                      <w:color w:val="auto"/>
                      <w:szCs w:val="21"/>
                    </w:rPr>
                    <w:t>数量</w:t>
                  </w:r>
                </w:p>
              </w:tc>
              <w:tc>
                <w:tcPr>
                  <w:tcW w:w="943" w:type="pct"/>
                  <w:noWrap w:val="0"/>
                  <w:vAlign w:val="center"/>
                </w:tcPr>
                <w:p w14:paraId="57D6F7FE">
                  <w:pPr>
                    <w:ind w:left="-105" w:leftChars="-50" w:right="-105" w:rightChars="-50"/>
                    <w:jc w:val="center"/>
                    <w:rPr>
                      <w:b/>
                      <w:bCs/>
                      <w:color w:val="auto"/>
                      <w:szCs w:val="21"/>
                    </w:rPr>
                  </w:pPr>
                  <w:r>
                    <w:rPr>
                      <w:b/>
                      <w:bCs/>
                      <w:color w:val="auto"/>
                      <w:szCs w:val="21"/>
                    </w:rPr>
                    <w:t>投资（万元）</w:t>
                  </w:r>
                </w:p>
              </w:tc>
            </w:tr>
            <w:tr w14:paraId="44D061A4">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4" w:type="pct"/>
                  <w:noWrap w:val="0"/>
                  <w:vAlign w:val="center"/>
                </w:tcPr>
                <w:p w14:paraId="19CA323F">
                  <w:pPr>
                    <w:adjustRightInd w:val="0"/>
                    <w:snapToGrid w:val="0"/>
                    <w:jc w:val="center"/>
                    <w:rPr>
                      <w:color w:val="auto"/>
                      <w:szCs w:val="21"/>
                    </w:rPr>
                  </w:pPr>
                  <w:r>
                    <w:rPr>
                      <w:rFonts w:hint="eastAsia"/>
                      <w:color w:val="auto"/>
                      <w:szCs w:val="21"/>
                    </w:rPr>
                    <w:t>1</w:t>
                  </w:r>
                </w:p>
              </w:tc>
              <w:tc>
                <w:tcPr>
                  <w:tcW w:w="719" w:type="pct"/>
                  <w:vMerge w:val="restart"/>
                  <w:noWrap w:val="0"/>
                  <w:vAlign w:val="center"/>
                </w:tcPr>
                <w:p w14:paraId="1D2F2011">
                  <w:pPr>
                    <w:adjustRightInd w:val="0"/>
                    <w:snapToGrid w:val="0"/>
                    <w:jc w:val="center"/>
                    <w:rPr>
                      <w:rFonts w:hint="eastAsia"/>
                      <w:color w:val="auto"/>
                      <w:szCs w:val="21"/>
                    </w:rPr>
                  </w:pPr>
                  <w:r>
                    <w:rPr>
                      <w:rFonts w:hint="eastAsia"/>
                      <w:color w:val="auto"/>
                      <w:szCs w:val="21"/>
                    </w:rPr>
                    <w:t>废气</w:t>
                  </w:r>
                </w:p>
              </w:tc>
              <w:tc>
                <w:tcPr>
                  <w:tcW w:w="2391" w:type="pct"/>
                  <w:noWrap w:val="0"/>
                  <w:vAlign w:val="center"/>
                </w:tcPr>
                <w:p w14:paraId="2E1EB79D">
                  <w:pPr>
                    <w:adjustRightInd w:val="0"/>
                    <w:snapToGrid w:val="0"/>
                    <w:jc w:val="center"/>
                    <w:rPr>
                      <w:rFonts w:hint="default" w:eastAsia="宋体"/>
                      <w:bCs/>
                      <w:color w:val="auto"/>
                      <w:szCs w:val="21"/>
                      <w:lang w:val="en-US" w:eastAsia="zh-CN"/>
                    </w:rPr>
                  </w:pPr>
                  <w:r>
                    <w:rPr>
                      <w:rFonts w:hint="eastAsia"/>
                      <w:bCs/>
                      <w:color w:val="auto"/>
                      <w:szCs w:val="21"/>
                      <w:lang w:val="en-US" w:eastAsia="zh-CN"/>
                    </w:rPr>
                    <w:t>过滤棉+二级活性炭+排气筒</w:t>
                  </w:r>
                </w:p>
              </w:tc>
              <w:tc>
                <w:tcPr>
                  <w:tcW w:w="520" w:type="pct"/>
                  <w:noWrap w:val="0"/>
                  <w:vAlign w:val="center"/>
                </w:tcPr>
                <w:p w14:paraId="33625734">
                  <w:pPr>
                    <w:adjustRightInd w:val="0"/>
                    <w:snapToGrid w:val="0"/>
                    <w:jc w:val="center"/>
                    <w:rPr>
                      <w:rFonts w:hint="eastAsia"/>
                      <w:color w:val="auto"/>
                      <w:szCs w:val="21"/>
                    </w:rPr>
                  </w:pPr>
                  <w:r>
                    <w:rPr>
                      <w:rFonts w:hint="eastAsia"/>
                      <w:color w:val="auto"/>
                      <w:szCs w:val="21"/>
                      <w:lang w:val="en-US" w:eastAsia="zh-CN"/>
                    </w:rPr>
                    <w:t>4</w:t>
                  </w:r>
                  <w:r>
                    <w:rPr>
                      <w:rFonts w:hint="eastAsia"/>
                      <w:color w:val="auto"/>
                    </w:rPr>
                    <w:t>套</w:t>
                  </w:r>
                </w:p>
              </w:tc>
              <w:tc>
                <w:tcPr>
                  <w:tcW w:w="943" w:type="pct"/>
                  <w:noWrap w:val="0"/>
                  <w:vAlign w:val="center"/>
                </w:tcPr>
                <w:p w14:paraId="621E3F6A">
                  <w:pPr>
                    <w:adjustRightInd w:val="0"/>
                    <w:snapToGrid w:val="0"/>
                    <w:jc w:val="center"/>
                    <w:rPr>
                      <w:color w:val="auto"/>
                      <w:szCs w:val="21"/>
                    </w:rPr>
                  </w:pPr>
                  <w:r>
                    <w:rPr>
                      <w:rFonts w:hint="eastAsia"/>
                      <w:color w:val="auto"/>
                      <w:szCs w:val="21"/>
                      <w:lang w:val="en-US" w:eastAsia="zh-CN"/>
                    </w:rPr>
                    <w:t>40</w:t>
                  </w:r>
                  <w:r>
                    <w:rPr>
                      <w:rFonts w:hint="eastAsia"/>
                      <w:color w:val="auto"/>
                      <w:szCs w:val="21"/>
                    </w:rPr>
                    <w:t>.0</w:t>
                  </w:r>
                </w:p>
              </w:tc>
            </w:tr>
            <w:tr w14:paraId="6058D1C4">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4" w:type="pct"/>
                  <w:noWrap w:val="0"/>
                  <w:vAlign w:val="center"/>
                </w:tcPr>
                <w:p w14:paraId="496F5F34">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3</w:t>
                  </w:r>
                </w:p>
              </w:tc>
              <w:tc>
                <w:tcPr>
                  <w:tcW w:w="719" w:type="pct"/>
                  <w:vMerge w:val="continue"/>
                  <w:noWrap w:val="0"/>
                  <w:vAlign w:val="center"/>
                </w:tcPr>
                <w:p w14:paraId="731274EF">
                  <w:pPr>
                    <w:adjustRightInd w:val="0"/>
                    <w:snapToGrid w:val="0"/>
                    <w:jc w:val="center"/>
                    <w:rPr>
                      <w:rFonts w:hint="eastAsia"/>
                      <w:color w:val="auto"/>
                      <w:szCs w:val="21"/>
                    </w:rPr>
                  </w:pPr>
                </w:p>
              </w:tc>
              <w:tc>
                <w:tcPr>
                  <w:tcW w:w="2391" w:type="pct"/>
                  <w:noWrap w:val="0"/>
                  <w:vAlign w:val="center"/>
                </w:tcPr>
                <w:p w14:paraId="19FC22C5">
                  <w:pPr>
                    <w:adjustRightInd w:val="0"/>
                    <w:snapToGrid w:val="0"/>
                    <w:jc w:val="center"/>
                    <w:rPr>
                      <w:rFonts w:hint="default" w:eastAsia="宋体"/>
                      <w:bCs/>
                      <w:color w:val="auto"/>
                      <w:szCs w:val="21"/>
                      <w:lang w:val="en-US" w:eastAsia="zh-CN"/>
                    </w:rPr>
                  </w:pPr>
                  <w:r>
                    <w:rPr>
                      <w:rFonts w:hint="eastAsia"/>
                      <w:bCs/>
                      <w:color w:val="auto"/>
                      <w:szCs w:val="21"/>
                      <w:lang w:val="en-US" w:eastAsia="zh-CN"/>
                    </w:rPr>
                    <w:t>过滤棉+活性炭</w:t>
                  </w:r>
                </w:p>
              </w:tc>
              <w:tc>
                <w:tcPr>
                  <w:tcW w:w="520" w:type="pct"/>
                  <w:noWrap w:val="0"/>
                  <w:vAlign w:val="center"/>
                </w:tcPr>
                <w:p w14:paraId="5685938C">
                  <w:pPr>
                    <w:adjustRightInd w:val="0"/>
                    <w:snapToGrid w:val="0"/>
                    <w:jc w:val="center"/>
                    <w:rPr>
                      <w:rFonts w:hint="default" w:eastAsia="宋体"/>
                      <w:color w:val="auto"/>
                      <w:szCs w:val="21"/>
                      <w:lang w:val="en-US" w:eastAsia="zh-CN"/>
                    </w:rPr>
                  </w:pPr>
                  <w:r>
                    <w:rPr>
                      <w:rFonts w:hint="eastAsia"/>
                      <w:color w:val="auto"/>
                      <w:szCs w:val="21"/>
                      <w:lang w:val="en-US" w:eastAsia="zh-CN"/>
                    </w:rPr>
                    <w:t>2套</w:t>
                  </w:r>
                </w:p>
              </w:tc>
              <w:tc>
                <w:tcPr>
                  <w:tcW w:w="943" w:type="pct"/>
                  <w:noWrap w:val="0"/>
                  <w:vAlign w:val="center"/>
                </w:tcPr>
                <w:p w14:paraId="63088934">
                  <w:pPr>
                    <w:adjustRightInd w:val="0"/>
                    <w:snapToGrid w:val="0"/>
                    <w:jc w:val="center"/>
                    <w:rPr>
                      <w:rFonts w:hint="default" w:eastAsia="宋体"/>
                      <w:color w:val="auto"/>
                      <w:szCs w:val="21"/>
                      <w:lang w:val="en-US" w:eastAsia="zh-CN"/>
                    </w:rPr>
                  </w:pPr>
                  <w:r>
                    <w:rPr>
                      <w:rFonts w:hint="eastAsia"/>
                      <w:color w:val="auto"/>
                      <w:szCs w:val="21"/>
                      <w:lang w:val="en-US" w:eastAsia="zh-CN"/>
                    </w:rPr>
                    <w:t>10.0</w:t>
                  </w:r>
                </w:p>
              </w:tc>
            </w:tr>
            <w:tr w14:paraId="163D00DD">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4" w:type="pct"/>
                  <w:noWrap w:val="0"/>
                  <w:vAlign w:val="center"/>
                </w:tcPr>
                <w:p w14:paraId="146878AD">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4</w:t>
                  </w:r>
                </w:p>
              </w:tc>
              <w:tc>
                <w:tcPr>
                  <w:tcW w:w="719" w:type="pct"/>
                  <w:noWrap w:val="0"/>
                  <w:vAlign w:val="center"/>
                </w:tcPr>
                <w:p w14:paraId="10C3416D">
                  <w:pPr>
                    <w:adjustRightInd w:val="0"/>
                    <w:snapToGrid w:val="0"/>
                    <w:jc w:val="center"/>
                    <w:rPr>
                      <w:color w:val="auto"/>
                      <w:szCs w:val="21"/>
                    </w:rPr>
                  </w:pPr>
                  <w:r>
                    <w:rPr>
                      <w:color w:val="auto"/>
                      <w:szCs w:val="21"/>
                    </w:rPr>
                    <w:t>噪声</w:t>
                  </w:r>
                </w:p>
              </w:tc>
              <w:tc>
                <w:tcPr>
                  <w:tcW w:w="2391" w:type="pct"/>
                  <w:noWrap w:val="0"/>
                  <w:vAlign w:val="center"/>
                </w:tcPr>
                <w:p w14:paraId="7393B7EF">
                  <w:pPr>
                    <w:adjustRightInd w:val="0"/>
                    <w:snapToGrid w:val="0"/>
                    <w:jc w:val="center"/>
                    <w:rPr>
                      <w:color w:val="auto"/>
                      <w:szCs w:val="21"/>
                    </w:rPr>
                  </w:pPr>
                  <w:r>
                    <w:rPr>
                      <w:bCs/>
                      <w:color w:val="auto"/>
                      <w:szCs w:val="21"/>
                    </w:rPr>
                    <w:t>厂房隔声、加强设备保养</w:t>
                  </w:r>
                </w:p>
              </w:tc>
              <w:tc>
                <w:tcPr>
                  <w:tcW w:w="520" w:type="pct"/>
                  <w:noWrap w:val="0"/>
                  <w:vAlign w:val="center"/>
                </w:tcPr>
                <w:p w14:paraId="4D4D65BE">
                  <w:pPr>
                    <w:adjustRightInd w:val="0"/>
                    <w:snapToGrid w:val="0"/>
                    <w:jc w:val="center"/>
                    <w:rPr>
                      <w:color w:val="auto"/>
                      <w:szCs w:val="21"/>
                    </w:rPr>
                  </w:pPr>
                  <w:r>
                    <w:rPr>
                      <w:color w:val="auto"/>
                      <w:szCs w:val="21"/>
                    </w:rPr>
                    <w:t>/</w:t>
                  </w:r>
                </w:p>
              </w:tc>
              <w:tc>
                <w:tcPr>
                  <w:tcW w:w="943" w:type="pct"/>
                  <w:noWrap w:val="0"/>
                  <w:vAlign w:val="center"/>
                </w:tcPr>
                <w:p w14:paraId="69F40117">
                  <w:pPr>
                    <w:adjustRightInd w:val="0"/>
                    <w:snapToGrid w:val="0"/>
                    <w:jc w:val="center"/>
                    <w:rPr>
                      <w:color w:val="auto"/>
                      <w:szCs w:val="21"/>
                    </w:rPr>
                  </w:pPr>
                  <w:r>
                    <w:rPr>
                      <w:rFonts w:hint="eastAsia"/>
                      <w:color w:val="auto"/>
                      <w:szCs w:val="21"/>
                      <w:lang w:val="en-US" w:eastAsia="zh-CN"/>
                    </w:rPr>
                    <w:t>1</w:t>
                  </w:r>
                  <w:r>
                    <w:rPr>
                      <w:rFonts w:hint="eastAsia"/>
                      <w:color w:val="auto"/>
                      <w:szCs w:val="21"/>
                    </w:rPr>
                    <w:t>.0</w:t>
                  </w:r>
                </w:p>
              </w:tc>
            </w:tr>
            <w:tr w14:paraId="272057BE">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4" w:type="pct"/>
                  <w:noWrap w:val="0"/>
                  <w:vAlign w:val="center"/>
                </w:tcPr>
                <w:p w14:paraId="16958253">
                  <w:pPr>
                    <w:adjustRightInd w:val="0"/>
                    <w:snapToGrid w:val="0"/>
                    <w:jc w:val="center"/>
                    <w:rPr>
                      <w:rFonts w:hint="eastAsia" w:eastAsia="宋体"/>
                      <w:color w:val="auto"/>
                      <w:szCs w:val="21"/>
                      <w:lang w:val="en-US" w:eastAsia="zh-CN"/>
                    </w:rPr>
                  </w:pPr>
                  <w:r>
                    <w:rPr>
                      <w:rFonts w:hint="eastAsia"/>
                      <w:color w:val="auto"/>
                      <w:szCs w:val="21"/>
                      <w:lang w:val="en-US" w:eastAsia="zh-CN"/>
                    </w:rPr>
                    <w:t>5</w:t>
                  </w:r>
                </w:p>
              </w:tc>
              <w:tc>
                <w:tcPr>
                  <w:tcW w:w="719" w:type="pct"/>
                  <w:vMerge w:val="restart"/>
                  <w:noWrap w:val="0"/>
                  <w:vAlign w:val="center"/>
                </w:tcPr>
                <w:p w14:paraId="641B56C6">
                  <w:pPr>
                    <w:adjustRightInd w:val="0"/>
                    <w:snapToGrid w:val="0"/>
                    <w:jc w:val="center"/>
                    <w:rPr>
                      <w:color w:val="auto"/>
                      <w:szCs w:val="21"/>
                    </w:rPr>
                  </w:pPr>
                  <w:r>
                    <w:rPr>
                      <w:color w:val="auto"/>
                      <w:szCs w:val="21"/>
                    </w:rPr>
                    <w:t>废水</w:t>
                  </w:r>
                </w:p>
              </w:tc>
              <w:tc>
                <w:tcPr>
                  <w:tcW w:w="2391" w:type="pct"/>
                  <w:noWrap w:val="0"/>
                  <w:vAlign w:val="center"/>
                </w:tcPr>
                <w:p w14:paraId="599FB802">
                  <w:pPr>
                    <w:adjustRightInd w:val="0"/>
                    <w:snapToGrid w:val="0"/>
                    <w:jc w:val="center"/>
                    <w:rPr>
                      <w:color w:val="auto"/>
                      <w:szCs w:val="21"/>
                    </w:rPr>
                  </w:pPr>
                  <w:r>
                    <w:rPr>
                      <w:color w:val="auto"/>
                      <w:szCs w:val="21"/>
                    </w:rPr>
                    <w:t>化粪池</w:t>
                  </w:r>
                </w:p>
              </w:tc>
              <w:tc>
                <w:tcPr>
                  <w:tcW w:w="520" w:type="pct"/>
                  <w:noWrap w:val="0"/>
                  <w:vAlign w:val="center"/>
                </w:tcPr>
                <w:p w14:paraId="464FB558">
                  <w:pPr>
                    <w:adjustRightInd w:val="0"/>
                    <w:snapToGrid w:val="0"/>
                    <w:jc w:val="center"/>
                    <w:rPr>
                      <w:color w:val="auto"/>
                      <w:szCs w:val="21"/>
                    </w:rPr>
                  </w:pPr>
                  <w:r>
                    <w:rPr>
                      <w:rFonts w:hint="eastAsia"/>
                      <w:color w:val="auto"/>
                      <w:szCs w:val="21"/>
                    </w:rPr>
                    <w:t>1座</w:t>
                  </w:r>
                </w:p>
              </w:tc>
              <w:tc>
                <w:tcPr>
                  <w:tcW w:w="943" w:type="pct"/>
                  <w:noWrap w:val="0"/>
                  <w:vAlign w:val="center"/>
                </w:tcPr>
                <w:p w14:paraId="3BCCA7EF">
                  <w:pPr>
                    <w:adjustRightInd w:val="0"/>
                    <w:snapToGrid w:val="0"/>
                    <w:jc w:val="center"/>
                    <w:rPr>
                      <w:color w:val="auto"/>
                      <w:szCs w:val="21"/>
                    </w:rPr>
                  </w:pPr>
                  <w:r>
                    <w:rPr>
                      <w:rFonts w:hint="eastAsia"/>
                      <w:color w:val="auto"/>
                      <w:szCs w:val="21"/>
                    </w:rPr>
                    <w:t>依托</w:t>
                  </w:r>
                </w:p>
              </w:tc>
            </w:tr>
            <w:tr w14:paraId="39B10BA8">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4" w:type="pct"/>
                  <w:noWrap w:val="0"/>
                  <w:vAlign w:val="center"/>
                </w:tcPr>
                <w:p w14:paraId="5B621133">
                  <w:pPr>
                    <w:adjustRightInd w:val="0"/>
                    <w:snapToGrid w:val="0"/>
                    <w:jc w:val="center"/>
                    <w:rPr>
                      <w:rFonts w:hint="eastAsia" w:eastAsia="宋体"/>
                      <w:color w:val="auto"/>
                      <w:szCs w:val="21"/>
                      <w:lang w:val="en-US" w:eastAsia="zh-CN"/>
                    </w:rPr>
                  </w:pPr>
                  <w:r>
                    <w:rPr>
                      <w:rFonts w:hint="eastAsia"/>
                      <w:color w:val="auto"/>
                      <w:szCs w:val="21"/>
                      <w:lang w:val="en-US" w:eastAsia="zh-CN"/>
                    </w:rPr>
                    <w:t>6</w:t>
                  </w:r>
                </w:p>
              </w:tc>
              <w:tc>
                <w:tcPr>
                  <w:tcW w:w="719" w:type="pct"/>
                  <w:vMerge w:val="continue"/>
                  <w:noWrap w:val="0"/>
                  <w:vAlign w:val="center"/>
                </w:tcPr>
                <w:p w14:paraId="2FE799AB">
                  <w:pPr>
                    <w:adjustRightInd w:val="0"/>
                    <w:snapToGrid w:val="0"/>
                    <w:jc w:val="center"/>
                    <w:rPr>
                      <w:color w:val="auto"/>
                      <w:szCs w:val="21"/>
                    </w:rPr>
                  </w:pPr>
                </w:p>
              </w:tc>
              <w:tc>
                <w:tcPr>
                  <w:tcW w:w="2391" w:type="pct"/>
                  <w:noWrap w:val="0"/>
                  <w:vAlign w:val="center"/>
                </w:tcPr>
                <w:p w14:paraId="25FC97F2">
                  <w:pPr>
                    <w:adjustRightInd w:val="0"/>
                    <w:snapToGrid w:val="0"/>
                    <w:jc w:val="center"/>
                    <w:rPr>
                      <w:rFonts w:hint="default" w:eastAsia="宋体"/>
                      <w:color w:val="auto"/>
                      <w:szCs w:val="21"/>
                      <w:lang w:val="en-US" w:eastAsia="zh-CN"/>
                    </w:rPr>
                  </w:pPr>
                  <w:r>
                    <w:rPr>
                      <w:rFonts w:hint="eastAsia"/>
                      <w:color w:val="auto"/>
                      <w:szCs w:val="21"/>
                      <w:lang w:val="en-US" w:eastAsia="zh-CN"/>
                    </w:rPr>
                    <w:t>隔油池+沉淀池</w:t>
                  </w:r>
                </w:p>
              </w:tc>
              <w:tc>
                <w:tcPr>
                  <w:tcW w:w="520" w:type="pct"/>
                  <w:noWrap w:val="0"/>
                  <w:vAlign w:val="center"/>
                </w:tcPr>
                <w:p w14:paraId="1E2F60E6">
                  <w:pPr>
                    <w:adjustRightInd w:val="0"/>
                    <w:snapToGrid w:val="0"/>
                    <w:jc w:val="center"/>
                    <w:rPr>
                      <w:rFonts w:hint="default" w:eastAsia="宋体"/>
                      <w:color w:val="auto"/>
                      <w:szCs w:val="21"/>
                      <w:lang w:val="en-US" w:eastAsia="zh-CN"/>
                    </w:rPr>
                  </w:pPr>
                  <w:r>
                    <w:rPr>
                      <w:rFonts w:hint="eastAsia"/>
                      <w:color w:val="auto"/>
                      <w:szCs w:val="21"/>
                      <w:lang w:val="en-US" w:eastAsia="zh-CN"/>
                    </w:rPr>
                    <w:t>1座</w:t>
                  </w:r>
                </w:p>
              </w:tc>
              <w:tc>
                <w:tcPr>
                  <w:tcW w:w="943" w:type="pct"/>
                  <w:noWrap w:val="0"/>
                  <w:vAlign w:val="center"/>
                </w:tcPr>
                <w:p w14:paraId="35C3B24D">
                  <w:pPr>
                    <w:adjustRightInd w:val="0"/>
                    <w:snapToGrid w:val="0"/>
                    <w:jc w:val="center"/>
                    <w:rPr>
                      <w:rFonts w:hint="default" w:eastAsia="宋体"/>
                      <w:color w:val="auto"/>
                      <w:szCs w:val="21"/>
                      <w:lang w:val="en-US" w:eastAsia="zh-CN"/>
                    </w:rPr>
                  </w:pPr>
                  <w:r>
                    <w:rPr>
                      <w:rFonts w:hint="eastAsia"/>
                      <w:color w:val="auto"/>
                      <w:szCs w:val="21"/>
                      <w:lang w:val="en-US" w:eastAsia="zh-CN"/>
                    </w:rPr>
                    <w:t>3.0</w:t>
                  </w:r>
                </w:p>
              </w:tc>
            </w:tr>
            <w:tr w14:paraId="71BE6E03">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PrEx>
              <w:trPr>
                <w:trHeight w:val="454" w:hRule="atLeast"/>
                <w:jc w:val="center"/>
              </w:trPr>
              <w:tc>
                <w:tcPr>
                  <w:tcW w:w="424" w:type="pct"/>
                  <w:noWrap w:val="0"/>
                  <w:vAlign w:val="center"/>
                </w:tcPr>
                <w:p w14:paraId="3016814F">
                  <w:pPr>
                    <w:adjustRightInd w:val="0"/>
                    <w:snapToGrid w:val="0"/>
                    <w:jc w:val="center"/>
                    <w:rPr>
                      <w:color w:val="auto"/>
                      <w:szCs w:val="21"/>
                    </w:rPr>
                  </w:pPr>
                  <w:r>
                    <w:rPr>
                      <w:rFonts w:hint="eastAsia"/>
                      <w:color w:val="auto"/>
                      <w:szCs w:val="21"/>
                    </w:rPr>
                    <w:t>5</w:t>
                  </w:r>
                </w:p>
              </w:tc>
              <w:tc>
                <w:tcPr>
                  <w:tcW w:w="719" w:type="pct"/>
                  <w:vMerge w:val="restart"/>
                  <w:noWrap w:val="0"/>
                  <w:vAlign w:val="center"/>
                </w:tcPr>
                <w:p w14:paraId="16CA9F1C">
                  <w:pPr>
                    <w:adjustRightInd w:val="0"/>
                    <w:snapToGrid w:val="0"/>
                    <w:jc w:val="center"/>
                    <w:rPr>
                      <w:rFonts w:hint="eastAsia"/>
                      <w:color w:val="auto"/>
                      <w:szCs w:val="21"/>
                    </w:rPr>
                  </w:pPr>
                  <w:r>
                    <w:rPr>
                      <w:rFonts w:hint="eastAsia"/>
                      <w:color w:val="auto"/>
                      <w:szCs w:val="21"/>
                    </w:rPr>
                    <w:t>固废</w:t>
                  </w:r>
                </w:p>
              </w:tc>
              <w:tc>
                <w:tcPr>
                  <w:tcW w:w="2391" w:type="pct"/>
                  <w:noWrap w:val="0"/>
                  <w:vAlign w:val="center"/>
                </w:tcPr>
                <w:p w14:paraId="1CFE9116">
                  <w:pPr>
                    <w:adjustRightInd w:val="0"/>
                    <w:snapToGrid w:val="0"/>
                    <w:jc w:val="center"/>
                    <w:rPr>
                      <w:color w:val="auto"/>
                      <w:szCs w:val="21"/>
                    </w:rPr>
                  </w:pPr>
                  <w:r>
                    <w:rPr>
                      <w:rFonts w:hint="eastAsia"/>
                      <w:color w:val="auto"/>
                      <w:szCs w:val="21"/>
                    </w:rPr>
                    <w:t>垃圾桶</w:t>
                  </w:r>
                </w:p>
              </w:tc>
              <w:tc>
                <w:tcPr>
                  <w:tcW w:w="520" w:type="pct"/>
                  <w:noWrap w:val="0"/>
                  <w:vAlign w:val="center"/>
                </w:tcPr>
                <w:p w14:paraId="5C81A707">
                  <w:pPr>
                    <w:adjustRightInd w:val="0"/>
                    <w:snapToGrid w:val="0"/>
                    <w:jc w:val="center"/>
                    <w:rPr>
                      <w:color w:val="auto"/>
                      <w:szCs w:val="21"/>
                    </w:rPr>
                  </w:pPr>
                  <w:r>
                    <w:rPr>
                      <w:rFonts w:hint="eastAsia"/>
                      <w:color w:val="auto"/>
                      <w:szCs w:val="21"/>
                      <w:lang w:val="en-US" w:eastAsia="zh-CN"/>
                    </w:rPr>
                    <w:t>10</w:t>
                  </w:r>
                  <w:r>
                    <w:rPr>
                      <w:rFonts w:hint="eastAsia"/>
                      <w:color w:val="auto"/>
                      <w:szCs w:val="21"/>
                    </w:rPr>
                    <w:t>个</w:t>
                  </w:r>
                </w:p>
              </w:tc>
              <w:tc>
                <w:tcPr>
                  <w:tcW w:w="943" w:type="pct"/>
                  <w:noWrap w:val="0"/>
                  <w:vAlign w:val="center"/>
                </w:tcPr>
                <w:p w14:paraId="24FF6734">
                  <w:pPr>
                    <w:adjustRightInd w:val="0"/>
                    <w:snapToGrid w:val="0"/>
                    <w:jc w:val="center"/>
                    <w:rPr>
                      <w:color w:val="auto"/>
                      <w:szCs w:val="21"/>
                    </w:rPr>
                  </w:pPr>
                  <w:r>
                    <w:rPr>
                      <w:rFonts w:hint="eastAsia"/>
                      <w:color w:val="auto"/>
                      <w:szCs w:val="21"/>
                    </w:rPr>
                    <w:t>0.1</w:t>
                  </w:r>
                </w:p>
              </w:tc>
            </w:tr>
            <w:tr w14:paraId="5DF215FE">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4" w:type="pct"/>
                  <w:noWrap w:val="0"/>
                  <w:vAlign w:val="center"/>
                </w:tcPr>
                <w:p w14:paraId="048AE95A">
                  <w:pPr>
                    <w:adjustRightInd w:val="0"/>
                    <w:snapToGrid w:val="0"/>
                    <w:jc w:val="center"/>
                    <w:rPr>
                      <w:rFonts w:hint="eastAsia" w:eastAsia="宋体"/>
                      <w:color w:val="auto"/>
                      <w:szCs w:val="21"/>
                      <w:lang w:val="en-US" w:eastAsia="zh-CN"/>
                    </w:rPr>
                  </w:pPr>
                  <w:r>
                    <w:rPr>
                      <w:rFonts w:hint="eastAsia"/>
                      <w:color w:val="auto"/>
                      <w:szCs w:val="21"/>
                      <w:lang w:val="en-US" w:eastAsia="zh-CN"/>
                    </w:rPr>
                    <w:t>6</w:t>
                  </w:r>
                </w:p>
              </w:tc>
              <w:tc>
                <w:tcPr>
                  <w:tcW w:w="719" w:type="pct"/>
                  <w:vMerge w:val="continue"/>
                  <w:noWrap w:val="0"/>
                  <w:vAlign w:val="center"/>
                </w:tcPr>
                <w:p w14:paraId="061A188A">
                  <w:pPr>
                    <w:adjustRightInd w:val="0"/>
                    <w:snapToGrid w:val="0"/>
                    <w:jc w:val="center"/>
                    <w:rPr>
                      <w:color w:val="auto"/>
                      <w:szCs w:val="21"/>
                    </w:rPr>
                  </w:pPr>
                </w:p>
              </w:tc>
              <w:tc>
                <w:tcPr>
                  <w:tcW w:w="2391" w:type="pct"/>
                  <w:noWrap w:val="0"/>
                  <w:vAlign w:val="center"/>
                </w:tcPr>
                <w:p w14:paraId="14F66326">
                  <w:pPr>
                    <w:adjustRightInd w:val="0"/>
                    <w:snapToGrid w:val="0"/>
                    <w:jc w:val="center"/>
                    <w:rPr>
                      <w:rFonts w:hint="default" w:eastAsia="宋体"/>
                      <w:color w:val="auto"/>
                      <w:szCs w:val="21"/>
                      <w:lang w:val="en-US" w:eastAsia="zh-CN"/>
                    </w:rPr>
                  </w:pPr>
                  <w:r>
                    <w:rPr>
                      <w:rFonts w:hint="eastAsia"/>
                      <w:color w:val="auto"/>
                      <w:szCs w:val="21"/>
                    </w:rPr>
                    <w:t>危废贮存库</w:t>
                  </w:r>
                </w:p>
              </w:tc>
              <w:tc>
                <w:tcPr>
                  <w:tcW w:w="520" w:type="pct"/>
                  <w:noWrap w:val="0"/>
                  <w:vAlign w:val="center"/>
                </w:tcPr>
                <w:p w14:paraId="11B9F634">
                  <w:pPr>
                    <w:adjustRightInd w:val="0"/>
                    <w:snapToGrid w:val="0"/>
                    <w:jc w:val="center"/>
                    <w:rPr>
                      <w:rFonts w:hint="default" w:eastAsia="宋体"/>
                      <w:color w:val="auto"/>
                      <w:szCs w:val="21"/>
                      <w:lang w:val="en-US" w:eastAsia="zh-CN"/>
                    </w:rPr>
                  </w:pPr>
                  <w:r>
                    <w:rPr>
                      <w:rFonts w:hint="eastAsia"/>
                      <w:color w:val="auto"/>
                      <w:szCs w:val="21"/>
                      <w:lang w:val="en-US" w:eastAsia="zh-CN"/>
                    </w:rPr>
                    <w:t>2间</w:t>
                  </w:r>
                </w:p>
              </w:tc>
              <w:tc>
                <w:tcPr>
                  <w:tcW w:w="943" w:type="pct"/>
                  <w:noWrap w:val="0"/>
                  <w:vAlign w:val="center"/>
                </w:tcPr>
                <w:p w14:paraId="5508AA62">
                  <w:pPr>
                    <w:adjustRightInd w:val="0"/>
                    <w:snapToGrid w:val="0"/>
                    <w:jc w:val="center"/>
                    <w:rPr>
                      <w:rFonts w:hint="default" w:eastAsia="宋体"/>
                      <w:color w:val="auto"/>
                      <w:szCs w:val="21"/>
                      <w:lang w:val="en-US" w:eastAsia="zh-CN"/>
                    </w:rPr>
                  </w:pPr>
                  <w:r>
                    <w:rPr>
                      <w:rFonts w:hint="eastAsia"/>
                      <w:color w:val="auto"/>
                      <w:szCs w:val="21"/>
                      <w:lang w:val="en-US" w:eastAsia="zh-CN"/>
                    </w:rPr>
                    <w:t>5.0</w:t>
                  </w:r>
                </w:p>
              </w:tc>
            </w:tr>
            <w:tr w14:paraId="66B2674A">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4" w:type="pct"/>
                  <w:noWrap w:val="0"/>
                  <w:vAlign w:val="center"/>
                </w:tcPr>
                <w:p w14:paraId="7C7CF4B5">
                  <w:pPr>
                    <w:adjustRightInd w:val="0"/>
                    <w:snapToGrid w:val="0"/>
                    <w:jc w:val="center"/>
                    <w:rPr>
                      <w:rFonts w:hint="default" w:eastAsia="宋体"/>
                      <w:color w:val="auto"/>
                      <w:szCs w:val="21"/>
                      <w:lang w:val="en-US" w:eastAsia="zh-CN"/>
                    </w:rPr>
                  </w:pPr>
                  <w:r>
                    <w:rPr>
                      <w:rFonts w:hint="eastAsia" w:eastAsia="宋体"/>
                      <w:color w:val="auto"/>
                      <w:szCs w:val="21"/>
                      <w:lang w:val="en-US" w:eastAsia="zh-CN"/>
                    </w:rPr>
                    <w:t>7</w:t>
                  </w:r>
                </w:p>
              </w:tc>
              <w:tc>
                <w:tcPr>
                  <w:tcW w:w="3631" w:type="pct"/>
                  <w:gridSpan w:val="3"/>
                  <w:noWrap w:val="0"/>
                  <w:vAlign w:val="center"/>
                </w:tcPr>
                <w:p w14:paraId="23414153">
                  <w:pPr>
                    <w:adjustRightInd w:val="0"/>
                    <w:snapToGrid w:val="0"/>
                    <w:jc w:val="center"/>
                    <w:rPr>
                      <w:rFonts w:hint="eastAsia"/>
                      <w:color w:val="auto"/>
                      <w:szCs w:val="21"/>
                    </w:rPr>
                  </w:pPr>
                  <w:r>
                    <w:rPr>
                      <w:rFonts w:hint="eastAsia"/>
                      <w:color w:val="auto"/>
                      <w:szCs w:val="21"/>
                    </w:rPr>
                    <w:t>环境管理和监测费用</w:t>
                  </w:r>
                </w:p>
              </w:tc>
              <w:tc>
                <w:tcPr>
                  <w:tcW w:w="943" w:type="pct"/>
                  <w:noWrap w:val="0"/>
                  <w:vAlign w:val="center"/>
                </w:tcPr>
                <w:p w14:paraId="2A36DBFA">
                  <w:pPr>
                    <w:adjustRightInd w:val="0"/>
                    <w:snapToGrid w:val="0"/>
                    <w:jc w:val="center"/>
                    <w:rPr>
                      <w:color w:val="auto"/>
                      <w:szCs w:val="21"/>
                    </w:rPr>
                  </w:pPr>
                  <w:r>
                    <w:rPr>
                      <w:rFonts w:hint="eastAsia"/>
                      <w:color w:val="auto"/>
                      <w:szCs w:val="21"/>
                      <w:lang w:val="en-US" w:eastAsia="zh-CN"/>
                    </w:rPr>
                    <w:t>4.</w:t>
                  </w:r>
                  <w:r>
                    <w:rPr>
                      <w:rFonts w:hint="eastAsia"/>
                      <w:color w:val="auto"/>
                      <w:szCs w:val="21"/>
                    </w:rPr>
                    <w:t>0</w:t>
                  </w:r>
                </w:p>
              </w:tc>
            </w:tr>
            <w:tr w14:paraId="17941493">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56" w:type="pct"/>
                  <w:gridSpan w:val="4"/>
                  <w:noWrap w:val="0"/>
                  <w:vAlign w:val="center"/>
                </w:tcPr>
                <w:p w14:paraId="75A831BB">
                  <w:pPr>
                    <w:adjustRightInd w:val="0"/>
                    <w:snapToGrid w:val="0"/>
                    <w:jc w:val="center"/>
                    <w:rPr>
                      <w:color w:val="auto"/>
                      <w:szCs w:val="21"/>
                    </w:rPr>
                  </w:pPr>
                  <w:r>
                    <w:rPr>
                      <w:color w:val="auto"/>
                      <w:szCs w:val="21"/>
                    </w:rPr>
                    <w:t>合计</w:t>
                  </w:r>
                </w:p>
              </w:tc>
              <w:tc>
                <w:tcPr>
                  <w:tcW w:w="943" w:type="pct"/>
                  <w:noWrap w:val="0"/>
                  <w:vAlign w:val="center"/>
                </w:tcPr>
                <w:p w14:paraId="79E96901">
                  <w:pPr>
                    <w:adjustRightInd w:val="0"/>
                    <w:snapToGrid w:val="0"/>
                    <w:jc w:val="center"/>
                    <w:rPr>
                      <w:rFonts w:hint="default"/>
                      <w:color w:val="auto"/>
                      <w:szCs w:val="21"/>
                      <w:lang w:val="en-US"/>
                    </w:rPr>
                  </w:pPr>
                  <w:r>
                    <w:rPr>
                      <w:rFonts w:hint="eastAsia"/>
                      <w:color w:val="auto"/>
                      <w:szCs w:val="21"/>
                      <w:lang w:val="en-US" w:eastAsia="zh-CN"/>
                    </w:rPr>
                    <w:t>63.1</w:t>
                  </w:r>
                </w:p>
              </w:tc>
            </w:tr>
          </w:tbl>
          <w:p w14:paraId="238A6039">
            <w:pPr>
              <w:pStyle w:val="44"/>
              <w:rPr>
                <w:rFonts w:hint="eastAsia"/>
                <w:color w:val="auto"/>
                <w:sz w:val="21"/>
                <w:szCs w:val="21"/>
              </w:rPr>
            </w:pPr>
          </w:p>
          <w:p w14:paraId="6E74CB51">
            <w:pPr>
              <w:pStyle w:val="44"/>
              <w:rPr>
                <w:rFonts w:hint="eastAsia"/>
                <w:color w:val="auto"/>
                <w:sz w:val="21"/>
                <w:szCs w:val="21"/>
              </w:rPr>
            </w:pPr>
          </w:p>
          <w:p w14:paraId="0A480752">
            <w:pPr>
              <w:pStyle w:val="44"/>
              <w:rPr>
                <w:rFonts w:hint="eastAsia"/>
                <w:color w:val="auto"/>
                <w:sz w:val="21"/>
                <w:szCs w:val="21"/>
              </w:rPr>
            </w:pPr>
          </w:p>
          <w:p w14:paraId="55896687">
            <w:pPr>
              <w:pStyle w:val="44"/>
              <w:rPr>
                <w:rFonts w:hint="eastAsia"/>
                <w:color w:val="auto"/>
                <w:sz w:val="21"/>
                <w:szCs w:val="21"/>
              </w:rPr>
            </w:pPr>
          </w:p>
          <w:p w14:paraId="697AD324">
            <w:pPr>
              <w:pStyle w:val="44"/>
              <w:rPr>
                <w:rFonts w:hint="eastAsia"/>
                <w:color w:val="auto"/>
                <w:sz w:val="21"/>
                <w:szCs w:val="21"/>
              </w:rPr>
            </w:pPr>
          </w:p>
          <w:p w14:paraId="4B3DE935">
            <w:pPr>
              <w:pStyle w:val="6"/>
              <w:spacing w:line="360" w:lineRule="auto"/>
              <w:ind w:firstLine="0"/>
              <w:rPr>
                <w:rFonts w:hint="eastAsia"/>
                <w:color w:val="auto"/>
                <w:szCs w:val="24"/>
              </w:rPr>
            </w:pPr>
          </w:p>
        </w:tc>
      </w:tr>
    </w:tbl>
    <w:p w14:paraId="7EFEA911">
      <w:pPr>
        <w:rPr>
          <w:color w:val="auto"/>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p w14:paraId="49A93D33">
      <w:pPr>
        <w:pStyle w:val="22"/>
        <w:jc w:val="center"/>
        <w:outlineLvl w:val="0"/>
        <w:rPr>
          <w:rFonts w:ascii="黑体" w:hAnsi="黑体" w:eastAsia="黑体"/>
          <w:snapToGrid w:val="0"/>
          <w:color w:val="auto"/>
          <w:sz w:val="30"/>
          <w:szCs w:val="30"/>
        </w:rPr>
      </w:pPr>
      <w:r>
        <w:rPr>
          <w:rFonts w:hint="eastAsia" w:ascii="黑体" w:hAnsi="黑体" w:eastAsia="黑体"/>
          <w:snapToGrid w:val="0"/>
          <w:color w:val="auto"/>
          <w:sz w:val="30"/>
          <w:szCs w:val="30"/>
        </w:rPr>
        <w:t>五、</w:t>
      </w:r>
      <w:bookmarkStart w:id="36" w:name="_Hlk54167917"/>
      <w:r>
        <w:rPr>
          <w:rFonts w:hint="eastAsia" w:ascii="黑体" w:hAnsi="黑体" w:eastAsia="黑体"/>
          <w:snapToGrid w:val="0"/>
          <w:color w:val="auto"/>
          <w:sz w:val="30"/>
          <w:szCs w:val="30"/>
        </w:rPr>
        <w:t>环境保护措施监督检查清单</w:t>
      </w:r>
      <w:bookmarkEnd w:id="36"/>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56"/>
        <w:gridCol w:w="1512"/>
        <w:gridCol w:w="1442"/>
        <w:gridCol w:w="2163"/>
        <w:gridCol w:w="2427"/>
      </w:tblGrid>
      <w:tr w14:paraId="0DA2B1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56" w:type="dxa"/>
            <w:tcBorders>
              <w:tl2br w:val="single" w:color="auto" w:sz="4" w:space="0"/>
            </w:tcBorders>
            <w:noWrap w:val="0"/>
            <w:vAlign w:val="top"/>
          </w:tcPr>
          <w:p w14:paraId="36DCDE61">
            <w:pPr>
              <w:adjustRightInd w:val="0"/>
              <w:snapToGrid w:val="0"/>
              <w:jc w:val="right"/>
              <w:rPr>
                <w:color w:val="auto"/>
                <w:szCs w:val="21"/>
              </w:rPr>
            </w:pPr>
            <w:r>
              <w:rPr>
                <w:color w:val="auto"/>
                <w:szCs w:val="21"/>
              </w:rPr>
              <w:t>内容</w:t>
            </w:r>
          </w:p>
          <w:p w14:paraId="1574E0EF">
            <w:pPr>
              <w:adjustRightInd w:val="0"/>
              <w:snapToGrid w:val="0"/>
              <w:rPr>
                <w:color w:val="auto"/>
                <w:szCs w:val="21"/>
              </w:rPr>
            </w:pPr>
          </w:p>
          <w:p w14:paraId="49EB84BF">
            <w:pPr>
              <w:adjustRightInd w:val="0"/>
              <w:snapToGrid w:val="0"/>
              <w:rPr>
                <w:color w:val="auto"/>
                <w:szCs w:val="21"/>
              </w:rPr>
            </w:pPr>
            <w:r>
              <w:rPr>
                <w:color w:val="auto"/>
                <w:szCs w:val="21"/>
              </w:rPr>
              <w:t>要素</w:t>
            </w:r>
          </w:p>
        </w:tc>
        <w:tc>
          <w:tcPr>
            <w:tcW w:w="1512" w:type="dxa"/>
            <w:noWrap w:val="0"/>
            <w:vAlign w:val="center"/>
          </w:tcPr>
          <w:p w14:paraId="0CC62406">
            <w:pPr>
              <w:adjustRightInd w:val="0"/>
              <w:snapToGrid w:val="0"/>
              <w:jc w:val="center"/>
              <w:rPr>
                <w:color w:val="auto"/>
                <w:szCs w:val="21"/>
              </w:rPr>
            </w:pPr>
            <w:r>
              <w:rPr>
                <w:color w:val="auto"/>
                <w:szCs w:val="21"/>
              </w:rPr>
              <w:t>排放口</w:t>
            </w:r>
            <w:r>
              <w:rPr>
                <w:rFonts w:hint="eastAsia"/>
                <w:color w:val="auto"/>
                <w:szCs w:val="21"/>
              </w:rPr>
              <w:t>（</w:t>
            </w:r>
            <w:r>
              <w:rPr>
                <w:color w:val="auto"/>
                <w:szCs w:val="21"/>
              </w:rPr>
              <w:t>编号、</w:t>
            </w:r>
          </w:p>
          <w:p w14:paraId="7428DD30">
            <w:pPr>
              <w:adjustRightInd w:val="0"/>
              <w:snapToGrid w:val="0"/>
              <w:jc w:val="center"/>
              <w:rPr>
                <w:color w:val="auto"/>
                <w:szCs w:val="21"/>
              </w:rPr>
            </w:pPr>
            <w:r>
              <w:rPr>
                <w:color w:val="auto"/>
                <w:szCs w:val="21"/>
              </w:rPr>
              <w:t>名称</w:t>
            </w:r>
            <w:r>
              <w:rPr>
                <w:rFonts w:hint="eastAsia"/>
                <w:color w:val="auto"/>
                <w:szCs w:val="21"/>
              </w:rPr>
              <w:t>）</w:t>
            </w:r>
            <w:r>
              <w:rPr>
                <w:color w:val="auto"/>
                <w:szCs w:val="21"/>
              </w:rPr>
              <w:t>/污染源</w:t>
            </w:r>
          </w:p>
        </w:tc>
        <w:tc>
          <w:tcPr>
            <w:tcW w:w="1442" w:type="dxa"/>
            <w:noWrap w:val="0"/>
            <w:vAlign w:val="center"/>
          </w:tcPr>
          <w:p w14:paraId="1A71C0DB">
            <w:pPr>
              <w:adjustRightInd w:val="0"/>
              <w:snapToGrid w:val="0"/>
              <w:jc w:val="center"/>
              <w:rPr>
                <w:color w:val="auto"/>
                <w:szCs w:val="21"/>
              </w:rPr>
            </w:pPr>
            <w:r>
              <w:rPr>
                <w:color w:val="auto"/>
                <w:szCs w:val="21"/>
              </w:rPr>
              <w:t>污染物项目</w:t>
            </w:r>
          </w:p>
        </w:tc>
        <w:tc>
          <w:tcPr>
            <w:tcW w:w="2163" w:type="dxa"/>
            <w:noWrap w:val="0"/>
            <w:vAlign w:val="center"/>
          </w:tcPr>
          <w:p w14:paraId="0B622E26">
            <w:pPr>
              <w:adjustRightInd w:val="0"/>
              <w:snapToGrid w:val="0"/>
              <w:jc w:val="center"/>
              <w:rPr>
                <w:color w:val="auto"/>
                <w:szCs w:val="21"/>
              </w:rPr>
            </w:pPr>
            <w:r>
              <w:rPr>
                <w:color w:val="auto"/>
                <w:szCs w:val="21"/>
              </w:rPr>
              <w:t>环境保护措施</w:t>
            </w:r>
          </w:p>
        </w:tc>
        <w:tc>
          <w:tcPr>
            <w:tcW w:w="2427" w:type="dxa"/>
            <w:noWrap w:val="0"/>
            <w:vAlign w:val="center"/>
          </w:tcPr>
          <w:p w14:paraId="45099842">
            <w:pPr>
              <w:adjustRightInd w:val="0"/>
              <w:snapToGrid w:val="0"/>
              <w:jc w:val="center"/>
              <w:rPr>
                <w:color w:val="auto"/>
                <w:szCs w:val="21"/>
              </w:rPr>
            </w:pPr>
            <w:r>
              <w:rPr>
                <w:color w:val="auto"/>
                <w:szCs w:val="21"/>
              </w:rPr>
              <w:t>执行标准</w:t>
            </w:r>
          </w:p>
        </w:tc>
      </w:tr>
      <w:tr w14:paraId="3C8602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256" w:type="dxa"/>
            <w:vMerge w:val="restart"/>
            <w:noWrap w:val="0"/>
            <w:vAlign w:val="center"/>
          </w:tcPr>
          <w:p w14:paraId="41C347A5">
            <w:pPr>
              <w:adjustRightInd w:val="0"/>
              <w:snapToGrid w:val="0"/>
              <w:jc w:val="center"/>
              <w:rPr>
                <w:color w:val="auto"/>
                <w:szCs w:val="21"/>
              </w:rPr>
            </w:pPr>
            <w:r>
              <w:rPr>
                <w:color w:val="auto"/>
                <w:szCs w:val="21"/>
              </w:rPr>
              <w:t>大气环境</w:t>
            </w:r>
          </w:p>
        </w:tc>
        <w:tc>
          <w:tcPr>
            <w:tcW w:w="1512" w:type="dxa"/>
            <w:noWrap w:val="0"/>
            <w:vAlign w:val="center"/>
          </w:tcPr>
          <w:p w14:paraId="39A62308">
            <w:pPr>
              <w:ind w:left="-105" w:leftChars="-50" w:right="-105" w:rightChars="-50"/>
              <w:jc w:val="center"/>
              <w:rPr>
                <w:rFonts w:hint="eastAsia" w:eastAsia="宋体"/>
                <w:color w:val="auto"/>
                <w:kern w:val="2"/>
                <w:sz w:val="21"/>
                <w:szCs w:val="21"/>
                <w:lang w:val="en-US" w:eastAsia="zh-CN" w:bidi="ar-SA"/>
              </w:rPr>
            </w:pPr>
            <w:r>
              <w:rPr>
                <w:rFonts w:hint="eastAsia"/>
                <w:color w:val="auto"/>
                <w:szCs w:val="21"/>
                <w:lang w:val="en-US" w:eastAsia="zh-CN"/>
              </w:rPr>
              <w:t>排气筒DA001</w:t>
            </w:r>
          </w:p>
        </w:tc>
        <w:tc>
          <w:tcPr>
            <w:tcW w:w="1442" w:type="dxa"/>
            <w:vMerge w:val="restart"/>
            <w:noWrap w:val="0"/>
            <w:vAlign w:val="center"/>
          </w:tcPr>
          <w:p w14:paraId="6165FA9A">
            <w:pPr>
              <w:adjustRightInd w:val="0"/>
              <w:snapToGrid w:val="0"/>
              <w:jc w:val="center"/>
              <w:rPr>
                <w:rFonts w:hint="default"/>
                <w:color w:val="auto"/>
                <w:kern w:val="2"/>
                <w:sz w:val="21"/>
                <w:szCs w:val="21"/>
                <w:lang w:val="en-US" w:eastAsia="zh-CN" w:bidi="ar-SA"/>
              </w:rPr>
            </w:pPr>
            <w:r>
              <w:rPr>
                <w:rFonts w:hint="eastAsia"/>
                <w:color w:val="auto"/>
                <w:kern w:val="2"/>
                <w:sz w:val="21"/>
                <w:szCs w:val="21"/>
                <w:lang w:val="en-US" w:eastAsia="zh-CN" w:bidi="ar-SA"/>
              </w:rPr>
              <w:t>颗粒物、甲苯、二甲苯、非甲烷总烃</w:t>
            </w:r>
          </w:p>
        </w:tc>
        <w:tc>
          <w:tcPr>
            <w:tcW w:w="2163" w:type="dxa"/>
            <w:vMerge w:val="restart"/>
            <w:noWrap w:val="0"/>
            <w:vAlign w:val="center"/>
          </w:tcPr>
          <w:p w14:paraId="09F62240">
            <w:pPr>
              <w:adjustRightInd w:val="0"/>
              <w:snapToGrid w:val="0"/>
              <w:jc w:val="center"/>
              <w:rPr>
                <w:color w:val="auto"/>
                <w:szCs w:val="21"/>
              </w:rPr>
            </w:pPr>
            <w:r>
              <w:rPr>
                <w:rFonts w:hint="eastAsia"/>
                <w:bCs/>
                <w:color w:val="auto"/>
                <w:szCs w:val="21"/>
                <w:lang w:val="en-US" w:eastAsia="zh-CN"/>
              </w:rPr>
              <w:t>喷烤漆房1#、2#产生的废气经过滤棉+二级活性炭吸附设施处理后，尾气经2根（DA001、DA002）16m高的排气筒排放</w:t>
            </w:r>
          </w:p>
        </w:tc>
        <w:tc>
          <w:tcPr>
            <w:tcW w:w="2427" w:type="dxa"/>
            <w:vMerge w:val="restart"/>
            <w:noWrap w:val="0"/>
            <w:vAlign w:val="center"/>
          </w:tcPr>
          <w:p w14:paraId="044621A6">
            <w:pPr>
              <w:adjustRightInd w:val="0"/>
              <w:snapToGrid w:val="0"/>
              <w:jc w:val="center"/>
              <w:rPr>
                <w:rFonts w:hint="eastAsia" w:eastAsia="宋体"/>
                <w:color w:val="auto"/>
                <w:szCs w:val="21"/>
                <w:lang w:eastAsia="zh-CN"/>
              </w:rPr>
            </w:pPr>
            <w:r>
              <w:rPr>
                <w:rFonts w:hint="eastAsia"/>
                <w:color w:val="auto"/>
                <w:szCs w:val="21"/>
                <w:highlight w:val="none"/>
                <w:lang w:val="en-US" w:eastAsia="zh-CN"/>
              </w:rPr>
              <w:t>非甲烷总烃、甲苯、二甲苯执行</w:t>
            </w:r>
            <w:r>
              <w:rPr>
                <w:color w:val="auto"/>
                <w:szCs w:val="21"/>
                <w:highlight w:val="none"/>
              </w:rPr>
              <w:t>《挥发性有机物排放控制标准》</w:t>
            </w:r>
            <w:r>
              <w:rPr>
                <w:rFonts w:hint="eastAsia"/>
                <w:color w:val="auto"/>
                <w:szCs w:val="21"/>
                <w:highlight w:val="none"/>
                <w:lang w:eastAsia="zh-CN"/>
              </w:rPr>
              <w:t>（</w:t>
            </w:r>
            <w:r>
              <w:rPr>
                <w:color w:val="auto"/>
                <w:szCs w:val="21"/>
                <w:highlight w:val="none"/>
              </w:rPr>
              <w:t>DB 61/T 1061-2017</w:t>
            </w:r>
            <w:r>
              <w:rPr>
                <w:rFonts w:hint="eastAsia"/>
                <w:color w:val="auto"/>
                <w:szCs w:val="21"/>
                <w:highlight w:val="none"/>
                <w:lang w:eastAsia="zh-CN"/>
              </w:rPr>
              <w:t>）、</w:t>
            </w:r>
            <w:r>
              <w:rPr>
                <w:rFonts w:hint="eastAsia"/>
                <w:color w:val="auto"/>
                <w:szCs w:val="21"/>
                <w:highlight w:val="none"/>
                <w:lang w:val="en-US" w:eastAsia="zh-CN"/>
              </w:rPr>
              <w:t>颗粒物执行</w:t>
            </w:r>
            <w:r>
              <w:rPr>
                <w:color w:val="auto"/>
                <w:szCs w:val="21"/>
                <w:highlight w:val="none"/>
              </w:rPr>
              <w:t>《大气污染物综合排放标准》（GB16297-1996）</w:t>
            </w:r>
          </w:p>
        </w:tc>
      </w:tr>
      <w:tr w14:paraId="65895B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56" w:type="dxa"/>
            <w:vMerge w:val="continue"/>
            <w:noWrap w:val="0"/>
            <w:vAlign w:val="center"/>
          </w:tcPr>
          <w:p w14:paraId="5A7F825E">
            <w:pPr>
              <w:adjustRightInd w:val="0"/>
              <w:snapToGrid w:val="0"/>
              <w:jc w:val="center"/>
              <w:rPr>
                <w:color w:val="auto"/>
                <w:szCs w:val="21"/>
              </w:rPr>
            </w:pPr>
          </w:p>
        </w:tc>
        <w:tc>
          <w:tcPr>
            <w:tcW w:w="1512" w:type="dxa"/>
            <w:noWrap w:val="0"/>
            <w:vAlign w:val="center"/>
          </w:tcPr>
          <w:p w14:paraId="6EA46716">
            <w:pPr>
              <w:ind w:left="-105" w:leftChars="-50" w:right="-105" w:rightChars="-50"/>
              <w:jc w:val="center"/>
              <w:rPr>
                <w:rFonts w:hint="eastAsia" w:eastAsia="宋体"/>
                <w:color w:val="auto"/>
                <w:szCs w:val="21"/>
                <w:lang w:val="en-US" w:eastAsia="zh-CN"/>
              </w:rPr>
            </w:pPr>
            <w:r>
              <w:rPr>
                <w:rFonts w:hint="eastAsia"/>
                <w:color w:val="auto"/>
                <w:szCs w:val="21"/>
                <w:lang w:val="en-US" w:eastAsia="zh-CN"/>
              </w:rPr>
              <w:t>排气筒DA002</w:t>
            </w:r>
          </w:p>
        </w:tc>
        <w:tc>
          <w:tcPr>
            <w:tcW w:w="1442" w:type="dxa"/>
            <w:vMerge w:val="continue"/>
            <w:noWrap w:val="0"/>
            <w:vAlign w:val="center"/>
          </w:tcPr>
          <w:p w14:paraId="4224A6E9">
            <w:pPr>
              <w:adjustRightInd w:val="0"/>
              <w:snapToGrid w:val="0"/>
              <w:jc w:val="center"/>
              <w:rPr>
                <w:rFonts w:hint="eastAsia"/>
                <w:color w:val="auto"/>
                <w:szCs w:val="21"/>
                <w:lang w:val="en-US" w:eastAsia="zh-CN"/>
              </w:rPr>
            </w:pPr>
          </w:p>
        </w:tc>
        <w:tc>
          <w:tcPr>
            <w:tcW w:w="2163" w:type="dxa"/>
            <w:vMerge w:val="continue"/>
            <w:noWrap w:val="0"/>
            <w:vAlign w:val="center"/>
          </w:tcPr>
          <w:p w14:paraId="3857BB25">
            <w:pPr>
              <w:adjustRightInd w:val="0"/>
              <w:snapToGrid w:val="0"/>
              <w:jc w:val="center"/>
              <w:rPr>
                <w:rFonts w:hint="eastAsia"/>
                <w:color w:val="auto"/>
                <w:szCs w:val="21"/>
              </w:rPr>
            </w:pPr>
          </w:p>
        </w:tc>
        <w:tc>
          <w:tcPr>
            <w:tcW w:w="2427" w:type="dxa"/>
            <w:vMerge w:val="continue"/>
            <w:noWrap w:val="0"/>
            <w:vAlign w:val="center"/>
          </w:tcPr>
          <w:p w14:paraId="7BF2F81B">
            <w:pPr>
              <w:adjustRightInd w:val="0"/>
              <w:snapToGrid w:val="0"/>
              <w:jc w:val="center"/>
              <w:rPr>
                <w:rFonts w:hint="eastAsia"/>
                <w:bCs/>
                <w:color w:val="auto"/>
                <w:szCs w:val="21"/>
              </w:rPr>
            </w:pPr>
          </w:p>
        </w:tc>
      </w:tr>
      <w:tr w14:paraId="55465D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56" w:type="dxa"/>
            <w:vMerge w:val="continue"/>
            <w:noWrap w:val="0"/>
            <w:vAlign w:val="center"/>
          </w:tcPr>
          <w:p w14:paraId="05F3090B">
            <w:pPr>
              <w:adjustRightInd w:val="0"/>
              <w:snapToGrid w:val="0"/>
              <w:jc w:val="center"/>
              <w:rPr>
                <w:color w:val="auto"/>
                <w:szCs w:val="21"/>
              </w:rPr>
            </w:pPr>
          </w:p>
        </w:tc>
        <w:tc>
          <w:tcPr>
            <w:tcW w:w="1512" w:type="dxa"/>
            <w:noWrap w:val="0"/>
            <w:vAlign w:val="center"/>
          </w:tcPr>
          <w:p w14:paraId="55B1A31F">
            <w:pPr>
              <w:ind w:left="-105" w:leftChars="-50" w:right="-105" w:rightChars="-50"/>
              <w:jc w:val="center"/>
              <w:rPr>
                <w:rFonts w:hint="eastAsia" w:eastAsia="宋体"/>
                <w:color w:val="auto"/>
                <w:kern w:val="2"/>
                <w:sz w:val="21"/>
                <w:szCs w:val="21"/>
                <w:lang w:val="en-US" w:eastAsia="zh-CN" w:bidi="ar-SA"/>
              </w:rPr>
            </w:pPr>
            <w:r>
              <w:rPr>
                <w:rFonts w:hint="eastAsia"/>
                <w:color w:val="auto"/>
                <w:szCs w:val="21"/>
                <w:lang w:val="en-US" w:eastAsia="zh-CN"/>
              </w:rPr>
              <w:t>排气筒DA003</w:t>
            </w:r>
          </w:p>
        </w:tc>
        <w:tc>
          <w:tcPr>
            <w:tcW w:w="1442" w:type="dxa"/>
            <w:noWrap w:val="0"/>
            <w:vAlign w:val="center"/>
          </w:tcPr>
          <w:p w14:paraId="5F70D325">
            <w:pPr>
              <w:adjustRightInd w:val="0"/>
              <w:snapToGrid w:val="0"/>
              <w:jc w:val="center"/>
              <w:rPr>
                <w:rFonts w:hint="eastAsia"/>
                <w:color w:val="auto"/>
                <w:kern w:val="2"/>
                <w:sz w:val="21"/>
                <w:szCs w:val="21"/>
                <w:lang w:val="en-US" w:eastAsia="zh-CN" w:bidi="ar-SA"/>
              </w:rPr>
            </w:pPr>
            <w:r>
              <w:rPr>
                <w:rFonts w:hint="eastAsia"/>
                <w:color w:val="auto"/>
                <w:kern w:val="2"/>
                <w:sz w:val="21"/>
                <w:szCs w:val="21"/>
                <w:lang w:val="en-US" w:eastAsia="zh-CN" w:bidi="ar-SA"/>
              </w:rPr>
              <w:t>颗粒物、甲苯、二甲苯、非甲烷总烃</w:t>
            </w:r>
          </w:p>
        </w:tc>
        <w:tc>
          <w:tcPr>
            <w:tcW w:w="2163" w:type="dxa"/>
            <w:noWrap w:val="0"/>
            <w:vAlign w:val="center"/>
          </w:tcPr>
          <w:p w14:paraId="59FD7820">
            <w:pPr>
              <w:adjustRightInd w:val="0"/>
              <w:snapToGrid w:val="0"/>
              <w:jc w:val="center"/>
              <w:rPr>
                <w:rFonts w:hint="eastAsia" w:eastAsia="宋体"/>
                <w:color w:val="auto"/>
                <w:szCs w:val="21"/>
                <w:lang w:eastAsia="zh-CN"/>
              </w:rPr>
            </w:pPr>
            <w:r>
              <w:rPr>
                <w:rFonts w:hint="eastAsia"/>
                <w:color w:val="auto"/>
                <w:szCs w:val="21"/>
              </w:rPr>
              <w:t>中涂房产生的废气经过滤棉+二级活性炭吸附设施处理后，尾气经1根（DA003）16m高的排气筒排放</w:t>
            </w:r>
            <w:r>
              <w:rPr>
                <w:rFonts w:hint="eastAsia"/>
                <w:color w:val="auto"/>
                <w:szCs w:val="21"/>
                <w:lang w:eastAsia="zh-CN"/>
              </w:rPr>
              <w:t>；喷烤漆房</w:t>
            </w:r>
            <w:r>
              <w:rPr>
                <w:rFonts w:hint="eastAsia"/>
                <w:color w:val="auto"/>
                <w:szCs w:val="21"/>
                <w:lang w:val="en-US" w:eastAsia="zh-CN"/>
              </w:rPr>
              <w:t>3#</w:t>
            </w:r>
            <w:r>
              <w:rPr>
                <w:rFonts w:hint="eastAsia"/>
                <w:color w:val="auto"/>
                <w:szCs w:val="21"/>
                <w:lang w:eastAsia="zh-CN"/>
              </w:rPr>
              <w:t>、调漆、危废贮存库2#产生的废气经过滤棉+二级活性炭吸附设施处理后，尾气并入DA003排气筒排放</w:t>
            </w:r>
          </w:p>
        </w:tc>
        <w:tc>
          <w:tcPr>
            <w:tcW w:w="2427" w:type="dxa"/>
            <w:vMerge w:val="continue"/>
            <w:noWrap w:val="0"/>
            <w:vAlign w:val="center"/>
          </w:tcPr>
          <w:p w14:paraId="4A34E616">
            <w:pPr>
              <w:adjustRightInd w:val="0"/>
              <w:snapToGrid w:val="0"/>
              <w:jc w:val="center"/>
              <w:rPr>
                <w:rFonts w:hint="eastAsia"/>
                <w:bCs/>
                <w:color w:val="auto"/>
                <w:szCs w:val="21"/>
              </w:rPr>
            </w:pPr>
          </w:p>
        </w:tc>
      </w:tr>
      <w:tr w14:paraId="0F5907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56" w:type="dxa"/>
            <w:vMerge w:val="continue"/>
            <w:noWrap w:val="0"/>
            <w:vAlign w:val="center"/>
          </w:tcPr>
          <w:p w14:paraId="23E71801">
            <w:pPr>
              <w:adjustRightInd w:val="0"/>
              <w:snapToGrid w:val="0"/>
              <w:jc w:val="center"/>
              <w:rPr>
                <w:color w:val="auto"/>
                <w:szCs w:val="21"/>
              </w:rPr>
            </w:pPr>
          </w:p>
        </w:tc>
        <w:tc>
          <w:tcPr>
            <w:tcW w:w="1512" w:type="dxa"/>
            <w:noWrap w:val="0"/>
            <w:vAlign w:val="center"/>
          </w:tcPr>
          <w:p w14:paraId="4D347AB4">
            <w:pPr>
              <w:ind w:left="-105" w:leftChars="-50" w:right="-105" w:rightChars="-50"/>
              <w:jc w:val="center"/>
              <w:rPr>
                <w:rFonts w:hint="eastAsia" w:eastAsia="宋体"/>
                <w:color w:val="auto"/>
                <w:kern w:val="2"/>
                <w:sz w:val="21"/>
                <w:szCs w:val="21"/>
                <w:lang w:val="en-US" w:eastAsia="zh-CN" w:bidi="ar-SA"/>
              </w:rPr>
            </w:pPr>
            <w:r>
              <w:rPr>
                <w:rFonts w:hint="eastAsia"/>
                <w:color w:val="auto"/>
                <w:szCs w:val="21"/>
                <w:lang w:val="en-US" w:eastAsia="zh-CN"/>
              </w:rPr>
              <w:t>排气筒DA004</w:t>
            </w:r>
          </w:p>
        </w:tc>
        <w:tc>
          <w:tcPr>
            <w:tcW w:w="1442" w:type="dxa"/>
            <w:vMerge w:val="restart"/>
            <w:noWrap w:val="0"/>
            <w:vAlign w:val="center"/>
          </w:tcPr>
          <w:p w14:paraId="0EC9ACB8">
            <w:pPr>
              <w:adjustRightInd w:val="0"/>
              <w:snapToGrid w:val="0"/>
              <w:jc w:val="center"/>
              <w:rPr>
                <w:rFonts w:hint="default"/>
                <w:color w:val="auto"/>
                <w:kern w:val="2"/>
                <w:sz w:val="21"/>
                <w:szCs w:val="21"/>
                <w:lang w:val="en-US" w:eastAsia="zh-CN" w:bidi="ar-SA"/>
              </w:rPr>
            </w:pPr>
            <w:r>
              <w:rPr>
                <w:rFonts w:hint="eastAsia"/>
                <w:color w:val="auto"/>
                <w:kern w:val="2"/>
                <w:sz w:val="21"/>
                <w:szCs w:val="21"/>
                <w:lang w:val="en-US" w:eastAsia="zh-CN" w:bidi="ar-SA"/>
              </w:rPr>
              <w:t>颗粒物、非甲烷总烃</w:t>
            </w:r>
          </w:p>
        </w:tc>
        <w:tc>
          <w:tcPr>
            <w:tcW w:w="2163" w:type="dxa"/>
            <w:noWrap w:val="0"/>
            <w:vAlign w:val="center"/>
          </w:tcPr>
          <w:p w14:paraId="133023D2">
            <w:pPr>
              <w:adjustRightInd w:val="0"/>
              <w:snapToGrid w:val="0"/>
              <w:jc w:val="center"/>
              <w:rPr>
                <w:rFonts w:hint="default" w:eastAsia="宋体"/>
                <w:color w:val="auto"/>
                <w:szCs w:val="21"/>
                <w:lang w:val="en-US" w:eastAsia="zh-CN"/>
              </w:rPr>
            </w:pPr>
            <w:r>
              <w:rPr>
                <w:rFonts w:hint="default" w:eastAsia="宋体"/>
                <w:color w:val="auto"/>
                <w:szCs w:val="21"/>
                <w:lang w:val="en-US" w:eastAsia="zh-CN"/>
              </w:rPr>
              <w:t>打磨房4#~5#打磨抛光粉尘和涂原子灰废气收集后采用过滤棉+活性炭处置后，尾气通过排气筒DA004排放</w:t>
            </w:r>
          </w:p>
        </w:tc>
        <w:tc>
          <w:tcPr>
            <w:tcW w:w="2427" w:type="dxa"/>
            <w:vMerge w:val="continue"/>
            <w:noWrap w:val="0"/>
            <w:vAlign w:val="center"/>
          </w:tcPr>
          <w:p w14:paraId="3671E48F">
            <w:pPr>
              <w:adjustRightInd w:val="0"/>
              <w:snapToGrid w:val="0"/>
              <w:jc w:val="center"/>
              <w:rPr>
                <w:rFonts w:hint="eastAsia"/>
                <w:bCs/>
                <w:color w:val="auto"/>
                <w:szCs w:val="21"/>
              </w:rPr>
            </w:pPr>
          </w:p>
        </w:tc>
      </w:tr>
      <w:tr w14:paraId="04F76C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56" w:type="dxa"/>
            <w:vMerge w:val="continue"/>
            <w:noWrap w:val="0"/>
            <w:vAlign w:val="center"/>
          </w:tcPr>
          <w:p w14:paraId="101CDE27">
            <w:pPr>
              <w:adjustRightInd w:val="0"/>
              <w:snapToGrid w:val="0"/>
              <w:jc w:val="center"/>
              <w:rPr>
                <w:color w:val="auto"/>
                <w:szCs w:val="21"/>
              </w:rPr>
            </w:pPr>
          </w:p>
        </w:tc>
        <w:tc>
          <w:tcPr>
            <w:tcW w:w="1512" w:type="dxa"/>
            <w:noWrap w:val="0"/>
            <w:vAlign w:val="center"/>
          </w:tcPr>
          <w:p w14:paraId="31A0975F">
            <w:pPr>
              <w:ind w:left="-105" w:leftChars="-50" w:right="-105" w:rightChars="-50"/>
              <w:jc w:val="center"/>
              <w:rPr>
                <w:rFonts w:hint="eastAsia" w:eastAsia="宋体"/>
                <w:color w:val="auto"/>
                <w:kern w:val="2"/>
                <w:sz w:val="21"/>
                <w:szCs w:val="21"/>
                <w:lang w:val="en-US" w:eastAsia="zh-CN" w:bidi="ar-SA"/>
              </w:rPr>
            </w:pPr>
            <w:r>
              <w:rPr>
                <w:rFonts w:hint="eastAsia"/>
                <w:color w:val="auto"/>
                <w:szCs w:val="21"/>
                <w:lang w:val="en-US" w:eastAsia="zh-CN"/>
              </w:rPr>
              <w:t>排气筒DA005</w:t>
            </w:r>
          </w:p>
        </w:tc>
        <w:tc>
          <w:tcPr>
            <w:tcW w:w="1442" w:type="dxa"/>
            <w:vMerge w:val="continue"/>
            <w:noWrap w:val="0"/>
            <w:vAlign w:val="center"/>
          </w:tcPr>
          <w:p w14:paraId="07D703B8">
            <w:pPr>
              <w:adjustRightInd w:val="0"/>
              <w:snapToGrid w:val="0"/>
              <w:jc w:val="center"/>
              <w:rPr>
                <w:rFonts w:hint="default"/>
                <w:color w:val="auto"/>
                <w:kern w:val="2"/>
                <w:sz w:val="21"/>
                <w:szCs w:val="21"/>
                <w:lang w:val="en-US" w:eastAsia="zh-CN" w:bidi="ar-SA"/>
              </w:rPr>
            </w:pPr>
          </w:p>
        </w:tc>
        <w:tc>
          <w:tcPr>
            <w:tcW w:w="2163" w:type="dxa"/>
            <w:noWrap w:val="0"/>
            <w:vAlign w:val="center"/>
          </w:tcPr>
          <w:p w14:paraId="5AD0F01F">
            <w:pPr>
              <w:adjustRightInd w:val="0"/>
              <w:snapToGrid w:val="0"/>
              <w:jc w:val="center"/>
              <w:rPr>
                <w:rFonts w:hint="eastAsia"/>
                <w:color w:val="auto"/>
                <w:szCs w:val="21"/>
              </w:rPr>
            </w:pPr>
            <w:r>
              <w:rPr>
                <w:rFonts w:hint="default" w:eastAsia="宋体"/>
                <w:color w:val="auto"/>
                <w:szCs w:val="21"/>
                <w:lang w:val="en-US" w:eastAsia="zh-CN"/>
              </w:rPr>
              <w:t>打磨房1#~3#内打磨、焊接、抛光粉尘和涂原子灰废气收集后采用过滤棉+活性炭处置后，尾气通过排气筒DA005排放</w:t>
            </w:r>
          </w:p>
        </w:tc>
        <w:tc>
          <w:tcPr>
            <w:tcW w:w="2427" w:type="dxa"/>
            <w:vMerge w:val="continue"/>
            <w:noWrap w:val="0"/>
            <w:vAlign w:val="center"/>
          </w:tcPr>
          <w:p w14:paraId="26A9E7F9">
            <w:pPr>
              <w:adjustRightInd w:val="0"/>
              <w:snapToGrid w:val="0"/>
              <w:jc w:val="center"/>
              <w:rPr>
                <w:rFonts w:hint="eastAsia"/>
                <w:bCs/>
                <w:color w:val="auto"/>
                <w:szCs w:val="21"/>
              </w:rPr>
            </w:pPr>
          </w:p>
        </w:tc>
      </w:tr>
      <w:tr w14:paraId="3740C6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1256" w:type="dxa"/>
            <w:vMerge w:val="restart"/>
            <w:noWrap w:val="0"/>
            <w:vAlign w:val="center"/>
          </w:tcPr>
          <w:p w14:paraId="609B3FD0">
            <w:pPr>
              <w:adjustRightInd w:val="0"/>
              <w:snapToGrid w:val="0"/>
              <w:jc w:val="center"/>
              <w:rPr>
                <w:color w:val="auto"/>
                <w:szCs w:val="21"/>
              </w:rPr>
            </w:pPr>
            <w:r>
              <w:rPr>
                <w:color w:val="auto"/>
                <w:szCs w:val="21"/>
              </w:rPr>
              <w:t>地表水环境</w:t>
            </w:r>
          </w:p>
        </w:tc>
        <w:tc>
          <w:tcPr>
            <w:tcW w:w="1512" w:type="dxa"/>
            <w:noWrap w:val="0"/>
            <w:vAlign w:val="center"/>
          </w:tcPr>
          <w:p w14:paraId="1FE1BDC2">
            <w:pPr>
              <w:adjustRightInd w:val="0"/>
              <w:snapToGrid w:val="0"/>
              <w:jc w:val="center"/>
              <w:rPr>
                <w:color w:val="auto"/>
                <w:szCs w:val="21"/>
              </w:rPr>
            </w:pPr>
            <w:r>
              <w:rPr>
                <w:color w:val="auto"/>
                <w:szCs w:val="21"/>
              </w:rPr>
              <w:t>生活污水</w:t>
            </w:r>
          </w:p>
        </w:tc>
        <w:tc>
          <w:tcPr>
            <w:tcW w:w="1442" w:type="dxa"/>
            <w:noWrap w:val="0"/>
            <w:vAlign w:val="center"/>
          </w:tcPr>
          <w:p w14:paraId="52372927">
            <w:pPr>
              <w:adjustRightInd w:val="0"/>
              <w:snapToGrid w:val="0"/>
              <w:jc w:val="center"/>
              <w:rPr>
                <w:color w:val="auto"/>
                <w:szCs w:val="21"/>
              </w:rPr>
            </w:pPr>
            <w:r>
              <w:rPr>
                <w:color w:val="auto"/>
                <w:szCs w:val="21"/>
              </w:rPr>
              <w:t>COD</w:t>
            </w:r>
            <w:r>
              <w:rPr>
                <w:rFonts w:hint="eastAsia"/>
                <w:color w:val="auto"/>
                <w:szCs w:val="21"/>
              </w:rPr>
              <w:t>、</w:t>
            </w:r>
            <w:r>
              <w:rPr>
                <w:color w:val="auto"/>
                <w:szCs w:val="21"/>
              </w:rPr>
              <w:t>BOD</w:t>
            </w:r>
            <w:r>
              <w:rPr>
                <w:color w:val="auto"/>
                <w:szCs w:val="21"/>
                <w:vertAlign w:val="subscript"/>
              </w:rPr>
              <w:t>5</w:t>
            </w:r>
            <w:r>
              <w:rPr>
                <w:rFonts w:hint="eastAsia"/>
                <w:color w:val="auto"/>
                <w:szCs w:val="21"/>
              </w:rPr>
              <w:t>、</w:t>
            </w:r>
            <w:r>
              <w:rPr>
                <w:color w:val="auto"/>
                <w:szCs w:val="21"/>
              </w:rPr>
              <w:t>SS</w:t>
            </w:r>
            <w:r>
              <w:rPr>
                <w:rFonts w:hint="eastAsia"/>
                <w:color w:val="auto"/>
                <w:szCs w:val="21"/>
              </w:rPr>
              <w:t>、</w:t>
            </w:r>
            <w:r>
              <w:rPr>
                <w:color w:val="auto"/>
                <w:szCs w:val="21"/>
              </w:rPr>
              <w:t>NH</w:t>
            </w:r>
            <w:r>
              <w:rPr>
                <w:color w:val="auto"/>
                <w:szCs w:val="21"/>
                <w:vertAlign w:val="subscript"/>
              </w:rPr>
              <w:t>3</w:t>
            </w:r>
            <w:r>
              <w:rPr>
                <w:color w:val="auto"/>
                <w:szCs w:val="21"/>
              </w:rPr>
              <w:t>-N</w:t>
            </w:r>
            <w:r>
              <w:rPr>
                <w:rFonts w:hint="eastAsia"/>
                <w:color w:val="auto"/>
                <w:szCs w:val="21"/>
              </w:rPr>
              <w:t>、TN、TP</w:t>
            </w:r>
          </w:p>
        </w:tc>
        <w:tc>
          <w:tcPr>
            <w:tcW w:w="2163" w:type="dxa"/>
            <w:noWrap w:val="0"/>
            <w:vAlign w:val="center"/>
          </w:tcPr>
          <w:p w14:paraId="786A486E">
            <w:pPr>
              <w:adjustRightInd w:val="0"/>
              <w:snapToGrid w:val="0"/>
              <w:jc w:val="center"/>
              <w:rPr>
                <w:rFonts w:hint="eastAsia"/>
                <w:color w:val="auto"/>
                <w:szCs w:val="21"/>
              </w:rPr>
            </w:pPr>
            <w:r>
              <w:rPr>
                <w:rFonts w:hint="eastAsia"/>
                <w:color w:val="auto"/>
                <w:szCs w:val="21"/>
              </w:rPr>
              <w:t>排入小区污水管网，经化粪池处理后排入市政污水管网，最终进入西安净水处理有限责任公司第六再生水厂</w:t>
            </w:r>
          </w:p>
        </w:tc>
        <w:tc>
          <w:tcPr>
            <w:tcW w:w="2427" w:type="dxa"/>
            <w:vMerge w:val="restart"/>
            <w:noWrap w:val="0"/>
            <w:vAlign w:val="center"/>
          </w:tcPr>
          <w:p w14:paraId="7010A190">
            <w:pPr>
              <w:adjustRightInd w:val="0"/>
              <w:snapToGrid w:val="0"/>
              <w:jc w:val="center"/>
              <w:rPr>
                <w:rFonts w:hint="eastAsia"/>
                <w:color w:val="auto"/>
                <w:szCs w:val="21"/>
              </w:rPr>
            </w:pPr>
            <w:r>
              <w:rPr>
                <w:rFonts w:hint="eastAsia"/>
                <w:color w:val="auto"/>
                <w:szCs w:val="21"/>
              </w:rPr>
              <w:t>《汽车维修业水污染物排放标准》（GB26877-2011）表2中间接排放标准</w:t>
            </w:r>
            <w:r>
              <w:rPr>
                <w:rFonts w:hint="eastAsia"/>
                <w:color w:val="auto"/>
                <w:szCs w:val="21"/>
                <w:lang w:eastAsia="zh-CN"/>
              </w:rPr>
              <w:t>，</w:t>
            </w:r>
            <w:r>
              <w:rPr>
                <w:rFonts w:hint="eastAsia"/>
                <w:color w:val="auto"/>
                <w:szCs w:val="21"/>
              </w:rPr>
              <w:t>同时符合西安净水处理有限责任公司第六再生水厂进水接纳标准</w:t>
            </w:r>
          </w:p>
        </w:tc>
      </w:tr>
      <w:tr w14:paraId="7E251F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56" w:type="dxa"/>
            <w:vMerge w:val="continue"/>
            <w:noWrap w:val="0"/>
            <w:vAlign w:val="center"/>
          </w:tcPr>
          <w:p w14:paraId="04BCBA29">
            <w:pPr>
              <w:adjustRightInd w:val="0"/>
              <w:snapToGrid w:val="0"/>
              <w:jc w:val="center"/>
              <w:rPr>
                <w:color w:val="auto"/>
                <w:szCs w:val="21"/>
              </w:rPr>
            </w:pPr>
          </w:p>
        </w:tc>
        <w:tc>
          <w:tcPr>
            <w:tcW w:w="1512" w:type="dxa"/>
            <w:noWrap w:val="0"/>
            <w:vAlign w:val="center"/>
          </w:tcPr>
          <w:p w14:paraId="6046D586">
            <w:pPr>
              <w:adjustRightInd w:val="0"/>
              <w:snapToGrid w:val="0"/>
              <w:jc w:val="center"/>
              <w:rPr>
                <w:rFonts w:hint="default" w:eastAsia="宋体"/>
                <w:color w:val="auto"/>
                <w:szCs w:val="21"/>
                <w:lang w:val="en-US" w:eastAsia="zh-CN"/>
              </w:rPr>
            </w:pPr>
            <w:r>
              <w:rPr>
                <w:rFonts w:hint="eastAsia"/>
                <w:color w:val="auto"/>
                <w:szCs w:val="21"/>
                <w:lang w:val="en-US" w:eastAsia="zh-CN"/>
              </w:rPr>
              <w:t>钣喷中心地面拖地废水、洗车废水</w:t>
            </w:r>
          </w:p>
        </w:tc>
        <w:tc>
          <w:tcPr>
            <w:tcW w:w="1442" w:type="dxa"/>
            <w:noWrap w:val="0"/>
            <w:vAlign w:val="center"/>
          </w:tcPr>
          <w:p w14:paraId="1EF29759">
            <w:pPr>
              <w:adjustRightInd w:val="0"/>
              <w:snapToGrid w:val="0"/>
              <w:jc w:val="center"/>
              <w:rPr>
                <w:rFonts w:hint="default" w:eastAsia="宋体"/>
                <w:color w:val="auto"/>
                <w:szCs w:val="21"/>
                <w:lang w:val="en-US" w:eastAsia="zh-CN"/>
              </w:rPr>
            </w:pPr>
            <w:r>
              <w:rPr>
                <w:color w:val="auto"/>
                <w:szCs w:val="21"/>
              </w:rPr>
              <w:t>COD</w:t>
            </w:r>
            <w:r>
              <w:rPr>
                <w:rFonts w:hint="eastAsia"/>
                <w:color w:val="auto"/>
                <w:szCs w:val="21"/>
              </w:rPr>
              <w:t>、</w:t>
            </w:r>
            <w:r>
              <w:rPr>
                <w:rFonts w:hint="eastAsia"/>
                <w:color w:val="auto"/>
                <w:szCs w:val="21"/>
                <w:lang w:val="en-US" w:eastAsia="zh-CN"/>
              </w:rPr>
              <w:t>SS、LAS、石油类</w:t>
            </w:r>
          </w:p>
        </w:tc>
        <w:tc>
          <w:tcPr>
            <w:tcW w:w="2163" w:type="dxa"/>
            <w:noWrap w:val="0"/>
            <w:vAlign w:val="center"/>
          </w:tcPr>
          <w:p w14:paraId="19544FED">
            <w:pPr>
              <w:adjustRightInd w:val="0"/>
              <w:snapToGrid w:val="0"/>
              <w:jc w:val="center"/>
              <w:rPr>
                <w:rFonts w:hint="eastAsia"/>
                <w:color w:val="auto"/>
                <w:szCs w:val="21"/>
              </w:rPr>
            </w:pPr>
            <w:r>
              <w:rPr>
                <w:rFonts w:hint="eastAsia"/>
                <w:color w:val="auto"/>
                <w:szCs w:val="21"/>
              </w:rPr>
              <w:t>经隔油池+沉淀池处理，</w:t>
            </w:r>
            <w:r>
              <w:rPr>
                <w:rFonts w:hint="eastAsia"/>
                <w:color w:val="auto"/>
                <w:szCs w:val="21"/>
                <w:lang w:val="en-US" w:eastAsia="zh-CN"/>
              </w:rPr>
              <w:t>经</w:t>
            </w:r>
            <w:r>
              <w:rPr>
                <w:rFonts w:hint="eastAsia"/>
                <w:color w:val="auto"/>
                <w:szCs w:val="21"/>
              </w:rPr>
              <w:t>化粪池后进入市政污水管网，最终进入西安净水处理有限责任公司第六再生水厂</w:t>
            </w:r>
          </w:p>
        </w:tc>
        <w:tc>
          <w:tcPr>
            <w:tcW w:w="2427" w:type="dxa"/>
            <w:vMerge w:val="continue"/>
            <w:noWrap w:val="0"/>
            <w:vAlign w:val="center"/>
          </w:tcPr>
          <w:p w14:paraId="5AFE6D8A">
            <w:pPr>
              <w:adjustRightInd w:val="0"/>
              <w:snapToGrid w:val="0"/>
              <w:jc w:val="center"/>
              <w:rPr>
                <w:rFonts w:hint="eastAsia"/>
                <w:color w:val="auto"/>
                <w:szCs w:val="21"/>
              </w:rPr>
            </w:pPr>
          </w:p>
        </w:tc>
      </w:tr>
      <w:tr w14:paraId="7CD38A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56" w:type="dxa"/>
            <w:noWrap w:val="0"/>
            <w:vAlign w:val="center"/>
          </w:tcPr>
          <w:p w14:paraId="7424AAAE">
            <w:pPr>
              <w:adjustRightInd w:val="0"/>
              <w:snapToGrid w:val="0"/>
              <w:jc w:val="center"/>
              <w:rPr>
                <w:color w:val="auto"/>
                <w:szCs w:val="21"/>
              </w:rPr>
            </w:pPr>
            <w:r>
              <w:rPr>
                <w:color w:val="auto"/>
                <w:szCs w:val="21"/>
              </w:rPr>
              <w:t>声环境</w:t>
            </w:r>
          </w:p>
        </w:tc>
        <w:tc>
          <w:tcPr>
            <w:tcW w:w="1512" w:type="dxa"/>
            <w:noWrap w:val="0"/>
            <w:vAlign w:val="center"/>
          </w:tcPr>
          <w:p w14:paraId="5A162FE3">
            <w:pPr>
              <w:adjustRightInd w:val="0"/>
              <w:snapToGrid w:val="0"/>
              <w:jc w:val="center"/>
              <w:rPr>
                <w:color w:val="auto"/>
                <w:szCs w:val="21"/>
              </w:rPr>
            </w:pPr>
            <w:r>
              <w:rPr>
                <w:rFonts w:hint="eastAsia"/>
                <w:color w:val="auto"/>
                <w:szCs w:val="21"/>
              </w:rPr>
              <w:t>设备噪声</w:t>
            </w:r>
          </w:p>
        </w:tc>
        <w:tc>
          <w:tcPr>
            <w:tcW w:w="1442" w:type="dxa"/>
            <w:noWrap w:val="0"/>
            <w:vAlign w:val="center"/>
          </w:tcPr>
          <w:p w14:paraId="13D2755C">
            <w:pPr>
              <w:adjustRightInd w:val="0"/>
              <w:snapToGrid w:val="0"/>
              <w:jc w:val="center"/>
              <w:rPr>
                <w:rFonts w:hint="eastAsia"/>
                <w:color w:val="auto"/>
                <w:szCs w:val="21"/>
              </w:rPr>
            </w:pPr>
            <w:r>
              <w:rPr>
                <w:rFonts w:hint="eastAsia"/>
                <w:color w:val="auto"/>
                <w:kern w:val="0"/>
                <w:szCs w:val="21"/>
              </w:rPr>
              <w:t>等效连续A声级</w:t>
            </w:r>
          </w:p>
        </w:tc>
        <w:tc>
          <w:tcPr>
            <w:tcW w:w="2163" w:type="dxa"/>
            <w:noWrap w:val="0"/>
            <w:vAlign w:val="center"/>
          </w:tcPr>
          <w:p w14:paraId="47F18A31">
            <w:pPr>
              <w:adjustRightInd w:val="0"/>
              <w:snapToGrid w:val="0"/>
              <w:jc w:val="center"/>
              <w:rPr>
                <w:color w:val="auto"/>
                <w:szCs w:val="21"/>
              </w:rPr>
            </w:pPr>
            <w:r>
              <w:rPr>
                <w:rFonts w:hint="eastAsia"/>
                <w:color w:val="auto"/>
                <w:kern w:val="0"/>
                <w:szCs w:val="21"/>
              </w:rPr>
              <w:t>选用低噪设备、厂房隔声、合理布局等措施降噪</w:t>
            </w:r>
          </w:p>
        </w:tc>
        <w:tc>
          <w:tcPr>
            <w:tcW w:w="2427" w:type="dxa"/>
            <w:noWrap w:val="0"/>
            <w:vAlign w:val="center"/>
          </w:tcPr>
          <w:p w14:paraId="45CAD27E">
            <w:pPr>
              <w:adjustRightInd w:val="0"/>
              <w:snapToGrid w:val="0"/>
              <w:jc w:val="center"/>
              <w:rPr>
                <w:color w:val="auto"/>
                <w:szCs w:val="21"/>
              </w:rPr>
            </w:pPr>
            <w:r>
              <w:rPr>
                <w:bCs/>
                <w:color w:val="auto"/>
                <w:szCs w:val="21"/>
              </w:rPr>
              <w:t>《工业企业厂界环境噪声排放标准》</w:t>
            </w:r>
            <w:r>
              <w:rPr>
                <w:color w:val="auto"/>
                <w:szCs w:val="21"/>
              </w:rPr>
              <w:t>（</w:t>
            </w:r>
            <w:r>
              <w:rPr>
                <w:bCs/>
                <w:color w:val="auto"/>
                <w:szCs w:val="21"/>
              </w:rPr>
              <w:t>GB12348-2008）</w:t>
            </w:r>
            <w:r>
              <w:rPr>
                <w:color w:val="auto"/>
                <w:spacing w:val="6"/>
                <w:szCs w:val="21"/>
              </w:rPr>
              <w:t>中的</w:t>
            </w:r>
            <w:r>
              <w:rPr>
                <w:rFonts w:hint="eastAsia"/>
                <w:color w:val="auto"/>
                <w:spacing w:val="6"/>
                <w:szCs w:val="21"/>
                <w:lang w:val="en-US" w:eastAsia="zh-CN"/>
              </w:rPr>
              <w:t>3</w:t>
            </w:r>
            <w:r>
              <w:rPr>
                <w:color w:val="auto"/>
                <w:spacing w:val="6"/>
                <w:szCs w:val="21"/>
              </w:rPr>
              <w:t>类标准</w:t>
            </w:r>
          </w:p>
        </w:tc>
      </w:tr>
      <w:tr w14:paraId="122BDE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56" w:type="dxa"/>
            <w:noWrap w:val="0"/>
            <w:vAlign w:val="center"/>
          </w:tcPr>
          <w:p w14:paraId="5A867157">
            <w:pPr>
              <w:adjustRightInd w:val="0"/>
              <w:snapToGrid w:val="0"/>
              <w:jc w:val="center"/>
              <w:rPr>
                <w:color w:val="auto"/>
                <w:szCs w:val="21"/>
              </w:rPr>
            </w:pPr>
            <w:r>
              <w:rPr>
                <w:color w:val="auto"/>
                <w:szCs w:val="21"/>
              </w:rPr>
              <w:t>电磁辐射</w:t>
            </w:r>
          </w:p>
        </w:tc>
        <w:tc>
          <w:tcPr>
            <w:tcW w:w="1512" w:type="dxa"/>
            <w:noWrap w:val="0"/>
            <w:vAlign w:val="center"/>
          </w:tcPr>
          <w:p w14:paraId="43F6DAFC">
            <w:pPr>
              <w:adjustRightInd w:val="0"/>
              <w:snapToGrid w:val="0"/>
              <w:jc w:val="center"/>
              <w:rPr>
                <w:color w:val="auto"/>
                <w:szCs w:val="21"/>
              </w:rPr>
            </w:pPr>
            <w:r>
              <w:rPr>
                <w:color w:val="auto"/>
                <w:szCs w:val="21"/>
              </w:rPr>
              <w:t>/</w:t>
            </w:r>
          </w:p>
        </w:tc>
        <w:tc>
          <w:tcPr>
            <w:tcW w:w="1442" w:type="dxa"/>
            <w:noWrap w:val="0"/>
            <w:vAlign w:val="center"/>
          </w:tcPr>
          <w:p w14:paraId="6EEE4D61">
            <w:pPr>
              <w:adjustRightInd w:val="0"/>
              <w:snapToGrid w:val="0"/>
              <w:jc w:val="center"/>
              <w:rPr>
                <w:color w:val="auto"/>
                <w:szCs w:val="21"/>
              </w:rPr>
            </w:pPr>
            <w:r>
              <w:rPr>
                <w:color w:val="auto"/>
                <w:szCs w:val="21"/>
              </w:rPr>
              <w:t>/</w:t>
            </w:r>
          </w:p>
        </w:tc>
        <w:tc>
          <w:tcPr>
            <w:tcW w:w="2163" w:type="dxa"/>
            <w:noWrap w:val="0"/>
            <w:vAlign w:val="center"/>
          </w:tcPr>
          <w:p w14:paraId="1170F1A2">
            <w:pPr>
              <w:adjustRightInd w:val="0"/>
              <w:snapToGrid w:val="0"/>
              <w:jc w:val="center"/>
              <w:rPr>
                <w:color w:val="auto"/>
                <w:szCs w:val="21"/>
              </w:rPr>
            </w:pPr>
            <w:r>
              <w:rPr>
                <w:color w:val="auto"/>
                <w:szCs w:val="21"/>
              </w:rPr>
              <w:t>/</w:t>
            </w:r>
          </w:p>
        </w:tc>
        <w:tc>
          <w:tcPr>
            <w:tcW w:w="2427" w:type="dxa"/>
            <w:noWrap w:val="0"/>
            <w:vAlign w:val="center"/>
          </w:tcPr>
          <w:p w14:paraId="57FDD220">
            <w:pPr>
              <w:adjustRightInd w:val="0"/>
              <w:snapToGrid w:val="0"/>
              <w:jc w:val="center"/>
              <w:rPr>
                <w:color w:val="auto"/>
                <w:szCs w:val="21"/>
              </w:rPr>
            </w:pPr>
            <w:r>
              <w:rPr>
                <w:color w:val="auto"/>
                <w:szCs w:val="21"/>
              </w:rPr>
              <w:t>/</w:t>
            </w:r>
          </w:p>
        </w:tc>
      </w:tr>
      <w:tr w14:paraId="06485E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6" w:type="dxa"/>
            <w:vMerge w:val="restart"/>
            <w:noWrap w:val="0"/>
            <w:vAlign w:val="center"/>
          </w:tcPr>
          <w:p w14:paraId="0ED24C6E">
            <w:pPr>
              <w:adjustRightInd w:val="0"/>
              <w:snapToGrid w:val="0"/>
              <w:jc w:val="center"/>
              <w:rPr>
                <w:color w:val="auto"/>
                <w:szCs w:val="21"/>
              </w:rPr>
            </w:pPr>
            <w:r>
              <w:rPr>
                <w:color w:val="auto"/>
                <w:szCs w:val="21"/>
              </w:rPr>
              <w:t>固体废物</w:t>
            </w:r>
          </w:p>
        </w:tc>
        <w:tc>
          <w:tcPr>
            <w:tcW w:w="1512" w:type="dxa"/>
            <w:tcBorders>
              <w:bottom w:val="single" w:color="auto" w:sz="4" w:space="0"/>
              <w:right w:val="single" w:color="000000" w:sz="6" w:space="0"/>
            </w:tcBorders>
            <w:noWrap w:val="0"/>
            <w:vAlign w:val="center"/>
          </w:tcPr>
          <w:p w14:paraId="60AD732D">
            <w:pPr>
              <w:jc w:val="center"/>
              <w:rPr>
                <w:color w:val="auto"/>
                <w:szCs w:val="21"/>
              </w:rPr>
            </w:pPr>
            <w:r>
              <w:rPr>
                <w:color w:val="auto"/>
                <w:szCs w:val="21"/>
              </w:rPr>
              <w:t>生活办公</w:t>
            </w:r>
          </w:p>
        </w:tc>
        <w:tc>
          <w:tcPr>
            <w:tcW w:w="1442" w:type="dxa"/>
            <w:tcBorders>
              <w:left w:val="single" w:color="000000" w:sz="6" w:space="0"/>
              <w:bottom w:val="single" w:color="auto" w:sz="4" w:space="0"/>
              <w:right w:val="single" w:color="000000" w:sz="6" w:space="0"/>
            </w:tcBorders>
            <w:noWrap w:val="0"/>
            <w:vAlign w:val="center"/>
          </w:tcPr>
          <w:p w14:paraId="61862462">
            <w:pPr>
              <w:jc w:val="center"/>
              <w:rPr>
                <w:color w:val="auto"/>
                <w:szCs w:val="21"/>
              </w:rPr>
            </w:pPr>
            <w:r>
              <w:rPr>
                <w:color w:val="auto"/>
                <w:szCs w:val="21"/>
              </w:rPr>
              <w:t>生活垃圾</w:t>
            </w:r>
          </w:p>
        </w:tc>
        <w:tc>
          <w:tcPr>
            <w:tcW w:w="2163" w:type="dxa"/>
            <w:tcBorders>
              <w:left w:val="single" w:color="000000" w:sz="6" w:space="0"/>
              <w:right w:val="single" w:color="000000" w:sz="6" w:space="0"/>
            </w:tcBorders>
            <w:noWrap w:val="0"/>
            <w:vAlign w:val="center"/>
          </w:tcPr>
          <w:p w14:paraId="2C0663A5">
            <w:pPr>
              <w:jc w:val="center"/>
              <w:rPr>
                <w:rFonts w:hint="eastAsia"/>
                <w:color w:val="auto"/>
                <w:szCs w:val="21"/>
              </w:rPr>
            </w:pPr>
            <w:r>
              <w:rPr>
                <w:color w:val="auto"/>
                <w:szCs w:val="21"/>
              </w:rPr>
              <w:t>环卫部门</w:t>
            </w:r>
            <w:r>
              <w:rPr>
                <w:rFonts w:hint="eastAsia"/>
                <w:color w:val="auto"/>
                <w:szCs w:val="21"/>
              </w:rPr>
              <w:t>统一清运</w:t>
            </w:r>
          </w:p>
        </w:tc>
        <w:tc>
          <w:tcPr>
            <w:tcW w:w="2427" w:type="dxa"/>
            <w:tcBorders>
              <w:left w:val="single" w:color="000000" w:sz="6" w:space="0"/>
              <w:bottom w:val="single" w:color="auto" w:sz="4" w:space="0"/>
            </w:tcBorders>
            <w:noWrap w:val="0"/>
            <w:vAlign w:val="center"/>
          </w:tcPr>
          <w:p w14:paraId="328C19A2">
            <w:pPr>
              <w:adjustRightInd w:val="0"/>
              <w:snapToGrid w:val="0"/>
              <w:jc w:val="center"/>
              <w:rPr>
                <w:color w:val="auto"/>
                <w:szCs w:val="21"/>
              </w:rPr>
            </w:pPr>
            <w:r>
              <w:rPr>
                <w:color w:val="auto"/>
                <w:szCs w:val="21"/>
              </w:rPr>
              <w:t>/</w:t>
            </w:r>
          </w:p>
        </w:tc>
      </w:tr>
      <w:tr w14:paraId="0C4743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6" w:type="dxa"/>
            <w:vMerge w:val="continue"/>
            <w:noWrap w:val="0"/>
            <w:vAlign w:val="center"/>
          </w:tcPr>
          <w:p w14:paraId="2F4D017D">
            <w:pPr>
              <w:adjustRightInd w:val="0"/>
              <w:snapToGrid w:val="0"/>
              <w:jc w:val="center"/>
              <w:rPr>
                <w:color w:val="auto"/>
                <w:szCs w:val="21"/>
              </w:rPr>
            </w:pPr>
          </w:p>
        </w:tc>
        <w:tc>
          <w:tcPr>
            <w:tcW w:w="1512" w:type="dxa"/>
            <w:vMerge w:val="restart"/>
            <w:tcBorders>
              <w:right w:val="single" w:color="000000" w:sz="6" w:space="0"/>
            </w:tcBorders>
            <w:noWrap w:val="0"/>
            <w:vAlign w:val="center"/>
          </w:tcPr>
          <w:p w14:paraId="76A380ED">
            <w:pPr>
              <w:jc w:val="center"/>
              <w:rPr>
                <w:color w:val="auto"/>
                <w:szCs w:val="21"/>
              </w:rPr>
            </w:pPr>
            <w:r>
              <w:rPr>
                <w:color w:val="auto"/>
                <w:szCs w:val="21"/>
              </w:rPr>
              <w:t>生产活动</w:t>
            </w:r>
          </w:p>
        </w:tc>
        <w:tc>
          <w:tcPr>
            <w:tcW w:w="1442" w:type="dxa"/>
            <w:tcBorders>
              <w:left w:val="single" w:color="000000" w:sz="6" w:space="0"/>
              <w:bottom w:val="single" w:color="auto" w:sz="4" w:space="0"/>
              <w:right w:val="single" w:color="000000" w:sz="6" w:space="0"/>
            </w:tcBorders>
            <w:noWrap w:val="0"/>
            <w:vAlign w:val="center"/>
          </w:tcPr>
          <w:p w14:paraId="7BCE2900">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szCs w:val="21"/>
              </w:rPr>
              <w:t>废焊丝</w:t>
            </w:r>
          </w:p>
        </w:tc>
        <w:tc>
          <w:tcPr>
            <w:tcW w:w="2163" w:type="dxa"/>
            <w:vMerge w:val="restart"/>
            <w:tcBorders>
              <w:left w:val="single" w:color="000000" w:sz="6" w:space="0"/>
              <w:right w:val="single" w:color="000000" w:sz="6" w:space="0"/>
            </w:tcBorders>
            <w:noWrap w:val="0"/>
            <w:vAlign w:val="center"/>
          </w:tcPr>
          <w:p w14:paraId="57B7A273">
            <w:pPr>
              <w:jc w:val="center"/>
              <w:rPr>
                <w:rFonts w:hint="eastAsia"/>
                <w:color w:val="auto"/>
                <w:szCs w:val="21"/>
              </w:rPr>
            </w:pPr>
            <w:r>
              <w:rPr>
                <w:rFonts w:hint="eastAsia"/>
                <w:color w:val="auto"/>
                <w:szCs w:val="21"/>
                <w:lang w:val="en-US" w:eastAsia="zh-CN"/>
              </w:rPr>
              <w:t>收集后定期外售</w:t>
            </w:r>
          </w:p>
        </w:tc>
        <w:tc>
          <w:tcPr>
            <w:tcW w:w="2427" w:type="dxa"/>
            <w:vMerge w:val="restart"/>
            <w:tcBorders>
              <w:left w:val="single" w:color="000000" w:sz="6" w:space="0"/>
            </w:tcBorders>
            <w:noWrap w:val="0"/>
            <w:vAlign w:val="center"/>
          </w:tcPr>
          <w:p w14:paraId="21E4E95F">
            <w:pPr>
              <w:adjustRightInd w:val="0"/>
              <w:snapToGrid w:val="0"/>
              <w:jc w:val="center"/>
              <w:rPr>
                <w:rFonts w:hint="eastAsia" w:eastAsia="宋体"/>
                <w:color w:val="auto"/>
                <w:szCs w:val="21"/>
                <w:lang w:eastAsia="zh-CN"/>
              </w:rPr>
            </w:pPr>
            <w:r>
              <w:rPr>
                <w:rFonts w:hint="eastAsia"/>
                <w:color w:val="auto"/>
                <w:szCs w:val="21"/>
                <w:lang w:val="en-US" w:eastAsia="zh-CN"/>
              </w:rPr>
              <w:t>/</w:t>
            </w:r>
          </w:p>
        </w:tc>
      </w:tr>
      <w:tr w14:paraId="5A6C1E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6" w:type="dxa"/>
            <w:vMerge w:val="continue"/>
            <w:noWrap w:val="0"/>
            <w:vAlign w:val="center"/>
          </w:tcPr>
          <w:p w14:paraId="00E9E963">
            <w:pPr>
              <w:adjustRightInd w:val="0"/>
              <w:snapToGrid w:val="0"/>
              <w:jc w:val="center"/>
              <w:rPr>
                <w:color w:val="auto"/>
                <w:szCs w:val="21"/>
              </w:rPr>
            </w:pPr>
          </w:p>
        </w:tc>
        <w:tc>
          <w:tcPr>
            <w:tcW w:w="1512" w:type="dxa"/>
            <w:vMerge w:val="continue"/>
            <w:tcBorders>
              <w:right w:val="single" w:color="000000" w:sz="6" w:space="0"/>
            </w:tcBorders>
            <w:noWrap w:val="0"/>
            <w:vAlign w:val="center"/>
          </w:tcPr>
          <w:p w14:paraId="3FCA1C6A">
            <w:pPr>
              <w:jc w:val="center"/>
              <w:rPr>
                <w:color w:val="auto"/>
                <w:szCs w:val="21"/>
              </w:rPr>
            </w:pPr>
          </w:p>
        </w:tc>
        <w:tc>
          <w:tcPr>
            <w:tcW w:w="1442" w:type="dxa"/>
            <w:tcBorders>
              <w:left w:val="single" w:color="000000" w:sz="6" w:space="0"/>
              <w:bottom w:val="single" w:color="auto" w:sz="4" w:space="0"/>
              <w:right w:val="single" w:color="000000" w:sz="6" w:space="0"/>
            </w:tcBorders>
            <w:noWrap w:val="0"/>
            <w:vAlign w:val="center"/>
          </w:tcPr>
          <w:p w14:paraId="52CD8635">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szCs w:val="21"/>
              </w:rPr>
              <w:t>废弃零部件</w:t>
            </w:r>
          </w:p>
        </w:tc>
        <w:tc>
          <w:tcPr>
            <w:tcW w:w="2163" w:type="dxa"/>
            <w:vMerge w:val="continue"/>
            <w:tcBorders>
              <w:left w:val="single" w:color="000000" w:sz="6" w:space="0"/>
              <w:right w:val="single" w:color="000000" w:sz="6" w:space="0"/>
            </w:tcBorders>
            <w:noWrap w:val="0"/>
            <w:vAlign w:val="center"/>
          </w:tcPr>
          <w:p w14:paraId="2FC017B2">
            <w:pPr>
              <w:jc w:val="center"/>
              <w:rPr>
                <w:rFonts w:hint="eastAsia"/>
                <w:color w:val="auto"/>
                <w:szCs w:val="21"/>
              </w:rPr>
            </w:pPr>
          </w:p>
        </w:tc>
        <w:tc>
          <w:tcPr>
            <w:tcW w:w="2427" w:type="dxa"/>
            <w:vMerge w:val="continue"/>
            <w:tcBorders>
              <w:left w:val="single" w:color="000000" w:sz="6" w:space="0"/>
            </w:tcBorders>
            <w:noWrap w:val="0"/>
            <w:vAlign w:val="center"/>
          </w:tcPr>
          <w:p w14:paraId="38A5CE52">
            <w:pPr>
              <w:adjustRightInd w:val="0"/>
              <w:snapToGrid w:val="0"/>
              <w:jc w:val="center"/>
              <w:rPr>
                <w:rFonts w:hint="eastAsia"/>
                <w:color w:val="auto"/>
                <w:szCs w:val="21"/>
              </w:rPr>
            </w:pPr>
          </w:p>
        </w:tc>
      </w:tr>
      <w:tr w14:paraId="03E0FE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6" w:type="dxa"/>
            <w:vMerge w:val="continue"/>
            <w:noWrap w:val="0"/>
            <w:vAlign w:val="center"/>
          </w:tcPr>
          <w:p w14:paraId="77222CCC">
            <w:pPr>
              <w:adjustRightInd w:val="0"/>
              <w:snapToGrid w:val="0"/>
              <w:jc w:val="center"/>
              <w:rPr>
                <w:color w:val="auto"/>
                <w:szCs w:val="21"/>
              </w:rPr>
            </w:pPr>
          </w:p>
        </w:tc>
        <w:tc>
          <w:tcPr>
            <w:tcW w:w="1512" w:type="dxa"/>
            <w:vMerge w:val="continue"/>
            <w:tcBorders>
              <w:right w:val="single" w:color="000000" w:sz="6" w:space="0"/>
            </w:tcBorders>
            <w:noWrap w:val="0"/>
            <w:vAlign w:val="center"/>
          </w:tcPr>
          <w:p w14:paraId="0497574E">
            <w:pPr>
              <w:jc w:val="center"/>
              <w:rPr>
                <w:color w:val="auto"/>
                <w:szCs w:val="21"/>
              </w:rPr>
            </w:pPr>
          </w:p>
        </w:tc>
        <w:tc>
          <w:tcPr>
            <w:tcW w:w="1442" w:type="dxa"/>
            <w:tcBorders>
              <w:left w:val="single" w:color="000000" w:sz="6" w:space="0"/>
              <w:bottom w:val="single" w:color="auto" w:sz="4" w:space="0"/>
              <w:right w:val="single" w:color="000000" w:sz="6" w:space="0"/>
            </w:tcBorders>
            <w:noWrap w:val="0"/>
            <w:vAlign w:val="center"/>
          </w:tcPr>
          <w:p w14:paraId="06446E03">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szCs w:val="21"/>
              </w:rPr>
              <w:t>废轮胎</w:t>
            </w:r>
          </w:p>
        </w:tc>
        <w:tc>
          <w:tcPr>
            <w:tcW w:w="2163" w:type="dxa"/>
            <w:vMerge w:val="continue"/>
            <w:tcBorders>
              <w:left w:val="single" w:color="000000" w:sz="6" w:space="0"/>
              <w:right w:val="single" w:color="000000" w:sz="6" w:space="0"/>
            </w:tcBorders>
            <w:noWrap w:val="0"/>
            <w:vAlign w:val="center"/>
          </w:tcPr>
          <w:p w14:paraId="088D3B0A">
            <w:pPr>
              <w:jc w:val="center"/>
              <w:rPr>
                <w:rFonts w:hint="eastAsia"/>
                <w:color w:val="auto"/>
                <w:szCs w:val="21"/>
              </w:rPr>
            </w:pPr>
          </w:p>
        </w:tc>
        <w:tc>
          <w:tcPr>
            <w:tcW w:w="2427" w:type="dxa"/>
            <w:vMerge w:val="continue"/>
            <w:tcBorders>
              <w:left w:val="single" w:color="000000" w:sz="6" w:space="0"/>
            </w:tcBorders>
            <w:noWrap w:val="0"/>
            <w:vAlign w:val="center"/>
          </w:tcPr>
          <w:p w14:paraId="15359E76">
            <w:pPr>
              <w:adjustRightInd w:val="0"/>
              <w:snapToGrid w:val="0"/>
              <w:jc w:val="center"/>
              <w:rPr>
                <w:rFonts w:hint="eastAsia"/>
                <w:color w:val="auto"/>
                <w:szCs w:val="21"/>
              </w:rPr>
            </w:pPr>
          </w:p>
        </w:tc>
      </w:tr>
      <w:tr w14:paraId="325257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6" w:type="dxa"/>
            <w:vMerge w:val="continue"/>
            <w:noWrap w:val="0"/>
            <w:vAlign w:val="center"/>
          </w:tcPr>
          <w:p w14:paraId="542921E2">
            <w:pPr>
              <w:adjustRightInd w:val="0"/>
              <w:snapToGrid w:val="0"/>
              <w:jc w:val="center"/>
              <w:rPr>
                <w:color w:val="auto"/>
                <w:szCs w:val="21"/>
              </w:rPr>
            </w:pPr>
          </w:p>
        </w:tc>
        <w:tc>
          <w:tcPr>
            <w:tcW w:w="1512" w:type="dxa"/>
            <w:vMerge w:val="continue"/>
            <w:tcBorders>
              <w:right w:val="single" w:color="000000" w:sz="6" w:space="0"/>
            </w:tcBorders>
            <w:noWrap w:val="0"/>
            <w:vAlign w:val="center"/>
          </w:tcPr>
          <w:p w14:paraId="23D8D41B">
            <w:pPr>
              <w:jc w:val="center"/>
              <w:rPr>
                <w:color w:val="auto"/>
                <w:szCs w:val="21"/>
              </w:rPr>
            </w:pPr>
          </w:p>
        </w:tc>
        <w:tc>
          <w:tcPr>
            <w:tcW w:w="1442" w:type="dxa"/>
            <w:tcBorders>
              <w:left w:val="single" w:color="000000" w:sz="6" w:space="0"/>
              <w:bottom w:val="single" w:color="auto" w:sz="4" w:space="0"/>
              <w:right w:val="single" w:color="000000" w:sz="6" w:space="0"/>
            </w:tcBorders>
            <w:noWrap w:val="0"/>
            <w:vAlign w:val="center"/>
          </w:tcPr>
          <w:p w14:paraId="7EEA81CC">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ascii="Times New Roman" w:hAnsi="Times New Roman" w:eastAsia="宋体" w:cs="Times New Roman"/>
                <w:color w:val="auto"/>
                <w:szCs w:val="21"/>
              </w:rPr>
              <w:t>废打磨片</w:t>
            </w:r>
          </w:p>
        </w:tc>
        <w:tc>
          <w:tcPr>
            <w:tcW w:w="2163" w:type="dxa"/>
            <w:vMerge w:val="continue"/>
            <w:tcBorders>
              <w:left w:val="single" w:color="000000" w:sz="6" w:space="0"/>
              <w:right w:val="single" w:color="000000" w:sz="6" w:space="0"/>
            </w:tcBorders>
            <w:noWrap w:val="0"/>
            <w:vAlign w:val="center"/>
          </w:tcPr>
          <w:p w14:paraId="00203FAA">
            <w:pPr>
              <w:jc w:val="center"/>
              <w:rPr>
                <w:rFonts w:hint="eastAsia"/>
                <w:color w:val="auto"/>
                <w:szCs w:val="21"/>
              </w:rPr>
            </w:pPr>
          </w:p>
        </w:tc>
        <w:tc>
          <w:tcPr>
            <w:tcW w:w="2427" w:type="dxa"/>
            <w:vMerge w:val="continue"/>
            <w:tcBorders>
              <w:left w:val="single" w:color="000000" w:sz="6" w:space="0"/>
            </w:tcBorders>
            <w:noWrap w:val="0"/>
            <w:vAlign w:val="center"/>
          </w:tcPr>
          <w:p w14:paraId="6C6E4D3F">
            <w:pPr>
              <w:adjustRightInd w:val="0"/>
              <w:snapToGrid w:val="0"/>
              <w:jc w:val="center"/>
              <w:rPr>
                <w:rFonts w:hint="eastAsia"/>
                <w:color w:val="auto"/>
                <w:szCs w:val="21"/>
              </w:rPr>
            </w:pPr>
          </w:p>
        </w:tc>
      </w:tr>
      <w:tr w14:paraId="3CD2BB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6" w:type="dxa"/>
            <w:vMerge w:val="continue"/>
            <w:noWrap w:val="0"/>
            <w:vAlign w:val="center"/>
          </w:tcPr>
          <w:p w14:paraId="03B40CA2">
            <w:pPr>
              <w:adjustRightInd w:val="0"/>
              <w:snapToGrid w:val="0"/>
              <w:jc w:val="center"/>
              <w:rPr>
                <w:color w:val="auto"/>
                <w:szCs w:val="21"/>
              </w:rPr>
            </w:pPr>
          </w:p>
        </w:tc>
        <w:tc>
          <w:tcPr>
            <w:tcW w:w="1512" w:type="dxa"/>
            <w:vMerge w:val="continue"/>
            <w:tcBorders>
              <w:right w:val="single" w:color="000000" w:sz="6" w:space="0"/>
            </w:tcBorders>
            <w:noWrap w:val="0"/>
            <w:vAlign w:val="center"/>
          </w:tcPr>
          <w:p w14:paraId="6D21EC38">
            <w:pPr>
              <w:jc w:val="center"/>
              <w:rPr>
                <w:color w:val="auto"/>
                <w:szCs w:val="21"/>
              </w:rPr>
            </w:pPr>
          </w:p>
        </w:tc>
        <w:tc>
          <w:tcPr>
            <w:tcW w:w="1442" w:type="dxa"/>
            <w:tcBorders>
              <w:left w:val="single" w:color="000000" w:sz="6" w:space="0"/>
              <w:bottom w:val="single" w:color="auto" w:sz="4" w:space="0"/>
              <w:right w:val="single" w:color="000000" w:sz="6" w:space="0"/>
            </w:tcBorders>
            <w:noWrap w:val="0"/>
            <w:vAlign w:val="center"/>
          </w:tcPr>
          <w:p w14:paraId="3FA7573C">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废锂电池</w:t>
            </w:r>
          </w:p>
        </w:tc>
        <w:tc>
          <w:tcPr>
            <w:tcW w:w="2163" w:type="dxa"/>
            <w:vMerge w:val="continue"/>
            <w:tcBorders>
              <w:left w:val="single" w:color="000000" w:sz="6" w:space="0"/>
              <w:right w:val="single" w:color="000000" w:sz="6" w:space="0"/>
            </w:tcBorders>
            <w:noWrap w:val="0"/>
            <w:vAlign w:val="center"/>
          </w:tcPr>
          <w:p w14:paraId="51092C8A">
            <w:pPr>
              <w:jc w:val="center"/>
              <w:rPr>
                <w:rFonts w:hint="eastAsia"/>
                <w:color w:val="auto"/>
                <w:szCs w:val="21"/>
              </w:rPr>
            </w:pPr>
          </w:p>
        </w:tc>
        <w:tc>
          <w:tcPr>
            <w:tcW w:w="2427" w:type="dxa"/>
            <w:vMerge w:val="continue"/>
            <w:tcBorders>
              <w:left w:val="single" w:color="000000" w:sz="6" w:space="0"/>
            </w:tcBorders>
            <w:noWrap w:val="0"/>
            <w:vAlign w:val="center"/>
          </w:tcPr>
          <w:p w14:paraId="0DC9216C">
            <w:pPr>
              <w:adjustRightInd w:val="0"/>
              <w:snapToGrid w:val="0"/>
              <w:jc w:val="center"/>
              <w:rPr>
                <w:rFonts w:hint="eastAsia"/>
                <w:color w:val="auto"/>
                <w:szCs w:val="21"/>
              </w:rPr>
            </w:pPr>
          </w:p>
        </w:tc>
      </w:tr>
      <w:tr w14:paraId="1CEDDF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56" w:type="dxa"/>
            <w:vMerge w:val="continue"/>
            <w:noWrap w:val="0"/>
            <w:vAlign w:val="center"/>
          </w:tcPr>
          <w:p w14:paraId="361F8EC1">
            <w:pPr>
              <w:adjustRightInd w:val="0"/>
              <w:snapToGrid w:val="0"/>
              <w:jc w:val="center"/>
              <w:rPr>
                <w:color w:val="auto"/>
                <w:szCs w:val="21"/>
              </w:rPr>
            </w:pPr>
          </w:p>
        </w:tc>
        <w:tc>
          <w:tcPr>
            <w:tcW w:w="1512" w:type="dxa"/>
            <w:vMerge w:val="continue"/>
            <w:tcBorders>
              <w:right w:val="single" w:color="000000" w:sz="6" w:space="0"/>
            </w:tcBorders>
            <w:noWrap w:val="0"/>
            <w:vAlign w:val="center"/>
          </w:tcPr>
          <w:p w14:paraId="520931E9">
            <w:pPr>
              <w:jc w:val="center"/>
              <w:rPr>
                <w:color w:val="auto"/>
                <w:szCs w:val="21"/>
              </w:rPr>
            </w:pPr>
          </w:p>
        </w:tc>
        <w:tc>
          <w:tcPr>
            <w:tcW w:w="1442" w:type="dxa"/>
            <w:tcBorders>
              <w:left w:val="single" w:color="000000" w:sz="6" w:space="0"/>
              <w:bottom w:val="single" w:color="auto" w:sz="4" w:space="0"/>
              <w:right w:val="single" w:color="000000" w:sz="6" w:space="0"/>
            </w:tcBorders>
            <w:noWrap w:val="0"/>
            <w:vAlign w:val="center"/>
          </w:tcPr>
          <w:p w14:paraId="40A59065">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eastAsia="zh-CN"/>
              </w:rPr>
              <w:t>油泥</w:t>
            </w:r>
          </w:p>
        </w:tc>
        <w:tc>
          <w:tcPr>
            <w:tcW w:w="2163" w:type="dxa"/>
            <w:vMerge w:val="restart"/>
            <w:tcBorders>
              <w:left w:val="single" w:color="000000" w:sz="6" w:space="0"/>
              <w:right w:val="single" w:color="000000" w:sz="6" w:space="0"/>
            </w:tcBorders>
            <w:noWrap w:val="0"/>
            <w:vAlign w:val="center"/>
          </w:tcPr>
          <w:p w14:paraId="7D3322EE">
            <w:pPr>
              <w:jc w:val="center"/>
              <w:rPr>
                <w:rFonts w:hint="eastAsia"/>
                <w:color w:val="auto"/>
                <w:szCs w:val="21"/>
              </w:rPr>
            </w:pPr>
            <w:r>
              <w:rPr>
                <w:rFonts w:hint="eastAsia"/>
                <w:color w:val="auto"/>
                <w:szCs w:val="21"/>
              </w:rPr>
              <w:t>分类收集暂存</w:t>
            </w:r>
            <w:r>
              <w:rPr>
                <w:rFonts w:hint="eastAsia"/>
                <w:color w:val="auto"/>
                <w:szCs w:val="21"/>
                <w:lang w:val="en-US" w:eastAsia="zh-CN"/>
              </w:rPr>
              <w:t>后</w:t>
            </w:r>
            <w:r>
              <w:rPr>
                <w:rFonts w:hint="eastAsia"/>
                <w:color w:val="auto"/>
                <w:szCs w:val="21"/>
              </w:rPr>
              <w:t>，定期交由有资质单位处置</w:t>
            </w:r>
          </w:p>
        </w:tc>
        <w:tc>
          <w:tcPr>
            <w:tcW w:w="2427" w:type="dxa"/>
            <w:vMerge w:val="restart"/>
            <w:tcBorders>
              <w:left w:val="single" w:color="000000" w:sz="6" w:space="0"/>
            </w:tcBorders>
            <w:noWrap w:val="0"/>
            <w:vAlign w:val="center"/>
          </w:tcPr>
          <w:p w14:paraId="20565B12">
            <w:pPr>
              <w:adjustRightInd w:val="0"/>
              <w:snapToGrid w:val="0"/>
              <w:jc w:val="center"/>
              <w:rPr>
                <w:rFonts w:hint="eastAsia"/>
                <w:color w:val="auto"/>
                <w:szCs w:val="21"/>
              </w:rPr>
            </w:pPr>
            <w:r>
              <w:rPr>
                <w:rFonts w:hint="eastAsia"/>
                <w:color w:val="auto"/>
                <w:szCs w:val="21"/>
              </w:rPr>
              <w:t>《危险废物贮存污染控制标准》（GB18597-2023）</w:t>
            </w:r>
          </w:p>
        </w:tc>
      </w:tr>
      <w:tr w14:paraId="0946BF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6" w:type="dxa"/>
            <w:vMerge w:val="continue"/>
            <w:noWrap w:val="0"/>
            <w:vAlign w:val="center"/>
          </w:tcPr>
          <w:p w14:paraId="13D0464C">
            <w:pPr>
              <w:adjustRightInd w:val="0"/>
              <w:snapToGrid w:val="0"/>
              <w:jc w:val="center"/>
              <w:rPr>
                <w:color w:val="auto"/>
                <w:szCs w:val="21"/>
              </w:rPr>
            </w:pPr>
          </w:p>
        </w:tc>
        <w:tc>
          <w:tcPr>
            <w:tcW w:w="1512" w:type="dxa"/>
            <w:vMerge w:val="continue"/>
            <w:tcBorders>
              <w:right w:val="single" w:color="000000" w:sz="6" w:space="0"/>
            </w:tcBorders>
            <w:noWrap w:val="0"/>
            <w:vAlign w:val="center"/>
          </w:tcPr>
          <w:p w14:paraId="72BE7F3A">
            <w:pPr>
              <w:jc w:val="center"/>
              <w:rPr>
                <w:color w:val="auto"/>
                <w:szCs w:val="21"/>
              </w:rPr>
            </w:pPr>
          </w:p>
        </w:tc>
        <w:tc>
          <w:tcPr>
            <w:tcW w:w="1442" w:type="dxa"/>
            <w:tcBorders>
              <w:left w:val="single" w:color="000000" w:sz="6" w:space="0"/>
              <w:bottom w:val="single" w:color="auto" w:sz="4" w:space="0"/>
              <w:right w:val="single" w:color="000000" w:sz="6" w:space="0"/>
            </w:tcBorders>
            <w:noWrap w:val="0"/>
            <w:vAlign w:val="center"/>
          </w:tcPr>
          <w:p w14:paraId="6E962F5D">
            <w:pPr>
              <w:jc w:val="center"/>
              <w:rPr>
                <w:rFonts w:hint="eastAsia"/>
                <w:color w:val="auto"/>
                <w:szCs w:val="21"/>
              </w:rPr>
            </w:pPr>
            <w:r>
              <w:rPr>
                <w:rFonts w:hint="eastAsia" w:ascii="Times New Roman" w:hAnsi="Times New Roman" w:eastAsia="宋体" w:cs="Times New Roman"/>
                <w:color w:val="auto"/>
                <w:szCs w:val="21"/>
                <w:lang w:val="en-US" w:eastAsia="zh-CN"/>
              </w:rPr>
              <w:t>废机滤</w:t>
            </w:r>
          </w:p>
        </w:tc>
        <w:tc>
          <w:tcPr>
            <w:tcW w:w="2163" w:type="dxa"/>
            <w:vMerge w:val="continue"/>
            <w:tcBorders>
              <w:left w:val="single" w:color="000000" w:sz="6" w:space="0"/>
              <w:right w:val="single" w:color="000000" w:sz="6" w:space="0"/>
            </w:tcBorders>
            <w:noWrap w:val="0"/>
            <w:vAlign w:val="center"/>
          </w:tcPr>
          <w:p w14:paraId="1EC36FBC">
            <w:pPr>
              <w:jc w:val="center"/>
              <w:rPr>
                <w:rFonts w:hint="eastAsia"/>
                <w:color w:val="auto"/>
                <w:szCs w:val="21"/>
              </w:rPr>
            </w:pPr>
          </w:p>
        </w:tc>
        <w:tc>
          <w:tcPr>
            <w:tcW w:w="2427" w:type="dxa"/>
            <w:vMerge w:val="continue"/>
            <w:tcBorders>
              <w:left w:val="single" w:color="000000" w:sz="6" w:space="0"/>
            </w:tcBorders>
            <w:noWrap w:val="0"/>
            <w:vAlign w:val="center"/>
          </w:tcPr>
          <w:p w14:paraId="334769E4">
            <w:pPr>
              <w:adjustRightInd w:val="0"/>
              <w:snapToGrid w:val="0"/>
              <w:jc w:val="center"/>
              <w:rPr>
                <w:rFonts w:hint="eastAsia"/>
                <w:color w:val="auto"/>
                <w:szCs w:val="21"/>
              </w:rPr>
            </w:pPr>
          </w:p>
        </w:tc>
      </w:tr>
      <w:tr w14:paraId="0578EB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6" w:type="dxa"/>
            <w:vMerge w:val="continue"/>
            <w:noWrap w:val="0"/>
            <w:vAlign w:val="center"/>
          </w:tcPr>
          <w:p w14:paraId="1E526628">
            <w:pPr>
              <w:adjustRightInd w:val="0"/>
              <w:snapToGrid w:val="0"/>
              <w:jc w:val="center"/>
              <w:rPr>
                <w:color w:val="auto"/>
                <w:szCs w:val="21"/>
              </w:rPr>
            </w:pPr>
          </w:p>
        </w:tc>
        <w:tc>
          <w:tcPr>
            <w:tcW w:w="1512" w:type="dxa"/>
            <w:vMerge w:val="continue"/>
            <w:tcBorders>
              <w:right w:val="single" w:color="000000" w:sz="6" w:space="0"/>
            </w:tcBorders>
            <w:noWrap w:val="0"/>
            <w:vAlign w:val="center"/>
          </w:tcPr>
          <w:p w14:paraId="5199F00B">
            <w:pPr>
              <w:jc w:val="center"/>
              <w:rPr>
                <w:color w:val="auto"/>
                <w:szCs w:val="21"/>
              </w:rPr>
            </w:pPr>
          </w:p>
        </w:tc>
        <w:tc>
          <w:tcPr>
            <w:tcW w:w="1442" w:type="dxa"/>
            <w:tcBorders>
              <w:left w:val="single" w:color="000000" w:sz="6" w:space="0"/>
              <w:bottom w:val="single" w:color="auto" w:sz="4" w:space="0"/>
              <w:right w:val="single" w:color="000000" w:sz="6" w:space="0"/>
            </w:tcBorders>
            <w:noWrap w:val="0"/>
            <w:vAlign w:val="center"/>
          </w:tcPr>
          <w:p w14:paraId="283B646A">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废原子灰渣</w:t>
            </w:r>
          </w:p>
        </w:tc>
        <w:tc>
          <w:tcPr>
            <w:tcW w:w="2163" w:type="dxa"/>
            <w:vMerge w:val="continue"/>
            <w:tcBorders>
              <w:left w:val="single" w:color="000000" w:sz="6" w:space="0"/>
              <w:right w:val="single" w:color="000000" w:sz="6" w:space="0"/>
            </w:tcBorders>
            <w:noWrap w:val="0"/>
            <w:vAlign w:val="center"/>
          </w:tcPr>
          <w:p w14:paraId="695BB9AC">
            <w:pPr>
              <w:jc w:val="center"/>
              <w:rPr>
                <w:rFonts w:hint="eastAsia"/>
                <w:color w:val="auto"/>
                <w:szCs w:val="21"/>
              </w:rPr>
            </w:pPr>
          </w:p>
        </w:tc>
        <w:tc>
          <w:tcPr>
            <w:tcW w:w="2427" w:type="dxa"/>
            <w:vMerge w:val="continue"/>
            <w:tcBorders>
              <w:left w:val="single" w:color="000000" w:sz="6" w:space="0"/>
            </w:tcBorders>
            <w:noWrap w:val="0"/>
            <w:vAlign w:val="center"/>
          </w:tcPr>
          <w:p w14:paraId="5BE2F949">
            <w:pPr>
              <w:adjustRightInd w:val="0"/>
              <w:snapToGrid w:val="0"/>
              <w:jc w:val="center"/>
              <w:rPr>
                <w:rFonts w:hint="eastAsia"/>
                <w:color w:val="auto"/>
                <w:szCs w:val="21"/>
              </w:rPr>
            </w:pPr>
          </w:p>
        </w:tc>
      </w:tr>
      <w:tr w14:paraId="5CB869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6" w:type="dxa"/>
            <w:vMerge w:val="continue"/>
            <w:noWrap w:val="0"/>
            <w:vAlign w:val="center"/>
          </w:tcPr>
          <w:p w14:paraId="3B1331FF">
            <w:pPr>
              <w:adjustRightInd w:val="0"/>
              <w:snapToGrid w:val="0"/>
              <w:jc w:val="center"/>
              <w:rPr>
                <w:color w:val="auto"/>
                <w:szCs w:val="21"/>
              </w:rPr>
            </w:pPr>
          </w:p>
        </w:tc>
        <w:tc>
          <w:tcPr>
            <w:tcW w:w="1512" w:type="dxa"/>
            <w:vMerge w:val="continue"/>
            <w:tcBorders>
              <w:right w:val="single" w:color="000000" w:sz="6" w:space="0"/>
            </w:tcBorders>
            <w:noWrap w:val="0"/>
            <w:vAlign w:val="center"/>
          </w:tcPr>
          <w:p w14:paraId="3ED02873">
            <w:pPr>
              <w:jc w:val="center"/>
              <w:rPr>
                <w:color w:val="auto"/>
                <w:szCs w:val="21"/>
              </w:rPr>
            </w:pPr>
          </w:p>
        </w:tc>
        <w:tc>
          <w:tcPr>
            <w:tcW w:w="1442" w:type="dxa"/>
            <w:tcBorders>
              <w:left w:val="single" w:color="000000" w:sz="6" w:space="0"/>
              <w:bottom w:val="single" w:color="auto" w:sz="4" w:space="0"/>
              <w:right w:val="single" w:color="000000" w:sz="6" w:space="0"/>
            </w:tcBorders>
            <w:noWrap w:val="0"/>
            <w:vAlign w:val="center"/>
          </w:tcPr>
          <w:p w14:paraId="61DD10C4">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废遮蔽纸</w:t>
            </w:r>
          </w:p>
        </w:tc>
        <w:tc>
          <w:tcPr>
            <w:tcW w:w="2163" w:type="dxa"/>
            <w:vMerge w:val="continue"/>
            <w:tcBorders>
              <w:left w:val="single" w:color="000000" w:sz="6" w:space="0"/>
              <w:right w:val="single" w:color="000000" w:sz="6" w:space="0"/>
            </w:tcBorders>
            <w:noWrap w:val="0"/>
            <w:vAlign w:val="center"/>
          </w:tcPr>
          <w:p w14:paraId="2CEDA322">
            <w:pPr>
              <w:jc w:val="center"/>
              <w:rPr>
                <w:rFonts w:hint="eastAsia"/>
                <w:color w:val="auto"/>
                <w:szCs w:val="21"/>
              </w:rPr>
            </w:pPr>
          </w:p>
        </w:tc>
        <w:tc>
          <w:tcPr>
            <w:tcW w:w="2427" w:type="dxa"/>
            <w:vMerge w:val="continue"/>
            <w:tcBorders>
              <w:left w:val="single" w:color="000000" w:sz="6" w:space="0"/>
            </w:tcBorders>
            <w:noWrap w:val="0"/>
            <w:vAlign w:val="center"/>
          </w:tcPr>
          <w:p w14:paraId="2B25ECB5">
            <w:pPr>
              <w:adjustRightInd w:val="0"/>
              <w:snapToGrid w:val="0"/>
              <w:jc w:val="center"/>
              <w:rPr>
                <w:rFonts w:hint="eastAsia"/>
                <w:color w:val="auto"/>
                <w:szCs w:val="21"/>
              </w:rPr>
            </w:pPr>
          </w:p>
        </w:tc>
      </w:tr>
      <w:tr w14:paraId="6A292B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6" w:type="dxa"/>
            <w:vMerge w:val="continue"/>
            <w:noWrap w:val="0"/>
            <w:vAlign w:val="center"/>
          </w:tcPr>
          <w:p w14:paraId="507F3429">
            <w:pPr>
              <w:adjustRightInd w:val="0"/>
              <w:snapToGrid w:val="0"/>
              <w:jc w:val="center"/>
              <w:rPr>
                <w:color w:val="auto"/>
                <w:szCs w:val="21"/>
              </w:rPr>
            </w:pPr>
          </w:p>
        </w:tc>
        <w:tc>
          <w:tcPr>
            <w:tcW w:w="1512" w:type="dxa"/>
            <w:vMerge w:val="continue"/>
            <w:tcBorders>
              <w:right w:val="single" w:color="000000" w:sz="6" w:space="0"/>
            </w:tcBorders>
            <w:noWrap w:val="0"/>
            <w:vAlign w:val="center"/>
          </w:tcPr>
          <w:p w14:paraId="3206B96F">
            <w:pPr>
              <w:jc w:val="center"/>
              <w:rPr>
                <w:color w:val="auto"/>
                <w:szCs w:val="21"/>
              </w:rPr>
            </w:pPr>
          </w:p>
        </w:tc>
        <w:tc>
          <w:tcPr>
            <w:tcW w:w="1442" w:type="dxa"/>
            <w:tcBorders>
              <w:left w:val="single" w:color="000000" w:sz="6" w:space="0"/>
              <w:bottom w:val="single" w:color="auto" w:sz="4" w:space="0"/>
              <w:right w:val="single" w:color="000000" w:sz="6" w:space="0"/>
            </w:tcBorders>
            <w:noWrap w:val="0"/>
            <w:vAlign w:val="center"/>
          </w:tcPr>
          <w:p w14:paraId="15F4E994">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废铅酸电池</w:t>
            </w:r>
          </w:p>
        </w:tc>
        <w:tc>
          <w:tcPr>
            <w:tcW w:w="2163" w:type="dxa"/>
            <w:vMerge w:val="continue"/>
            <w:tcBorders>
              <w:left w:val="single" w:color="000000" w:sz="6" w:space="0"/>
              <w:right w:val="single" w:color="000000" w:sz="6" w:space="0"/>
            </w:tcBorders>
            <w:noWrap w:val="0"/>
            <w:vAlign w:val="center"/>
          </w:tcPr>
          <w:p w14:paraId="149616B4">
            <w:pPr>
              <w:jc w:val="center"/>
              <w:rPr>
                <w:rFonts w:hint="eastAsia"/>
                <w:color w:val="auto"/>
                <w:szCs w:val="21"/>
              </w:rPr>
            </w:pPr>
          </w:p>
        </w:tc>
        <w:tc>
          <w:tcPr>
            <w:tcW w:w="2427" w:type="dxa"/>
            <w:vMerge w:val="continue"/>
            <w:tcBorders>
              <w:left w:val="single" w:color="000000" w:sz="6" w:space="0"/>
            </w:tcBorders>
            <w:noWrap w:val="0"/>
            <w:vAlign w:val="center"/>
          </w:tcPr>
          <w:p w14:paraId="27767D2F">
            <w:pPr>
              <w:adjustRightInd w:val="0"/>
              <w:snapToGrid w:val="0"/>
              <w:jc w:val="center"/>
              <w:rPr>
                <w:rFonts w:hint="eastAsia"/>
                <w:color w:val="auto"/>
                <w:szCs w:val="21"/>
              </w:rPr>
            </w:pPr>
          </w:p>
        </w:tc>
      </w:tr>
      <w:tr w14:paraId="77E96F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6" w:type="dxa"/>
            <w:vMerge w:val="continue"/>
            <w:noWrap w:val="0"/>
            <w:vAlign w:val="center"/>
          </w:tcPr>
          <w:p w14:paraId="03CA95D0">
            <w:pPr>
              <w:adjustRightInd w:val="0"/>
              <w:snapToGrid w:val="0"/>
              <w:jc w:val="center"/>
              <w:rPr>
                <w:color w:val="auto"/>
                <w:szCs w:val="21"/>
              </w:rPr>
            </w:pPr>
          </w:p>
        </w:tc>
        <w:tc>
          <w:tcPr>
            <w:tcW w:w="1512" w:type="dxa"/>
            <w:vMerge w:val="continue"/>
            <w:tcBorders>
              <w:right w:val="single" w:color="000000" w:sz="6" w:space="0"/>
            </w:tcBorders>
            <w:noWrap w:val="0"/>
            <w:vAlign w:val="center"/>
          </w:tcPr>
          <w:p w14:paraId="35417209">
            <w:pPr>
              <w:jc w:val="center"/>
              <w:rPr>
                <w:color w:val="auto"/>
                <w:szCs w:val="21"/>
              </w:rPr>
            </w:pPr>
          </w:p>
        </w:tc>
        <w:tc>
          <w:tcPr>
            <w:tcW w:w="1442" w:type="dxa"/>
            <w:tcBorders>
              <w:left w:val="single" w:color="000000" w:sz="6" w:space="0"/>
              <w:bottom w:val="single" w:color="auto" w:sz="4" w:space="0"/>
              <w:right w:val="single" w:color="000000" w:sz="6" w:space="0"/>
            </w:tcBorders>
            <w:noWrap w:val="0"/>
            <w:vAlign w:val="center"/>
          </w:tcPr>
          <w:p w14:paraId="7FFD8333">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废活性炭</w:t>
            </w:r>
          </w:p>
        </w:tc>
        <w:tc>
          <w:tcPr>
            <w:tcW w:w="2163" w:type="dxa"/>
            <w:vMerge w:val="continue"/>
            <w:tcBorders>
              <w:left w:val="single" w:color="000000" w:sz="6" w:space="0"/>
              <w:right w:val="single" w:color="000000" w:sz="6" w:space="0"/>
            </w:tcBorders>
            <w:noWrap w:val="0"/>
            <w:vAlign w:val="center"/>
          </w:tcPr>
          <w:p w14:paraId="305C3485">
            <w:pPr>
              <w:jc w:val="center"/>
              <w:rPr>
                <w:rFonts w:hint="eastAsia"/>
                <w:color w:val="auto"/>
                <w:szCs w:val="21"/>
              </w:rPr>
            </w:pPr>
          </w:p>
        </w:tc>
        <w:tc>
          <w:tcPr>
            <w:tcW w:w="2427" w:type="dxa"/>
            <w:vMerge w:val="continue"/>
            <w:tcBorders>
              <w:left w:val="single" w:color="000000" w:sz="6" w:space="0"/>
            </w:tcBorders>
            <w:noWrap w:val="0"/>
            <w:vAlign w:val="center"/>
          </w:tcPr>
          <w:p w14:paraId="4CCD6ED1">
            <w:pPr>
              <w:adjustRightInd w:val="0"/>
              <w:snapToGrid w:val="0"/>
              <w:jc w:val="center"/>
              <w:rPr>
                <w:rFonts w:hint="eastAsia"/>
                <w:color w:val="auto"/>
                <w:szCs w:val="21"/>
              </w:rPr>
            </w:pPr>
          </w:p>
        </w:tc>
      </w:tr>
      <w:tr w14:paraId="05A7D2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56" w:type="dxa"/>
            <w:vMerge w:val="continue"/>
            <w:noWrap w:val="0"/>
            <w:vAlign w:val="center"/>
          </w:tcPr>
          <w:p w14:paraId="3CCC7979">
            <w:pPr>
              <w:adjustRightInd w:val="0"/>
              <w:snapToGrid w:val="0"/>
              <w:jc w:val="center"/>
              <w:rPr>
                <w:color w:val="auto"/>
                <w:szCs w:val="21"/>
              </w:rPr>
            </w:pPr>
          </w:p>
        </w:tc>
        <w:tc>
          <w:tcPr>
            <w:tcW w:w="1512" w:type="dxa"/>
            <w:vMerge w:val="continue"/>
            <w:tcBorders>
              <w:right w:val="single" w:color="000000" w:sz="6" w:space="0"/>
            </w:tcBorders>
            <w:noWrap w:val="0"/>
            <w:vAlign w:val="center"/>
          </w:tcPr>
          <w:p w14:paraId="77218551">
            <w:pPr>
              <w:jc w:val="center"/>
              <w:rPr>
                <w:color w:val="auto"/>
                <w:szCs w:val="21"/>
              </w:rPr>
            </w:pPr>
          </w:p>
        </w:tc>
        <w:tc>
          <w:tcPr>
            <w:tcW w:w="1442" w:type="dxa"/>
            <w:tcBorders>
              <w:left w:val="single" w:color="000000" w:sz="6" w:space="0"/>
              <w:bottom w:val="single" w:color="auto" w:sz="4" w:space="0"/>
              <w:right w:val="single" w:color="000000" w:sz="6" w:space="0"/>
            </w:tcBorders>
            <w:noWrap w:val="0"/>
            <w:vAlign w:val="center"/>
          </w:tcPr>
          <w:p w14:paraId="1C322053">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废过滤棉</w:t>
            </w:r>
          </w:p>
        </w:tc>
        <w:tc>
          <w:tcPr>
            <w:tcW w:w="2163" w:type="dxa"/>
            <w:vMerge w:val="continue"/>
            <w:tcBorders>
              <w:left w:val="single" w:color="000000" w:sz="6" w:space="0"/>
              <w:right w:val="single" w:color="000000" w:sz="6" w:space="0"/>
            </w:tcBorders>
            <w:noWrap w:val="0"/>
            <w:vAlign w:val="center"/>
          </w:tcPr>
          <w:p w14:paraId="0524B0C6">
            <w:pPr>
              <w:jc w:val="center"/>
              <w:rPr>
                <w:rFonts w:hint="eastAsia"/>
                <w:color w:val="auto"/>
                <w:szCs w:val="21"/>
              </w:rPr>
            </w:pPr>
          </w:p>
        </w:tc>
        <w:tc>
          <w:tcPr>
            <w:tcW w:w="2427" w:type="dxa"/>
            <w:vMerge w:val="continue"/>
            <w:tcBorders>
              <w:left w:val="single" w:color="000000" w:sz="6" w:space="0"/>
            </w:tcBorders>
            <w:noWrap w:val="0"/>
            <w:vAlign w:val="center"/>
          </w:tcPr>
          <w:p w14:paraId="0E4F3D88">
            <w:pPr>
              <w:adjustRightInd w:val="0"/>
              <w:snapToGrid w:val="0"/>
              <w:jc w:val="center"/>
              <w:rPr>
                <w:rFonts w:hint="eastAsia"/>
                <w:color w:val="auto"/>
                <w:szCs w:val="21"/>
              </w:rPr>
            </w:pPr>
          </w:p>
        </w:tc>
      </w:tr>
      <w:tr w14:paraId="365BD6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6" w:type="dxa"/>
            <w:vMerge w:val="continue"/>
            <w:noWrap w:val="0"/>
            <w:vAlign w:val="center"/>
          </w:tcPr>
          <w:p w14:paraId="14DBB06F">
            <w:pPr>
              <w:adjustRightInd w:val="0"/>
              <w:snapToGrid w:val="0"/>
              <w:jc w:val="center"/>
              <w:rPr>
                <w:color w:val="auto"/>
                <w:szCs w:val="21"/>
              </w:rPr>
            </w:pPr>
          </w:p>
        </w:tc>
        <w:tc>
          <w:tcPr>
            <w:tcW w:w="1512" w:type="dxa"/>
            <w:vMerge w:val="continue"/>
            <w:tcBorders>
              <w:right w:val="single" w:color="000000" w:sz="6" w:space="0"/>
            </w:tcBorders>
            <w:noWrap w:val="0"/>
            <w:vAlign w:val="center"/>
          </w:tcPr>
          <w:p w14:paraId="4494A44F">
            <w:pPr>
              <w:jc w:val="center"/>
              <w:rPr>
                <w:color w:val="auto"/>
                <w:szCs w:val="21"/>
              </w:rPr>
            </w:pPr>
          </w:p>
        </w:tc>
        <w:tc>
          <w:tcPr>
            <w:tcW w:w="1442" w:type="dxa"/>
            <w:tcBorders>
              <w:left w:val="single" w:color="000000" w:sz="6" w:space="0"/>
              <w:bottom w:val="single" w:color="auto" w:sz="4" w:space="0"/>
              <w:right w:val="single" w:color="000000" w:sz="6" w:space="0"/>
            </w:tcBorders>
            <w:noWrap w:val="0"/>
            <w:vAlign w:val="center"/>
          </w:tcPr>
          <w:p w14:paraId="0086C3FE">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废油漆桶</w:t>
            </w:r>
          </w:p>
        </w:tc>
        <w:tc>
          <w:tcPr>
            <w:tcW w:w="2163" w:type="dxa"/>
            <w:vMerge w:val="continue"/>
            <w:tcBorders>
              <w:left w:val="single" w:color="000000" w:sz="6" w:space="0"/>
              <w:right w:val="single" w:color="000000" w:sz="6" w:space="0"/>
            </w:tcBorders>
            <w:noWrap w:val="0"/>
            <w:vAlign w:val="center"/>
          </w:tcPr>
          <w:p w14:paraId="3F7318E2">
            <w:pPr>
              <w:jc w:val="center"/>
              <w:rPr>
                <w:rFonts w:hint="eastAsia"/>
                <w:color w:val="auto"/>
                <w:szCs w:val="21"/>
              </w:rPr>
            </w:pPr>
          </w:p>
        </w:tc>
        <w:tc>
          <w:tcPr>
            <w:tcW w:w="2427" w:type="dxa"/>
            <w:vMerge w:val="continue"/>
            <w:tcBorders>
              <w:left w:val="single" w:color="000000" w:sz="6" w:space="0"/>
            </w:tcBorders>
            <w:noWrap w:val="0"/>
            <w:vAlign w:val="center"/>
          </w:tcPr>
          <w:p w14:paraId="0E50B5C2">
            <w:pPr>
              <w:adjustRightInd w:val="0"/>
              <w:snapToGrid w:val="0"/>
              <w:jc w:val="center"/>
              <w:rPr>
                <w:rFonts w:hint="eastAsia"/>
                <w:color w:val="auto"/>
                <w:szCs w:val="21"/>
              </w:rPr>
            </w:pPr>
          </w:p>
        </w:tc>
      </w:tr>
      <w:tr w14:paraId="6A69FA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6" w:type="dxa"/>
            <w:vMerge w:val="continue"/>
            <w:noWrap w:val="0"/>
            <w:vAlign w:val="center"/>
          </w:tcPr>
          <w:p w14:paraId="37461DC3">
            <w:pPr>
              <w:adjustRightInd w:val="0"/>
              <w:snapToGrid w:val="0"/>
              <w:jc w:val="center"/>
              <w:rPr>
                <w:color w:val="auto"/>
                <w:szCs w:val="21"/>
              </w:rPr>
            </w:pPr>
          </w:p>
        </w:tc>
        <w:tc>
          <w:tcPr>
            <w:tcW w:w="1512" w:type="dxa"/>
            <w:vMerge w:val="continue"/>
            <w:tcBorders>
              <w:right w:val="single" w:color="000000" w:sz="6" w:space="0"/>
            </w:tcBorders>
            <w:noWrap w:val="0"/>
            <w:vAlign w:val="center"/>
          </w:tcPr>
          <w:p w14:paraId="37E88808">
            <w:pPr>
              <w:jc w:val="center"/>
              <w:rPr>
                <w:color w:val="auto"/>
                <w:szCs w:val="21"/>
              </w:rPr>
            </w:pPr>
          </w:p>
        </w:tc>
        <w:tc>
          <w:tcPr>
            <w:tcW w:w="1442" w:type="dxa"/>
            <w:tcBorders>
              <w:left w:val="single" w:color="000000" w:sz="6" w:space="0"/>
              <w:bottom w:val="single" w:color="auto" w:sz="4" w:space="0"/>
              <w:right w:val="single" w:color="000000" w:sz="6" w:space="0"/>
            </w:tcBorders>
            <w:noWrap w:val="0"/>
            <w:vAlign w:val="center"/>
          </w:tcPr>
          <w:p w14:paraId="5AF05BB5">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废抹布</w:t>
            </w:r>
          </w:p>
        </w:tc>
        <w:tc>
          <w:tcPr>
            <w:tcW w:w="2163" w:type="dxa"/>
            <w:vMerge w:val="continue"/>
            <w:tcBorders>
              <w:left w:val="single" w:color="000000" w:sz="6" w:space="0"/>
              <w:right w:val="single" w:color="000000" w:sz="6" w:space="0"/>
            </w:tcBorders>
            <w:noWrap w:val="0"/>
            <w:vAlign w:val="center"/>
          </w:tcPr>
          <w:p w14:paraId="7D154123">
            <w:pPr>
              <w:jc w:val="center"/>
              <w:rPr>
                <w:rFonts w:hint="eastAsia"/>
                <w:color w:val="auto"/>
                <w:szCs w:val="21"/>
              </w:rPr>
            </w:pPr>
          </w:p>
        </w:tc>
        <w:tc>
          <w:tcPr>
            <w:tcW w:w="2427" w:type="dxa"/>
            <w:vMerge w:val="continue"/>
            <w:tcBorders>
              <w:left w:val="single" w:color="000000" w:sz="6" w:space="0"/>
            </w:tcBorders>
            <w:noWrap w:val="0"/>
            <w:vAlign w:val="center"/>
          </w:tcPr>
          <w:p w14:paraId="59F97719">
            <w:pPr>
              <w:adjustRightInd w:val="0"/>
              <w:snapToGrid w:val="0"/>
              <w:jc w:val="center"/>
              <w:rPr>
                <w:rFonts w:hint="eastAsia"/>
                <w:color w:val="auto"/>
                <w:szCs w:val="21"/>
              </w:rPr>
            </w:pPr>
          </w:p>
        </w:tc>
      </w:tr>
      <w:tr w14:paraId="75D5F9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6" w:type="dxa"/>
            <w:vMerge w:val="continue"/>
            <w:noWrap w:val="0"/>
            <w:vAlign w:val="center"/>
          </w:tcPr>
          <w:p w14:paraId="129653B0">
            <w:pPr>
              <w:adjustRightInd w:val="0"/>
              <w:snapToGrid w:val="0"/>
              <w:jc w:val="center"/>
              <w:rPr>
                <w:color w:val="auto"/>
                <w:szCs w:val="21"/>
              </w:rPr>
            </w:pPr>
          </w:p>
        </w:tc>
        <w:tc>
          <w:tcPr>
            <w:tcW w:w="1512" w:type="dxa"/>
            <w:vMerge w:val="continue"/>
            <w:tcBorders>
              <w:right w:val="single" w:color="000000" w:sz="6" w:space="0"/>
            </w:tcBorders>
            <w:noWrap w:val="0"/>
            <w:vAlign w:val="center"/>
          </w:tcPr>
          <w:p w14:paraId="14CDF2D2">
            <w:pPr>
              <w:jc w:val="center"/>
              <w:rPr>
                <w:color w:val="auto"/>
                <w:szCs w:val="21"/>
              </w:rPr>
            </w:pPr>
          </w:p>
        </w:tc>
        <w:tc>
          <w:tcPr>
            <w:tcW w:w="1442" w:type="dxa"/>
            <w:tcBorders>
              <w:left w:val="single" w:color="000000" w:sz="6" w:space="0"/>
              <w:bottom w:val="single" w:color="auto" w:sz="4" w:space="0"/>
              <w:right w:val="single" w:color="000000" w:sz="6" w:space="0"/>
            </w:tcBorders>
            <w:noWrap w:val="0"/>
            <w:vAlign w:val="center"/>
          </w:tcPr>
          <w:p w14:paraId="6287AF3E">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废防冻液</w:t>
            </w:r>
          </w:p>
        </w:tc>
        <w:tc>
          <w:tcPr>
            <w:tcW w:w="2163" w:type="dxa"/>
            <w:vMerge w:val="continue"/>
            <w:tcBorders>
              <w:left w:val="single" w:color="000000" w:sz="6" w:space="0"/>
              <w:right w:val="single" w:color="000000" w:sz="6" w:space="0"/>
            </w:tcBorders>
            <w:noWrap w:val="0"/>
            <w:vAlign w:val="center"/>
          </w:tcPr>
          <w:p w14:paraId="2424B174">
            <w:pPr>
              <w:jc w:val="center"/>
              <w:rPr>
                <w:rFonts w:hint="eastAsia"/>
                <w:color w:val="auto"/>
                <w:szCs w:val="21"/>
              </w:rPr>
            </w:pPr>
          </w:p>
        </w:tc>
        <w:tc>
          <w:tcPr>
            <w:tcW w:w="2427" w:type="dxa"/>
            <w:vMerge w:val="continue"/>
            <w:tcBorders>
              <w:left w:val="single" w:color="000000" w:sz="6" w:space="0"/>
            </w:tcBorders>
            <w:noWrap w:val="0"/>
            <w:vAlign w:val="center"/>
          </w:tcPr>
          <w:p w14:paraId="724DA7B9">
            <w:pPr>
              <w:adjustRightInd w:val="0"/>
              <w:snapToGrid w:val="0"/>
              <w:jc w:val="center"/>
              <w:rPr>
                <w:rFonts w:hint="eastAsia"/>
                <w:color w:val="auto"/>
                <w:szCs w:val="21"/>
              </w:rPr>
            </w:pPr>
          </w:p>
        </w:tc>
      </w:tr>
      <w:tr w14:paraId="7996EA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6" w:type="dxa"/>
            <w:vMerge w:val="continue"/>
            <w:noWrap w:val="0"/>
            <w:vAlign w:val="center"/>
          </w:tcPr>
          <w:p w14:paraId="77AF1E94">
            <w:pPr>
              <w:adjustRightInd w:val="0"/>
              <w:snapToGrid w:val="0"/>
              <w:jc w:val="center"/>
              <w:rPr>
                <w:color w:val="auto"/>
                <w:szCs w:val="21"/>
              </w:rPr>
            </w:pPr>
          </w:p>
        </w:tc>
        <w:tc>
          <w:tcPr>
            <w:tcW w:w="1512" w:type="dxa"/>
            <w:vMerge w:val="continue"/>
            <w:tcBorders>
              <w:right w:val="single" w:color="000000" w:sz="6" w:space="0"/>
            </w:tcBorders>
            <w:noWrap w:val="0"/>
            <w:vAlign w:val="center"/>
          </w:tcPr>
          <w:p w14:paraId="3DC57C50">
            <w:pPr>
              <w:jc w:val="center"/>
              <w:rPr>
                <w:color w:val="auto"/>
                <w:szCs w:val="21"/>
              </w:rPr>
            </w:pPr>
          </w:p>
        </w:tc>
        <w:tc>
          <w:tcPr>
            <w:tcW w:w="1442" w:type="dxa"/>
            <w:tcBorders>
              <w:left w:val="single" w:color="000000" w:sz="6" w:space="0"/>
              <w:bottom w:val="single" w:color="auto" w:sz="4" w:space="0"/>
              <w:right w:val="single" w:color="000000" w:sz="6" w:space="0"/>
            </w:tcBorders>
            <w:noWrap w:val="0"/>
            <w:vAlign w:val="center"/>
          </w:tcPr>
          <w:p w14:paraId="0F55D1C5">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废</w:t>
            </w:r>
            <w:r>
              <w:rPr>
                <w:rFonts w:hint="eastAsia"/>
                <w:color w:val="auto"/>
                <w:szCs w:val="21"/>
                <w:lang w:val="en-US" w:eastAsia="zh-CN"/>
              </w:rPr>
              <w:t>矿物油</w:t>
            </w:r>
          </w:p>
        </w:tc>
        <w:tc>
          <w:tcPr>
            <w:tcW w:w="2163" w:type="dxa"/>
            <w:vMerge w:val="continue"/>
            <w:tcBorders>
              <w:left w:val="single" w:color="000000" w:sz="6" w:space="0"/>
              <w:right w:val="single" w:color="000000" w:sz="6" w:space="0"/>
            </w:tcBorders>
            <w:noWrap w:val="0"/>
            <w:vAlign w:val="center"/>
          </w:tcPr>
          <w:p w14:paraId="7D9D7ABF">
            <w:pPr>
              <w:jc w:val="center"/>
              <w:rPr>
                <w:color w:val="auto"/>
                <w:szCs w:val="21"/>
              </w:rPr>
            </w:pPr>
          </w:p>
        </w:tc>
        <w:tc>
          <w:tcPr>
            <w:tcW w:w="2427" w:type="dxa"/>
            <w:vMerge w:val="continue"/>
            <w:tcBorders>
              <w:left w:val="single" w:color="000000" w:sz="6" w:space="0"/>
            </w:tcBorders>
            <w:noWrap w:val="0"/>
            <w:vAlign w:val="center"/>
          </w:tcPr>
          <w:p w14:paraId="64BAD873">
            <w:pPr>
              <w:adjustRightInd w:val="0"/>
              <w:snapToGrid w:val="0"/>
              <w:jc w:val="center"/>
              <w:rPr>
                <w:rFonts w:hint="eastAsia"/>
                <w:color w:val="auto"/>
                <w:szCs w:val="21"/>
              </w:rPr>
            </w:pPr>
          </w:p>
        </w:tc>
      </w:tr>
      <w:tr w14:paraId="45A028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6" w:type="dxa"/>
            <w:vMerge w:val="continue"/>
            <w:noWrap w:val="0"/>
            <w:vAlign w:val="center"/>
          </w:tcPr>
          <w:p w14:paraId="41517D67">
            <w:pPr>
              <w:adjustRightInd w:val="0"/>
              <w:snapToGrid w:val="0"/>
              <w:jc w:val="center"/>
              <w:rPr>
                <w:color w:val="auto"/>
                <w:szCs w:val="21"/>
              </w:rPr>
            </w:pPr>
          </w:p>
        </w:tc>
        <w:tc>
          <w:tcPr>
            <w:tcW w:w="1512" w:type="dxa"/>
            <w:vMerge w:val="continue"/>
            <w:tcBorders>
              <w:right w:val="single" w:color="000000" w:sz="6" w:space="0"/>
            </w:tcBorders>
            <w:noWrap w:val="0"/>
            <w:vAlign w:val="center"/>
          </w:tcPr>
          <w:p w14:paraId="07627BB3">
            <w:pPr>
              <w:jc w:val="center"/>
              <w:rPr>
                <w:color w:val="auto"/>
                <w:szCs w:val="21"/>
              </w:rPr>
            </w:pPr>
          </w:p>
        </w:tc>
        <w:tc>
          <w:tcPr>
            <w:tcW w:w="1442" w:type="dxa"/>
            <w:tcBorders>
              <w:left w:val="single" w:color="000000" w:sz="6" w:space="0"/>
              <w:bottom w:val="single" w:color="auto" w:sz="4" w:space="0"/>
              <w:right w:val="single" w:color="000000" w:sz="6" w:space="0"/>
            </w:tcBorders>
            <w:noWrap w:val="0"/>
            <w:vAlign w:val="center"/>
          </w:tcPr>
          <w:p w14:paraId="2AA214D7">
            <w:pPr>
              <w:jc w:val="center"/>
              <w:rPr>
                <w:rFonts w:hint="eastAsia"/>
                <w:color w:val="auto"/>
                <w:szCs w:val="21"/>
              </w:rPr>
            </w:pPr>
            <w:r>
              <w:rPr>
                <w:rFonts w:hint="eastAsia"/>
                <w:color w:val="auto"/>
                <w:szCs w:val="21"/>
              </w:rPr>
              <w:t>废油桶</w:t>
            </w:r>
          </w:p>
        </w:tc>
        <w:tc>
          <w:tcPr>
            <w:tcW w:w="2163" w:type="dxa"/>
            <w:vMerge w:val="continue"/>
            <w:tcBorders>
              <w:left w:val="single" w:color="000000" w:sz="6" w:space="0"/>
              <w:right w:val="single" w:color="000000" w:sz="6" w:space="0"/>
            </w:tcBorders>
            <w:noWrap w:val="0"/>
            <w:vAlign w:val="center"/>
          </w:tcPr>
          <w:p w14:paraId="0051301C">
            <w:pPr>
              <w:jc w:val="center"/>
              <w:rPr>
                <w:color w:val="auto"/>
                <w:szCs w:val="21"/>
              </w:rPr>
            </w:pPr>
          </w:p>
        </w:tc>
        <w:tc>
          <w:tcPr>
            <w:tcW w:w="2427" w:type="dxa"/>
            <w:vMerge w:val="continue"/>
            <w:tcBorders>
              <w:left w:val="single" w:color="000000" w:sz="6" w:space="0"/>
            </w:tcBorders>
            <w:noWrap w:val="0"/>
            <w:vAlign w:val="center"/>
          </w:tcPr>
          <w:p w14:paraId="31B9ED3D">
            <w:pPr>
              <w:adjustRightInd w:val="0"/>
              <w:snapToGrid w:val="0"/>
              <w:jc w:val="center"/>
              <w:rPr>
                <w:rFonts w:hint="eastAsia"/>
                <w:color w:val="auto"/>
                <w:szCs w:val="21"/>
              </w:rPr>
            </w:pPr>
          </w:p>
        </w:tc>
      </w:tr>
      <w:tr w14:paraId="2A0F62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6" w:type="dxa"/>
            <w:vMerge w:val="continue"/>
            <w:noWrap w:val="0"/>
            <w:vAlign w:val="center"/>
          </w:tcPr>
          <w:p w14:paraId="1AB1B588">
            <w:pPr>
              <w:adjustRightInd w:val="0"/>
              <w:snapToGrid w:val="0"/>
              <w:jc w:val="center"/>
              <w:rPr>
                <w:color w:val="auto"/>
                <w:szCs w:val="21"/>
              </w:rPr>
            </w:pPr>
          </w:p>
        </w:tc>
        <w:tc>
          <w:tcPr>
            <w:tcW w:w="1512" w:type="dxa"/>
            <w:vMerge w:val="continue"/>
            <w:tcBorders>
              <w:right w:val="single" w:color="000000" w:sz="6" w:space="0"/>
            </w:tcBorders>
            <w:noWrap w:val="0"/>
            <w:vAlign w:val="center"/>
          </w:tcPr>
          <w:p w14:paraId="65A7E159">
            <w:pPr>
              <w:jc w:val="center"/>
              <w:rPr>
                <w:color w:val="auto"/>
                <w:szCs w:val="21"/>
              </w:rPr>
            </w:pPr>
          </w:p>
        </w:tc>
        <w:tc>
          <w:tcPr>
            <w:tcW w:w="1442" w:type="dxa"/>
            <w:tcBorders>
              <w:left w:val="single" w:color="000000" w:sz="6" w:space="0"/>
              <w:bottom w:val="single" w:color="auto" w:sz="4" w:space="0"/>
              <w:right w:val="single" w:color="000000" w:sz="6" w:space="0"/>
            </w:tcBorders>
            <w:noWrap w:val="0"/>
            <w:vAlign w:val="center"/>
          </w:tcPr>
          <w:p w14:paraId="689B14A9">
            <w:pPr>
              <w:jc w:val="center"/>
              <w:rPr>
                <w:rFonts w:hint="eastAsia"/>
                <w:color w:val="auto"/>
                <w:szCs w:val="21"/>
              </w:rPr>
            </w:pPr>
            <w:r>
              <w:rPr>
                <w:rFonts w:hint="eastAsia"/>
                <w:color w:val="auto"/>
                <w:szCs w:val="21"/>
              </w:rPr>
              <w:t>废刹车片</w:t>
            </w:r>
          </w:p>
        </w:tc>
        <w:tc>
          <w:tcPr>
            <w:tcW w:w="2163" w:type="dxa"/>
            <w:vMerge w:val="continue"/>
            <w:tcBorders>
              <w:left w:val="single" w:color="000000" w:sz="6" w:space="0"/>
              <w:right w:val="single" w:color="000000" w:sz="6" w:space="0"/>
            </w:tcBorders>
            <w:noWrap w:val="0"/>
            <w:vAlign w:val="center"/>
          </w:tcPr>
          <w:p w14:paraId="217F1F54">
            <w:pPr>
              <w:jc w:val="center"/>
              <w:rPr>
                <w:color w:val="auto"/>
                <w:szCs w:val="21"/>
              </w:rPr>
            </w:pPr>
          </w:p>
        </w:tc>
        <w:tc>
          <w:tcPr>
            <w:tcW w:w="2427" w:type="dxa"/>
            <w:vMerge w:val="continue"/>
            <w:tcBorders>
              <w:left w:val="single" w:color="000000" w:sz="6" w:space="0"/>
            </w:tcBorders>
            <w:noWrap w:val="0"/>
            <w:vAlign w:val="center"/>
          </w:tcPr>
          <w:p w14:paraId="44598D07">
            <w:pPr>
              <w:adjustRightInd w:val="0"/>
              <w:snapToGrid w:val="0"/>
              <w:jc w:val="center"/>
              <w:rPr>
                <w:rFonts w:hint="eastAsia"/>
                <w:color w:val="auto"/>
                <w:szCs w:val="21"/>
              </w:rPr>
            </w:pPr>
          </w:p>
        </w:tc>
      </w:tr>
      <w:tr w14:paraId="479CDE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6" w:type="dxa"/>
            <w:vMerge w:val="continue"/>
            <w:noWrap w:val="0"/>
            <w:vAlign w:val="center"/>
          </w:tcPr>
          <w:p w14:paraId="62F678D2">
            <w:pPr>
              <w:adjustRightInd w:val="0"/>
              <w:snapToGrid w:val="0"/>
              <w:jc w:val="center"/>
              <w:rPr>
                <w:color w:val="auto"/>
                <w:szCs w:val="21"/>
              </w:rPr>
            </w:pPr>
          </w:p>
        </w:tc>
        <w:tc>
          <w:tcPr>
            <w:tcW w:w="1512" w:type="dxa"/>
            <w:vMerge w:val="continue"/>
            <w:tcBorders>
              <w:right w:val="single" w:color="000000" w:sz="6" w:space="0"/>
            </w:tcBorders>
            <w:noWrap w:val="0"/>
            <w:vAlign w:val="center"/>
          </w:tcPr>
          <w:p w14:paraId="7991ADBD">
            <w:pPr>
              <w:jc w:val="center"/>
              <w:rPr>
                <w:color w:val="auto"/>
                <w:szCs w:val="21"/>
              </w:rPr>
            </w:pPr>
          </w:p>
        </w:tc>
        <w:tc>
          <w:tcPr>
            <w:tcW w:w="1442" w:type="dxa"/>
            <w:tcBorders>
              <w:left w:val="single" w:color="000000" w:sz="6" w:space="0"/>
              <w:bottom w:val="single" w:color="auto" w:sz="4" w:space="0"/>
              <w:right w:val="single" w:color="000000" w:sz="6" w:space="0"/>
            </w:tcBorders>
            <w:noWrap w:val="0"/>
            <w:vAlign w:val="center"/>
          </w:tcPr>
          <w:p w14:paraId="253CD417">
            <w:pPr>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废荧光灯管</w:t>
            </w:r>
          </w:p>
        </w:tc>
        <w:tc>
          <w:tcPr>
            <w:tcW w:w="2163" w:type="dxa"/>
            <w:vMerge w:val="continue"/>
            <w:tcBorders>
              <w:left w:val="single" w:color="000000" w:sz="6" w:space="0"/>
              <w:right w:val="single" w:color="000000" w:sz="6" w:space="0"/>
            </w:tcBorders>
            <w:noWrap w:val="0"/>
            <w:vAlign w:val="center"/>
          </w:tcPr>
          <w:p w14:paraId="7EDEF66C">
            <w:pPr>
              <w:jc w:val="center"/>
              <w:rPr>
                <w:color w:val="auto"/>
                <w:szCs w:val="21"/>
              </w:rPr>
            </w:pPr>
          </w:p>
        </w:tc>
        <w:tc>
          <w:tcPr>
            <w:tcW w:w="2427" w:type="dxa"/>
            <w:vMerge w:val="continue"/>
            <w:tcBorders>
              <w:left w:val="single" w:color="000000" w:sz="6" w:space="0"/>
            </w:tcBorders>
            <w:noWrap w:val="0"/>
            <w:vAlign w:val="center"/>
          </w:tcPr>
          <w:p w14:paraId="48C1108D">
            <w:pPr>
              <w:adjustRightInd w:val="0"/>
              <w:snapToGrid w:val="0"/>
              <w:jc w:val="center"/>
              <w:rPr>
                <w:rFonts w:hint="eastAsia"/>
                <w:color w:val="auto"/>
                <w:szCs w:val="21"/>
              </w:rPr>
            </w:pPr>
          </w:p>
        </w:tc>
      </w:tr>
      <w:tr w14:paraId="23DB99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256" w:type="dxa"/>
            <w:noWrap w:val="0"/>
            <w:vAlign w:val="center"/>
          </w:tcPr>
          <w:p w14:paraId="03BEE804">
            <w:pPr>
              <w:adjustRightInd w:val="0"/>
              <w:snapToGrid w:val="0"/>
              <w:jc w:val="center"/>
              <w:rPr>
                <w:color w:val="auto"/>
                <w:szCs w:val="21"/>
              </w:rPr>
            </w:pPr>
            <w:r>
              <w:rPr>
                <w:color w:val="auto"/>
                <w:szCs w:val="21"/>
              </w:rPr>
              <w:t>土壤及地下水污染防治措施</w:t>
            </w:r>
          </w:p>
        </w:tc>
        <w:tc>
          <w:tcPr>
            <w:tcW w:w="7544" w:type="dxa"/>
            <w:gridSpan w:val="4"/>
            <w:noWrap w:val="0"/>
            <w:vAlign w:val="center"/>
          </w:tcPr>
          <w:p w14:paraId="69D6A199">
            <w:pPr>
              <w:adjustRightInd w:val="0"/>
              <w:snapToGrid w:val="0"/>
              <w:spacing w:line="360" w:lineRule="auto"/>
              <w:jc w:val="center"/>
              <w:rPr>
                <w:rFonts w:hint="eastAsia"/>
                <w:color w:val="auto"/>
                <w:szCs w:val="21"/>
              </w:rPr>
            </w:pPr>
            <w:r>
              <w:rPr>
                <w:rFonts w:hint="eastAsia"/>
                <w:color w:val="auto"/>
                <w:szCs w:val="21"/>
              </w:rPr>
              <w:t>/</w:t>
            </w:r>
          </w:p>
        </w:tc>
      </w:tr>
      <w:tr w14:paraId="47854B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1256" w:type="dxa"/>
            <w:noWrap w:val="0"/>
            <w:vAlign w:val="center"/>
          </w:tcPr>
          <w:p w14:paraId="0F0DF6E3">
            <w:pPr>
              <w:adjustRightInd w:val="0"/>
              <w:snapToGrid w:val="0"/>
              <w:jc w:val="center"/>
              <w:rPr>
                <w:color w:val="auto"/>
                <w:szCs w:val="21"/>
              </w:rPr>
            </w:pPr>
            <w:r>
              <w:rPr>
                <w:color w:val="auto"/>
                <w:szCs w:val="21"/>
              </w:rPr>
              <w:t>生态保护措施</w:t>
            </w:r>
          </w:p>
        </w:tc>
        <w:tc>
          <w:tcPr>
            <w:tcW w:w="7544" w:type="dxa"/>
            <w:gridSpan w:val="4"/>
            <w:noWrap w:val="0"/>
            <w:vAlign w:val="center"/>
          </w:tcPr>
          <w:p w14:paraId="1B008DEC">
            <w:pPr>
              <w:adjustRightInd w:val="0"/>
              <w:snapToGrid w:val="0"/>
              <w:jc w:val="center"/>
              <w:rPr>
                <w:color w:val="auto"/>
                <w:szCs w:val="21"/>
              </w:rPr>
            </w:pPr>
            <w:r>
              <w:rPr>
                <w:color w:val="auto"/>
                <w:szCs w:val="21"/>
              </w:rPr>
              <w:t>/</w:t>
            </w:r>
          </w:p>
        </w:tc>
      </w:tr>
      <w:tr w14:paraId="362199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1256" w:type="dxa"/>
            <w:noWrap w:val="0"/>
            <w:vAlign w:val="center"/>
          </w:tcPr>
          <w:p w14:paraId="1723C7B2">
            <w:pPr>
              <w:adjustRightInd w:val="0"/>
              <w:snapToGrid w:val="0"/>
              <w:jc w:val="center"/>
              <w:rPr>
                <w:color w:val="auto"/>
                <w:spacing w:val="-8"/>
                <w:szCs w:val="21"/>
              </w:rPr>
            </w:pPr>
            <w:r>
              <w:rPr>
                <w:color w:val="auto"/>
                <w:spacing w:val="-8"/>
                <w:szCs w:val="21"/>
              </w:rPr>
              <w:t>环境风险</w:t>
            </w:r>
          </w:p>
          <w:p w14:paraId="58081DD2">
            <w:pPr>
              <w:adjustRightInd w:val="0"/>
              <w:snapToGrid w:val="0"/>
              <w:jc w:val="center"/>
              <w:rPr>
                <w:color w:val="auto"/>
                <w:spacing w:val="-8"/>
                <w:szCs w:val="21"/>
              </w:rPr>
            </w:pPr>
            <w:r>
              <w:rPr>
                <w:color w:val="auto"/>
                <w:spacing w:val="-8"/>
                <w:szCs w:val="21"/>
              </w:rPr>
              <w:t>防范措施</w:t>
            </w:r>
          </w:p>
        </w:tc>
        <w:tc>
          <w:tcPr>
            <w:tcW w:w="7544" w:type="dxa"/>
            <w:gridSpan w:val="4"/>
            <w:noWrap w:val="0"/>
            <w:vAlign w:val="center"/>
          </w:tcPr>
          <w:p w14:paraId="60903469">
            <w:pPr>
              <w:adjustRightInd w:val="0"/>
              <w:snapToGrid w:val="0"/>
              <w:spacing w:before="120" w:beforeLines="50" w:line="360" w:lineRule="auto"/>
              <w:ind w:firstLine="420" w:firstLineChars="200"/>
              <w:rPr>
                <w:color w:val="auto"/>
                <w:szCs w:val="21"/>
              </w:rPr>
            </w:pPr>
            <w:r>
              <w:rPr>
                <w:rFonts w:hint="eastAsia"/>
                <w:color w:val="auto"/>
                <w:szCs w:val="21"/>
              </w:rPr>
              <w:t>应落实本报告提出的上述环境风险防范措施</w:t>
            </w:r>
            <w:r>
              <w:rPr>
                <w:rFonts w:hint="eastAsia"/>
                <w:color w:val="auto"/>
                <w:szCs w:val="21"/>
                <w:lang w:val="en-GB"/>
              </w:rPr>
              <w:t>；</w:t>
            </w:r>
            <w:r>
              <w:rPr>
                <w:rFonts w:hint="eastAsia"/>
                <w:color w:val="auto"/>
                <w:szCs w:val="21"/>
                <w:lang w:val="en-US" w:eastAsia="zh-CN"/>
              </w:rPr>
              <w:t>修订</w:t>
            </w:r>
            <w:r>
              <w:rPr>
                <w:rFonts w:hint="eastAsia"/>
                <w:color w:val="auto"/>
                <w:szCs w:val="21"/>
              </w:rPr>
              <w:t>突发环境事件应急预案并</w:t>
            </w:r>
            <w:r>
              <w:rPr>
                <w:rFonts w:hint="eastAsia"/>
                <w:color w:val="auto"/>
                <w:szCs w:val="21"/>
                <w:lang w:val="en-GB"/>
              </w:rPr>
              <w:t>进行应急演练等。</w:t>
            </w:r>
          </w:p>
        </w:tc>
      </w:tr>
      <w:tr w14:paraId="2B4C1D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256" w:type="dxa"/>
            <w:noWrap w:val="0"/>
            <w:vAlign w:val="center"/>
          </w:tcPr>
          <w:p w14:paraId="2049B14C">
            <w:pPr>
              <w:adjustRightInd w:val="0"/>
              <w:snapToGrid w:val="0"/>
              <w:jc w:val="center"/>
              <w:rPr>
                <w:color w:val="auto"/>
                <w:spacing w:val="-8"/>
                <w:szCs w:val="21"/>
              </w:rPr>
            </w:pPr>
            <w:r>
              <w:rPr>
                <w:color w:val="auto"/>
                <w:spacing w:val="-8"/>
                <w:szCs w:val="21"/>
              </w:rPr>
              <w:t>其他环境管理要求</w:t>
            </w:r>
          </w:p>
        </w:tc>
        <w:tc>
          <w:tcPr>
            <w:tcW w:w="7544" w:type="dxa"/>
            <w:gridSpan w:val="4"/>
            <w:noWrap w:val="0"/>
            <w:vAlign w:val="center"/>
          </w:tcPr>
          <w:p w14:paraId="455E5B8E">
            <w:pPr>
              <w:spacing w:before="120" w:beforeLines="50" w:line="360" w:lineRule="auto"/>
              <w:ind w:firstLine="420" w:firstLineChars="200"/>
              <w:rPr>
                <w:color w:val="auto"/>
                <w:szCs w:val="21"/>
              </w:rPr>
            </w:pPr>
            <w:r>
              <w:rPr>
                <w:color w:val="auto"/>
                <w:szCs w:val="21"/>
              </w:rPr>
              <w:t>建立环保档案，</w:t>
            </w:r>
            <w:r>
              <w:rPr>
                <w:rFonts w:hint="eastAsia"/>
                <w:color w:val="auto"/>
                <w:szCs w:val="21"/>
              </w:rPr>
              <w:t>设置厂内人员（可兼职）进行</w:t>
            </w:r>
            <w:r>
              <w:rPr>
                <w:color w:val="auto"/>
                <w:szCs w:val="21"/>
              </w:rPr>
              <w:t>环境管理</w:t>
            </w:r>
            <w:r>
              <w:rPr>
                <w:rFonts w:hint="eastAsia"/>
                <w:color w:val="auto"/>
                <w:szCs w:val="21"/>
              </w:rPr>
              <w:t>，</w:t>
            </w:r>
            <w:r>
              <w:rPr>
                <w:color w:val="auto"/>
                <w:szCs w:val="21"/>
              </w:rPr>
              <w:t>具体内容如下：</w:t>
            </w:r>
          </w:p>
          <w:p w14:paraId="5BBE11E9">
            <w:pPr>
              <w:spacing w:line="360" w:lineRule="auto"/>
              <w:ind w:firstLine="420" w:firstLineChars="200"/>
              <w:rPr>
                <w:rFonts w:hint="eastAsia"/>
                <w:color w:val="auto"/>
                <w:szCs w:val="21"/>
              </w:rPr>
            </w:pPr>
            <w:r>
              <w:rPr>
                <w:rFonts w:hint="eastAsia"/>
                <w:color w:val="auto"/>
                <w:szCs w:val="21"/>
              </w:rPr>
              <w:t>①“三同时”制度：</w:t>
            </w:r>
          </w:p>
          <w:p w14:paraId="0F63FA0B">
            <w:pPr>
              <w:spacing w:line="360" w:lineRule="auto"/>
              <w:ind w:firstLine="420" w:firstLineChars="200"/>
              <w:rPr>
                <w:rFonts w:hint="eastAsia"/>
                <w:color w:val="auto"/>
                <w:szCs w:val="21"/>
              </w:rPr>
            </w:pPr>
            <w:r>
              <w:rPr>
                <w:rFonts w:hint="eastAsia"/>
                <w:color w:val="auto"/>
                <w:szCs w:val="21"/>
              </w:rPr>
              <w:t>建设单位认真落实废气、污（废）水、固废、噪声等防治措施。</w:t>
            </w:r>
          </w:p>
          <w:p w14:paraId="686C056D">
            <w:pPr>
              <w:spacing w:line="360" w:lineRule="auto"/>
              <w:ind w:firstLine="420" w:firstLineChars="200"/>
              <w:rPr>
                <w:rFonts w:hint="eastAsia"/>
                <w:color w:val="auto"/>
                <w:szCs w:val="21"/>
              </w:rPr>
            </w:pPr>
            <w:r>
              <w:rPr>
                <w:rFonts w:hint="eastAsia"/>
                <w:color w:val="auto"/>
                <w:szCs w:val="21"/>
              </w:rPr>
              <w:t>②环境管理制度：</w:t>
            </w:r>
          </w:p>
          <w:p w14:paraId="3253868A">
            <w:pPr>
              <w:spacing w:line="360" w:lineRule="auto"/>
              <w:ind w:firstLine="420" w:firstLineChars="200"/>
              <w:rPr>
                <w:rFonts w:hint="eastAsia"/>
                <w:color w:val="auto"/>
                <w:szCs w:val="21"/>
              </w:rPr>
            </w:pPr>
            <w:r>
              <w:rPr>
                <w:rFonts w:hint="eastAsia"/>
                <w:color w:val="auto"/>
                <w:szCs w:val="21"/>
              </w:rPr>
              <w:t>加强环保设施的管理，落实废气、固废等的治理。建立岗位责任制和工作台账制度，对污染防治情况进行定时监测，及时掌握污染治理设施的运行情况，做好各项污染物的达标排放工作。</w:t>
            </w:r>
          </w:p>
          <w:p w14:paraId="4B638D3A">
            <w:pPr>
              <w:spacing w:line="360" w:lineRule="auto"/>
              <w:ind w:firstLine="420" w:firstLineChars="200"/>
              <w:rPr>
                <w:rFonts w:hint="eastAsia"/>
                <w:color w:val="auto"/>
                <w:szCs w:val="21"/>
              </w:rPr>
            </w:pPr>
            <w:r>
              <w:rPr>
                <w:rFonts w:hint="eastAsia"/>
                <w:color w:val="auto"/>
                <w:szCs w:val="21"/>
              </w:rPr>
              <w:t>③排污许可制度：</w:t>
            </w:r>
          </w:p>
          <w:p w14:paraId="4C618891">
            <w:pPr>
              <w:spacing w:line="360" w:lineRule="auto"/>
              <w:ind w:firstLine="420" w:firstLineChars="200"/>
              <w:rPr>
                <w:rFonts w:hint="eastAsia"/>
                <w:color w:val="auto"/>
                <w:szCs w:val="21"/>
              </w:rPr>
            </w:pPr>
            <w:r>
              <w:rPr>
                <w:rFonts w:hint="eastAsia"/>
                <w:color w:val="auto"/>
                <w:szCs w:val="21"/>
              </w:rPr>
              <w:t>根据《固定污染源排污许可分类管理名录（2019年版）》要求，建设单位应及时完成排污许可手续，合法排污。</w:t>
            </w:r>
          </w:p>
          <w:p w14:paraId="44CF004F">
            <w:pPr>
              <w:spacing w:line="360" w:lineRule="auto"/>
              <w:ind w:firstLine="420" w:firstLineChars="200"/>
              <w:rPr>
                <w:rFonts w:hint="eastAsia"/>
                <w:color w:val="auto"/>
                <w:szCs w:val="21"/>
              </w:rPr>
            </w:pPr>
            <w:r>
              <w:rPr>
                <w:rFonts w:hint="eastAsia"/>
                <w:color w:val="auto"/>
                <w:szCs w:val="21"/>
              </w:rPr>
              <w:t>④环境监测：</w:t>
            </w:r>
          </w:p>
          <w:p w14:paraId="365B1BEF">
            <w:pPr>
              <w:spacing w:line="360" w:lineRule="auto"/>
              <w:ind w:firstLine="420" w:firstLineChars="200"/>
              <w:rPr>
                <w:rFonts w:hint="eastAsia"/>
                <w:color w:val="auto"/>
                <w:szCs w:val="21"/>
              </w:rPr>
            </w:pPr>
            <w:r>
              <w:rPr>
                <w:rFonts w:hint="eastAsia"/>
                <w:color w:val="auto"/>
                <w:szCs w:val="21"/>
              </w:rPr>
              <w:t>按照监测计划的频次和要求进行监测，并保留监测原始记录，每次数据应及时由专人整理、统计，如有异常，立即向上级有关部门通报，并做好监测资料的归档、备查工作，建议建设单位定期将监测数据上墙公示，接受公众监督。</w:t>
            </w:r>
          </w:p>
          <w:p w14:paraId="358274B3">
            <w:pPr>
              <w:spacing w:line="360" w:lineRule="auto"/>
              <w:ind w:firstLine="420" w:firstLineChars="200"/>
              <w:rPr>
                <w:rFonts w:hint="eastAsia"/>
                <w:color w:val="auto"/>
                <w:szCs w:val="21"/>
              </w:rPr>
            </w:pPr>
            <w:r>
              <w:rPr>
                <w:rFonts w:hint="eastAsia"/>
                <w:color w:val="auto"/>
                <w:szCs w:val="21"/>
              </w:rPr>
              <w:t>⑤竣工验收</w:t>
            </w:r>
          </w:p>
          <w:p w14:paraId="7EE3FBC2">
            <w:pPr>
              <w:spacing w:line="360" w:lineRule="auto"/>
              <w:ind w:firstLine="420" w:firstLineChars="200"/>
              <w:rPr>
                <w:rFonts w:hint="eastAsia"/>
                <w:color w:val="auto"/>
                <w:szCs w:val="21"/>
              </w:rPr>
            </w:pPr>
            <w:r>
              <w:rPr>
                <w:rFonts w:hint="eastAsia"/>
                <w:color w:val="auto"/>
                <w:szCs w:val="21"/>
              </w:rPr>
              <w:t>根据《建设项目竣工环境保护验收暂行办法》（国环规环评〔2017〕4号），建设单位自行验收。验收合格后，方可投入生产或使用。</w:t>
            </w:r>
          </w:p>
          <w:p w14:paraId="0CC4B68E">
            <w:pPr>
              <w:spacing w:line="360" w:lineRule="auto"/>
              <w:ind w:firstLine="420" w:firstLineChars="200"/>
              <w:rPr>
                <w:color w:val="auto"/>
                <w:szCs w:val="21"/>
              </w:rPr>
            </w:pPr>
            <w:r>
              <w:rPr>
                <w:rFonts w:hint="eastAsia"/>
                <w:color w:val="auto"/>
                <w:szCs w:val="21"/>
              </w:rPr>
              <w:t>⑥突发环境事件应急预案</w:t>
            </w:r>
          </w:p>
          <w:p w14:paraId="296B63DF">
            <w:pPr>
              <w:spacing w:line="360" w:lineRule="auto"/>
              <w:ind w:firstLine="420" w:firstLineChars="200"/>
              <w:rPr>
                <w:rFonts w:hint="eastAsia"/>
                <w:color w:val="auto"/>
                <w:szCs w:val="21"/>
              </w:rPr>
            </w:pPr>
            <w:r>
              <w:rPr>
                <w:rFonts w:hint="eastAsia"/>
                <w:color w:val="auto"/>
                <w:szCs w:val="21"/>
              </w:rPr>
              <w:t>根据本次建设内容，</w:t>
            </w:r>
            <w:r>
              <w:rPr>
                <w:rFonts w:hint="eastAsia"/>
                <w:color w:val="auto"/>
                <w:szCs w:val="21"/>
                <w:lang w:val="en-US" w:eastAsia="zh-CN"/>
              </w:rPr>
              <w:t>修订</w:t>
            </w:r>
            <w:r>
              <w:rPr>
                <w:rFonts w:hint="eastAsia"/>
                <w:color w:val="auto"/>
                <w:szCs w:val="21"/>
              </w:rPr>
              <w:t>突发环境事件应急预案。</w:t>
            </w:r>
          </w:p>
          <w:p w14:paraId="6A666025">
            <w:pPr>
              <w:spacing w:line="360" w:lineRule="auto"/>
              <w:ind w:firstLine="420" w:firstLineChars="200"/>
              <w:rPr>
                <w:rFonts w:hint="eastAsia"/>
                <w:color w:val="auto"/>
                <w:szCs w:val="21"/>
              </w:rPr>
            </w:pPr>
            <w:r>
              <w:rPr>
                <w:rFonts w:hint="eastAsia"/>
                <w:color w:val="auto"/>
                <w:szCs w:val="21"/>
              </w:rPr>
              <w:t>⑦环境信息公开的要求</w:t>
            </w:r>
          </w:p>
          <w:p w14:paraId="59998A14">
            <w:pPr>
              <w:spacing w:line="360" w:lineRule="auto"/>
              <w:ind w:firstLine="420" w:firstLineChars="200"/>
              <w:rPr>
                <w:rFonts w:hint="eastAsia"/>
                <w:color w:val="auto"/>
                <w:szCs w:val="21"/>
              </w:rPr>
            </w:pPr>
            <w:r>
              <w:rPr>
                <w:rFonts w:hint="eastAsia"/>
                <w:color w:val="auto"/>
                <w:szCs w:val="21"/>
              </w:rPr>
              <w:t>按照《建设项目环境影响评价政府信息公开指南（试行）》有关要求进行信息公开。</w:t>
            </w:r>
          </w:p>
          <w:p w14:paraId="48AFA2E9">
            <w:pPr>
              <w:pStyle w:val="44"/>
              <w:rPr>
                <w:rFonts w:hint="eastAsia"/>
                <w:color w:val="auto"/>
                <w:sz w:val="21"/>
                <w:szCs w:val="21"/>
              </w:rPr>
            </w:pPr>
          </w:p>
          <w:p w14:paraId="5F307A02">
            <w:pPr>
              <w:pStyle w:val="44"/>
              <w:rPr>
                <w:rFonts w:hint="eastAsia"/>
                <w:color w:val="auto"/>
                <w:sz w:val="21"/>
                <w:szCs w:val="21"/>
              </w:rPr>
            </w:pPr>
          </w:p>
          <w:p w14:paraId="134BFCE4">
            <w:pPr>
              <w:pStyle w:val="44"/>
              <w:rPr>
                <w:color w:val="auto"/>
                <w:sz w:val="21"/>
                <w:szCs w:val="21"/>
              </w:rPr>
            </w:pPr>
          </w:p>
          <w:p w14:paraId="2535EB40">
            <w:pPr>
              <w:pStyle w:val="44"/>
              <w:rPr>
                <w:rFonts w:hint="eastAsia"/>
                <w:color w:val="auto"/>
                <w:sz w:val="21"/>
                <w:szCs w:val="21"/>
              </w:rPr>
            </w:pPr>
          </w:p>
          <w:p w14:paraId="7F47E8EF">
            <w:pPr>
              <w:pStyle w:val="44"/>
              <w:rPr>
                <w:color w:val="auto"/>
                <w:sz w:val="21"/>
                <w:szCs w:val="21"/>
              </w:rPr>
            </w:pPr>
          </w:p>
          <w:p w14:paraId="6B515A41">
            <w:pPr>
              <w:pStyle w:val="44"/>
              <w:rPr>
                <w:rFonts w:hint="eastAsia"/>
                <w:color w:val="auto"/>
                <w:sz w:val="21"/>
                <w:szCs w:val="21"/>
              </w:rPr>
            </w:pPr>
          </w:p>
        </w:tc>
      </w:tr>
    </w:tbl>
    <w:p w14:paraId="746811E9">
      <w:pPr>
        <w:pStyle w:val="22"/>
        <w:jc w:val="center"/>
        <w:outlineLvl w:val="0"/>
        <w:rPr>
          <w:snapToGrid w:val="0"/>
          <w:color w:val="auto"/>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3255631A">
      <w:pPr>
        <w:pStyle w:val="22"/>
        <w:jc w:val="center"/>
        <w:outlineLvl w:val="0"/>
        <w:rPr>
          <w:rFonts w:ascii="黑体" w:hAnsi="黑体" w:eastAsia="黑体"/>
          <w:snapToGrid w:val="0"/>
          <w:color w:val="auto"/>
          <w:sz w:val="30"/>
          <w:szCs w:val="30"/>
        </w:rPr>
      </w:pPr>
      <w:r>
        <w:rPr>
          <w:rFonts w:hint="eastAsia" w:ascii="黑体" w:hAnsi="黑体" w:eastAsia="黑体"/>
          <w:snapToGrid w:val="0"/>
          <w:color w:val="auto"/>
          <w:sz w:val="30"/>
          <w:szCs w:val="30"/>
        </w:rPr>
        <w:t>六、结论</w:t>
      </w:r>
    </w:p>
    <w:tbl>
      <w:tblPr>
        <w:tblStyle w:val="25"/>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1471A6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noWrap w:val="0"/>
            <w:vAlign w:val="top"/>
          </w:tcPr>
          <w:p w14:paraId="71E60D9D">
            <w:pPr>
              <w:tabs>
                <w:tab w:val="left" w:pos="1882"/>
              </w:tabs>
              <w:spacing w:line="480" w:lineRule="exact"/>
              <w:ind w:firstLine="480" w:firstLineChars="200"/>
              <w:rPr>
                <w:color w:val="auto"/>
                <w:sz w:val="24"/>
              </w:rPr>
            </w:pPr>
            <w:r>
              <w:rPr>
                <w:rFonts w:hint="eastAsia"/>
                <w:color w:val="auto"/>
                <w:sz w:val="24"/>
              </w:rPr>
              <w:t>从环境保护角度，本建设项目的环境影响是可行的。</w:t>
            </w:r>
          </w:p>
          <w:p w14:paraId="15F7FA79">
            <w:pPr>
              <w:pStyle w:val="44"/>
              <w:rPr>
                <w:rFonts w:hint="eastAsia"/>
                <w:color w:val="auto"/>
              </w:rPr>
            </w:pPr>
          </w:p>
        </w:tc>
      </w:tr>
    </w:tbl>
    <w:p w14:paraId="09A05977">
      <w:pPr>
        <w:rPr>
          <w:rFonts w:ascii="宋体"/>
          <w:color w:val="auto"/>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19C3D5F5">
      <w:pPr>
        <w:pStyle w:val="22"/>
        <w:adjustRightInd w:val="0"/>
        <w:snapToGrid w:val="0"/>
        <w:spacing w:before="0" w:beforeAutospacing="0" w:after="0" w:afterAutospacing="0" w:line="648" w:lineRule="auto"/>
        <w:outlineLvl w:val="0"/>
        <w:rPr>
          <w:rFonts w:ascii="黑体" w:hAnsi="黑体" w:eastAsia="黑体"/>
          <w:snapToGrid w:val="0"/>
          <w:color w:val="auto"/>
          <w:sz w:val="32"/>
          <w:szCs w:val="32"/>
        </w:rPr>
      </w:pPr>
      <w:r>
        <w:rPr>
          <w:rFonts w:hint="eastAsia" w:ascii="黑体" w:hAnsi="黑体" w:eastAsia="黑体"/>
          <w:snapToGrid w:val="0"/>
          <w:color w:val="auto"/>
          <w:sz w:val="32"/>
          <w:szCs w:val="32"/>
        </w:rPr>
        <w:t>附表</w:t>
      </w:r>
    </w:p>
    <w:p w14:paraId="70D544C5">
      <w:pPr>
        <w:pStyle w:val="22"/>
        <w:adjustRightInd w:val="0"/>
        <w:snapToGrid w:val="0"/>
        <w:spacing w:before="0" w:beforeAutospacing="0" w:after="0" w:afterAutospacing="0" w:line="360" w:lineRule="auto"/>
        <w:jc w:val="center"/>
        <w:outlineLvl w:val="0"/>
        <w:rPr>
          <w:rFonts w:hint="eastAsia" w:ascii="方正小标宋_GBK" w:hAnsi="黑体" w:eastAsia="方正小标宋_GBK"/>
          <w:snapToGrid w:val="0"/>
          <w:color w:val="auto"/>
          <w:sz w:val="38"/>
          <w:szCs w:val="38"/>
        </w:rPr>
      </w:pPr>
      <w:r>
        <w:rPr>
          <w:rFonts w:hint="eastAsia" w:ascii="方正小标宋_GBK" w:hAnsi="黑体" w:eastAsia="方正小标宋_GBK"/>
          <w:snapToGrid w:val="0"/>
          <w:color w:val="auto"/>
          <w:sz w:val="38"/>
          <w:szCs w:val="38"/>
        </w:rPr>
        <w:t>建设项目污染物排放量汇总表</w:t>
      </w:r>
    </w:p>
    <w:tbl>
      <w:tblPr>
        <w:tblStyle w:val="25"/>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57"/>
        <w:gridCol w:w="1948"/>
        <w:gridCol w:w="1701"/>
        <w:gridCol w:w="1276"/>
        <w:gridCol w:w="1701"/>
        <w:gridCol w:w="1559"/>
        <w:gridCol w:w="1761"/>
        <w:gridCol w:w="1667"/>
        <w:gridCol w:w="1118"/>
      </w:tblGrid>
      <w:tr w14:paraId="0FC01F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057" w:type="dxa"/>
            <w:tcBorders>
              <w:tl2br w:val="single" w:color="auto" w:sz="4" w:space="0"/>
            </w:tcBorders>
            <w:noWrap w:val="0"/>
            <w:tcMar>
              <w:left w:w="28" w:type="dxa"/>
              <w:right w:w="28" w:type="dxa"/>
            </w:tcMar>
            <w:vAlign w:val="center"/>
          </w:tcPr>
          <w:p w14:paraId="35823498">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jc w:val="right"/>
              <w:textAlignment w:val="auto"/>
              <w:rPr>
                <w:rFonts w:hint="eastAsia" w:ascii="黑体" w:hAnsi="黑体" w:eastAsia="黑体" w:cs="宋体"/>
                <w:snapToGrid w:val="0"/>
                <w:color w:val="auto"/>
                <w:spacing w:val="-6"/>
                <w:kern w:val="21"/>
                <w:szCs w:val="21"/>
              </w:rPr>
            </w:pPr>
            <w:bookmarkStart w:id="37" w:name="_Hlk111803989"/>
            <w:r>
              <w:rPr>
                <w:rFonts w:hint="eastAsia" w:ascii="黑体" w:hAnsi="黑体" w:eastAsia="黑体" w:cs="宋体"/>
                <w:snapToGrid w:val="0"/>
                <w:color w:val="auto"/>
                <w:spacing w:val="-6"/>
                <w:kern w:val="21"/>
                <w:szCs w:val="21"/>
              </w:rPr>
              <w:t>项目</w:t>
            </w:r>
          </w:p>
          <w:p w14:paraId="3A034072">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jc w:val="left"/>
              <w:textAlignment w:val="auto"/>
              <w:rPr>
                <w:rFonts w:hint="eastAsia" w:ascii="黑体" w:hAnsi="黑体" w:eastAsia="黑体" w:cs="宋体"/>
                <w:snapToGrid w:val="0"/>
                <w:color w:val="auto"/>
                <w:spacing w:val="-6"/>
                <w:kern w:val="21"/>
                <w:szCs w:val="21"/>
              </w:rPr>
            </w:pPr>
            <w:r>
              <w:rPr>
                <w:rFonts w:hint="eastAsia" w:ascii="黑体" w:hAnsi="黑体" w:eastAsia="黑体" w:cs="宋体"/>
                <w:snapToGrid w:val="0"/>
                <w:color w:val="auto"/>
                <w:spacing w:val="-6"/>
                <w:kern w:val="21"/>
                <w:szCs w:val="21"/>
              </w:rPr>
              <w:t>分类</w:t>
            </w:r>
          </w:p>
        </w:tc>
        <w:tc>
          <w:tcPr>
            <w:tcW w:w="1948" w:type="dxa"/>
            <w:noWrap w:val="0"/>
            <w:tcMar>
              <w:left w:w="28" w:type="dxa"/>
              <w:right w:w="28" w:type="dxa"/>
            </w:tcMar>
            <w:vAlign w:val="center"/>
          </w:tcPr>
          <w:p w14:paraId="0C66FA67">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黑体" w:hAnsi="黑体" w:eastAsia="黑体" w:cs="宋体"/>
                <w:snapToGrid w:val="0"/>
                <w:color w:val="auto"/>
                <w:spacing w:val="-6"/>
                <w:kern w:val="21"/>
                <w:szCs w:val="21"/>
              </w:rPr>
            </w:pPr>
            <w:r>
              <w:rPr>
                <w:rFonts w:hint="eastAsia" w:ascii="黑体" w:hAnsi="黑体" w:eastAsia="黑体" w:cs="宋体"/>
                <w:snapToGrid w:val="0"/>
                <w:color w:val="auto"/>
                <w:spacing w:val="-6"/>
                <w:kern w:val="21"/>
                <w:szCs w:val="21"/>
              </w:rPr>
              <w:t>污染物名称</w:t>
            </w:r>
          </w:p>
        </w:tc>
        <w:tc>
          <w:tcPr>
            <w:tcW w:w="1701" w:type="dxa"/>
            <w:noWrap w:val="0"/>
            <w:tcMar>
              <w:left w:w="28" w:type="dxa"/>
              <w:right w:w="28" w:type="dxa"/>
            </w:tcMar>
            <w:vAlign w:val="center"/>
          </w:tcPr>
          <w:p w14:paraId="05825873">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黑体" w:hAnsi="黑体" w:eastAsia="黑体"/>
                <w:snapToGrid w:val="0"/>
                <w:color w:val="auto"/>
                <w:spacing w:val="-6"/>
                <w:kern w:val="21"/>
                <w:szCs w:val="21"/>
              </w:rPr>
            </w:pPr>
            <w:r>
              <w:rPr>
                <w:rFonts w:ascii="黑体" w:hAnsi="黑体" w:eastAsia="黑体"/>
                <w:snapToGrid w:val="0"/>
                <w:color w:val="auto"/>
                <w:spacing w:val="-6"/>
                <w:kern w:val="21"/>
                <w:szCs w:val="21"/>
              </w:rPr>
              <w:t>现有工程</w:t>
            </w:r>
          </w:p>
          <w:p w14:paraId="41766177">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t>排放量（固</w:t>
            </w:r>
            <w:r>
              <w:rPr>
                <w:rFonts w:hint="eastAsia" w:ascii="黑体" w:hAnsi="黑体" w:eastAsia="黑体"/>
                <w:snapToGrid w:val="0"/>
                <w:color w:val="auto"/>
                <w:spacing w:val="-6"/>
                <w:kern w:val="21"/>
                <w:szCs w:val="21"/>
              </w:rPr>
              <w:t>体</w:t>
            </w:r>
            <w:r>
              <w:rPr>
                <w:rFonts w:ascii="黑体" w:hAnsi="黑体" w:eastAsia="黑体"/>
                <w:snapToGrid w:val="0"/>
                <w:color w:val="auto"/>
                <w:spacing w:val="-6"/>
                <w:kern w:val="21"/>
                <w:szCs w:val="21"/>
              </w:rPr>
              <w:t>废</w:t>
            </w:r>
            <w:r>
              <w:rPr>
                <w:rFonts w:hint="eastAsia" w:ascii="黑体" w:hAnsi="黑体" w:eastAsia="黑体"/>
                <w:snapToGrid w:val="0"/>
                <w:color w:val="auto"/>
                <w:spacing w:val="-6"/>
                <w:kern w:val="21"/>
                <w:szCs w:val="21"/>
              </w:rPr>
              <w:t>物</w:t>
            </w:r>
            <w:r>
              <w:rPr>
                <w:rFonts w:ascii="黑体" w:hAnsi="黑体" w:eastAsia="黑体"/>
                <w:snapToGrid w:val="0"/>
                <w:color w:val="auto"/>
                <w:spacing w:val="-6"/>
                <w:kern w:val="21"/>
                <w:szCs w:val="21"/>
              </w:rPr>
              <w:t>产生量）</w:t>
            </w:r>
            <w:r>
              <w:rPr>
                <w:rFonts w:ascii="黑体" w:hAnsi="黑体" w:eastAsia="黑体"/>
                <w:snapToGrid w:val="0"/>
                <w:color w:val="auto"/>
                <w:spacing w:val="-6"/>
                <w:kern w:val="21"/>
                <w:szCs w:val="21"/>
              </w:rPr>
              <w:fldChar w:fldCharType="begin"/>
            </w:r>
            <w:r>
              <w:rPr>
                <w:rFonts w:ascii="黑体" w:hAnsi="黑体" w:eastAsia="黑体"/>
                <w:snapToGrid w:val="0"/>
                <w:color w:val="auto"/>
                <w:spacing w:val="-6"/>
                <w:kern w:val="21"/>
                <w:szCs w:val="21"/>
              </w:rPr>
              <w:instrText xml:space="preserve"> = 1 \* GB3 \* MERGEFORMAT </w:instrText>
            </w:r>
            <w:r>
              <w:rPr>
                <w:rFonts w:ascii="黑体" w:hAnsi="黑体" w:eastAsia="黑体"/>
                <w:snapToGrid w:val="0"/>
                <w:color w:val="auto"/>
                <w:spacing w:val="-6"/>
                <w:kern w:val="21"/>
                <w:szCs w:val="21"/>
              </w:rPr>
              <w:fldChar w:fldCharType="separate"/>
            </w:r>
            <w:r>
              <w:rPr>
                <w:rFonts w:hint="eastAsia" w:ascii="黑体" w:hAnsi="黑体" w:eastAsia="黑体" w:cs="宋体"/>
                <w:color w:val="auto"/>
                <w:kern w:val="2"/>
                <w:szCs w:val="21"/>
              </w:rPr>
              <w:t>①</w:t>
            </w:r>
            <w:r>
              <w:rPr>
                <w:rFonts w:ascii="黑体" w:hAnsi="黑体" w:eastAsia="黑体"/>
                <w:snapToGrid w:val="0"/>
                <w:color w:val="auto"/>
                <w:spacing w:val="-6"/>
                <w:kern w:val="21"/>
                <w:szCs w:val="21"/>
              </w:rPr>
              <w:fldChar w:fldCharType="end"/>
            </w:r>
          </w:p>
        </w:tc>
        <w:tc>
          <w:tcPr>
            <w:tcW w:w="1276" w:type="dxa"/>
            <w:noWrap w:val="0"/>
            <w:tcMar>
              <w:left w:w="28" w:type="dxa"/>
              <w:right w:w="28" w:type="dxa"/>
            </w:tcMar>
            <w:vAlign w:val="center"/>
          </w:tcPr>
          <w:p w14:paraId="05E15E60">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t>现有工程</w:t>
            </w:r>
          </w:p>
          <w:p w14:paraId="337E93D1">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t>许可排放量</w:t>
            </w:r>
          </w:p>
          <w:p w14:paraId="40329F11">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fldChar w:fldCharType="begin"/>
            </w:r>
            <w:r>
              <w:rPr>
                <w:rFonts w:ascii="黑体" w:hAnsi="黑体" w:eastAsia="黑体"/>
                <w:snapToGrid w:val="0"/>
                <w:color w:val="auto"/>
                <w:spacing w:val="-6"/>
                <w:kern w:val="21"/>
                <w:szCs w:val="21"/>
              </w:rPr>
              <w:instrText xml:space="preserve"> = 2 \* GB3 \* MERGEFORMAT </w:instrText>
            </w:r>
            <w:r>
              <w:rPr>
                <w:rFonts w:ascii="黑体" w:hAnsi="黑体" w:eastAsia="黑体"/>
                <w:snapToGrid w:val="0"/>
                <w:color w:val="auto"/>
                <w:spacing w:val="-6"/>
                <w:kern w:val="21"/>
                <w:szCs w:val="21"/>
              </w:rPr>
              <w:fldChar w:fldCharType="separate"/>
            </w:r>
            <w:r>
              <w:rPr>
                <w:rFonts w:hint="eastAsia" w:ascii="黑体" w:hAnsi="黑体" w:eastAsia="黑体" w:cs="宋体"/>
                <w:snapToGrid w:val="0"/>
                <w:color w:val="auto"/>
                <w:spacing w:val="-6"/>
                <w:kern w:val="21"/>
                <w:szCs w:val="21"/>
              </w:rPr>
              <w:t>②</w:t>
            </w:r>
            <w:r>
              <w:rPr>
                <w:rFonts w:ascii="黑体" w:hAnsi="黑体" w:eastAsia="黑体"/>
                <w:snapToGrid w:val="0"/>
                <w:color w:val="auto"/>
                <w:spacing w:val="-6"/>
                <w:kern w:val="21"/>
                <w:szCs w:val="21"/>
              </w:rPr>
              <w:fldChar w:fldCharType="end"/>
            </w:r>
          </w:p>
        </w:tc>
        <w:tc>
          <w:tcPr>
            <w:tcW w:w="1701" w:type="dxa"/>
            <w:noWrap w:val="0"/>
            <w:tcMar>
              <w:left w:w="28" w:type="dxa"/>
              <w:right w:w="28" w:type="dxa"/>
            </w:tcMar>
            <w:vAlign w:val="center"/>
          </w:tcPr>
          <w:p w14:paraId="7B22F835">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黑体" w:hAnsi="黑体" w:eastAsia="黑体"/>
                <w:snapToGrid w:val="0"/>
                <w:color w:val="auto"/>
                <w:spacing w:val="-6"/>
                <w:kern w:val="21"/>
                <w:szCs w:val="21"/>
              </w:rPr>
            </w:pPr>
            <w:r>
              <w:rPr>
                <w:rFonts w:ascii="黑体" w:hAnsi="黑体" w:eastAsia="黑体"/>
                <w:snapToGrid w:val="0"/>
                <w:color w:val="auto"/>
                <w:spacing w:val="-6"/>
                <w:kern w:val="21"/>
                <w:szCs w:val="21"/>
              </w:rPr>
              <w:t>在建工程</w:t>
            </w:r>
          </w:p>
          <w:p w14:paraId="6AF67CB1">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t>排放量（固</w:t>
            </w:r>
            <w:r>
              <w:rPr>
                <w:rFonts w:hint="eastAsia" w:ascii="黑体" w:hAnsi="黑体" w:eastAsia="黑体"/>
                <w:snapToGrid w:val="0"/>
                <w:color w:val="auto"/>
                <w:spacing w:val="-6"/>
                <w:kern w:val="21"/>
                <w:szCs w:val="21"/>
              </w:rPr>
              <w:t>体</w:t>
            </w:r>
            <w:r>
              <w:rPr>
                <w:rFonts w:ascii="黑体" w:hAnsi="黑体" w:eastAsia="黑体"/>
                <w:snapToGrid w:val="0"/>
                <w:color w:val="auto"/>
                <w:spacing w:val="-6"/>
                <w:kern w:val="21"/>
                <w:szCs w:val="21"/>
              </w:rPr>
              <w:t>废</w:t>
            </w:r>
            <w:r>
              <w:rPr>
                <w:rFonts w:hint="eastAsia" w:ascii="黑体" w:hAnsi="黑体" w:eastAsia="黑体"/>
                <w:snapToGrid w:val="0"/>
                <w:color w:val="auto"/>
                <w:spacing w:val="-6"/>
                <w:kern w:val="21"/>
                <w:szCs w:val="21"/>
              </w:rPr>
              <w:t>物</w:t>
            </w:r>
            <w:r>
              <w:rPr>
                <w:rFonts w:ascii="黑体" w:hAnsi="黑体" w:eastAsia="黑体"/>
                <w:snapToGrid w:val="0"/>
                <w:color w:val="auto"/>
                <w:spacing w:val="-6"/>
                <w:kern w:val="21"/>
                <w:szCs w:val="21"/>
              </w:rPr>
              <w:t>产生量）</w:t>
            </w:r>
            <w:r>
              <w:rPr>
                <w:rFonts w:ascii="黑体" w:hAnsi="黑体" w:eastAsia="黑体"/>
                <w:snapToGrid w:val="0"/>
                <w:color w:val="auto"/>
                <w:spacing w:val="-6"/>
                <w:kern w:val="21"/>
                <w:szCs w:val="21"/>
              </w:rPr>
              <w:fldChar w:fldCharType="begin"/>
            </w:r>
            <w:r>
              <w:rPr>
                <w:rFonts w:ascii="黑体" w:hAnsi="黑体" w:eastAsia="黑体"/>
                <w:snapToGrid w:val="0"/>
                <w:color w:val="auto"/>
                <w:spacing w:val="-6"/>
                <w:kern w:val="21"/>
                <w:szCs w:val="21"/>
              </w:rPr>
              <w:instrText xml:space="preserve"> = 3 \* GB3 \* MERGEFORMAT </w:instrText>
            </w:r>
            <w:r>
              <w:rPr>
                <w:rFonts w:ascii="黑体" w:hAnsi="黑体" w:eastAsia="黑体"/>
                <w:snapToGrid w:val="0"/>
                <w:color w:val="auto"/>
                <w:spacing w:val="-6"/>
                <w:kern w:val="21"/>
                <w:szCs w:val="21"/>
              </w:rPr>
              <w:fldChar w:fldCharType="separate"/>
            </w:r>
            <w:r>
              <w:rPr>
                <w:rFonts w:hint="eastAsia" w:ascii="黑体" w:hAnsi="黑体" w:eastAsia="黑体" w:cs="宋体"/>
                <w:color w:val="auto"/>
                <w:kern w:val="2"/>
                <w:szCs w:val="21"/>
              </w:rPr>
              <w:t>③</w:t>
            </w:r>
            <w:r>
              <w:rPr>
                <w:rFonts w:ascii="黑体" w:hAnsi="黑体" w:eastAsia="黑体"/>
                <w:snapToGrid w:val="0"/>
                <w:color w:val="auto"/>
                <w:spacing w:val="-6"/>
                <w:kern w:val="21"/>
                <w:szCs w:val="21"/>
              </w:rPr>
              <w:fldChar w:fldCharType="end"/>
            </w:r>
          </w:p>
        </w:tc>
        <w:tc>
          <w:tcPr>
            <w:tcW w:w="1559" w:type="dxa"/>
            <w:noWrap w:val="0"/>
            <w:tcMar>
              <w:left w:w="28" w:type="dxa"/>
              <w:right w:w="28" w:type="dxa"/>
            </w:tcMar>
            <w:vAlign w:val="center"/>
          </w:tcPr>
          <w:p w14:paraId="541CF1F6">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黑体" w:hAnsi="黑体" w:eastAsia="黑体"/>
                <w:snapToGrid w:val="0"/>
                <w:color w:val="auto"/>
                <w:spacing w:val="-6"/>
                <w:kern w:val="21"/>
                <w:szCs w:val="21"/>
              </w:rPr>
            </w:pPr>
            <w:r>
              <w:rPr>
                <w:rFonts w:ascii="黑体" w:hAnsi="黑体" w:eastAsia="黑体"/>
                <w:snapToGrid w:val="0"/>
                <w:color w:val="auto"/>
                <w:spacing w:val="-6"/>
                <w:kern w:val="21"/>
                <w:szCs w:val="21"/>
              </w:rPr>
              <w:t>本项目</w:t>
            </w:r>
          </w:p>
          <w:p w14:paraId="4FED263C">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t>排放量（固</w:t>
            </w:r>
            <w:r>
              <w:rPr>
                <w:rFonts w:hint="eastAsia" w:ascii="黑体" w:hAnsi="黑体" w:eastAsia="黑体"/>
                <w:snapToGrid w:val="0"/>
                <w:color w:val="auto"/>
                <w:spacing w:val="-6"/>
                <w:kern w:val="21"/>
                <w:szCs w:val="21"/>
              </w:rPr>
              <w:t>体</w:t>
            </w:r>
            <w:r>
              <w:rPr>
                <w:rFonts w:ascii="黑体" w:hAnsi="黑体" w:eastAsia="黑体"/>
                <w:snapToGrid w:val="0"/>
                <w:color w:val="auto"/>
                <w:spacing w:val="-6"/>
                <w:kern w:val="21"/>
                <w:szCs w:val="21"/>
              </w:rPr>
              <w:t>废</w:t>
            </w:r>
            <w:r>
              <w:rPr>
                <w:rFonts w:hint="eastAsia" w:ascii="黑体" w:hAnsi="黑体" w:eastAsia="黑体"/>
                <w:snapToGrid w:val="0"/>
                <w:color w:val="auto"/>
                <w:spacing w:val="-6"/>
                <w:kern w:val="21"/>
                <w:szCs w:val="21"/>
              </w:rPr>
              <w:t>物</w:t>
            </w:r>
            <w:r>
              <w:rPr>
                <w:rFonts w:ascii="黑体" w:hAnsi="黑体" w:eastAsia="黑体"/>
                <w:snapToGrid w:val="0"/>
                <w:color w:val="auto"/>
                <w:spacing w:val="-6"/>
                <w:kern w:val="21"/>
                <w:szCs w:val="21"/>
              </w:rPr>
              <w:t>产生量）</w:t>
            </w:r>
            <w:r>
              <w:rPr>
                <w:rFonts w:ascii="黑体" w:hAnsi="黑体" w:eastAsia="黑体"/>
                <w:snapToGrid w:val="0"/>
                <w:color w:val="auto"/>
                <w:spacing w:val="-6"/>
                <w:kern w:val="21"/>
                <w:szCs w:val="21"/>
              </w:rPr>
              <w:fldChar w:fldCharType="begin"/>
            </w:r>
            <w:r>
              <w:rPr>
                <w:rFonts w:ascii="黑体" w:hAnsi="黑体" w:eastAsia="黑体"/>
                <w:snapToGrid w:val="0"/>
                <w:color w:val="auto"/>
                <w:spacing w:val="-6"/>
                <w:kern w:val="21"/>
                <w:szCs w:val="21"/>
              </w:rPr>
              <w:instrText xml:space="preserve"> = 4 \* GB3 \* MERGEFORMAT </w:instrText>
            </w:r>
            <w:r>
              <w:rPr>
                <w:rFonts w:ascii="黑体" w:hAnsi="黑体" w:eastAsia="黑体"/>
                <w:snapToGrid w:val="0"/>
                <w:color w:val="auto"/>
                <w:spacing w:val="-6"/>
                <w:kern w:val="21"/>
                <w:szCs w:val="21"/>
              </w:rPr>
              <w:fldChar w:fldCharType="separate"/>
            </w:r>
            <w:r>
              <w:rPr>
                <w:rFonts w:hint="eastAsia" w:ascii="黑体" w:hAnsi="黑体" w:eastAsia="黑体" w:cs="宋体"/>
                <w:color w:val="auto"/>
                <w:kern w:val="2"/>
                <w:szCs w:val="21"/>
              </w:rPr>
              <w:t>④</w:t>
            </w:r>
            <w:r>
              <w:rPr>
                <w:rFonts w:ascii="黑体" w:hAnsi="黑体" w:eastAsia="黑体"/>
                <w:snapToGrid w:val="0"/>
                <w:color w:val="auto"/>
                <w:spacing w:val="-6"/>
                <w:kern w:val="21"/>
                <w:szCs w:val="21"/>
              </w:rPr>
              <w:fldChar w:fldCharType="end"/>
            </w:r>
          </w:p>
        </w:tc>
        <w:tc>
          <w:tcPr>
            <w:tcW w:w="1761" w:type="dxa"/>
            <w:noWrap w:val="0"/>
            <w:tcMar>
              <w:left w:w="28" w:type="dxa"/>
              <w:right w:w="28" w:type="dxa"/>
            </w:tcMar>
            <w:vAlign w:val="center"/>
          </w:tcPr>
          <w:p w14:paraId="2B8B1293">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黑体" w:hAnsi="黑体" w:eastAsia="黑体"/>
                <w:snapToGrid w:val="0"/>
                <w:color w:val="auto"/>
                <w:spacing w:val="-16"/>
                <w:kern w:val="21"/>
                <w:szCs w:val="21"/>
              </w:rPr>
            </w:pPr>
            <w:r>
              <w:rPr>
                <w:rFonts w:ascii="黑体" w:hAnsi="黑体" w:eastAsia="黑体"/>
                <w:snapToGrid w:val="0"/>
                <w:color w:val="auto"/>
                <w:spacing w:val="-16"/>
                <w:kern w:val="21"/>
                <w:szCs w:val="21"/>
              </w:rPr>
              <w:t>以新带老削减量</w:t>
            </w:r>
          </w:p>
          <w:p w14:paraId="1BE2178B">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黑体" w:hAnsi="黑体" w:eastAsia="黑体"/>
                <w:snapToGrid w:val="0"/>
                <w:color w:val="auto"/>
                <w:spacing w:val="-16"/>
                <w:kern w:val="21"/>
                <w:szCs w:val="21"/>
              </w:rPr>
            </w:pPr>
            <w:r>
              <w:rPr>
                <w:rFonts w:ascii="黑体" w:hAnsi="黑体" w:eastAsia="黑体"/>
                <w:snapToGrid w:val="0"/>
                <w:color w:val="auto"/>
                <w:spacing w:val="-16"/>
                <w:kern w:val="21"/>
                <w:szCs w:val="21"/>
              </w:rPr>
              <w:t>（新建项目不填）</w:t>
            </w:r>
            <w:r>
              <w:rPr>
                <w:rFonts w:ascii="黑体" w:hAnsi="黑体" w:eastAsia="黑体"/>
                <w:snapToGrid w:val="0"/>
                <w:color w:val="auto"/>
                <w:spacing w:val="-16"/>
                <w:kern w:val="21"/>
                <w:szCs w:val="21"/>
              </w:rPr>
              <w:fldChar w:fldCharType="begin"/>
            </w:r>
            <w:r>
              <w:rPr>
                <w:rFonts w:ascii="黑体" w:hAnsi="黑体" w:eastAsia="黑体"/>
                <w:snapToGrid w:val="0"/>
                <w:color w:val="auto"/>
                <w:spacing w:val="-16"/>
                <w:kern w:val="21"/>
                <w:szCs w:val="21"/>
              </w:rPr>
              <w:instrText xml:space="preserve"> = 5 \* GB3 \* MERGEFORMAT </w:instrText>
            </w:r>
            <w:r>
              <w:rPr>
                <w:rFonts w:ascii="黑体" w:hAnsi="黑体" w:eastAsia="黑体"/>
                <w:snapToGrid w:val="0"/>
                <w:color w:val="auto"/>
                <w:spacing w:val="-16"/>
                <w:kern w:val="21"/>
                <w:szCs w:val="21"/>
              </w:rPr>
              <w:fldChar w:fldCharType="separate"/>
            </w:r>
            <w:r>
              <w:rPr>
                <w:rFonts w:hint="eastAsia" w:ascii="黑体" w:hAnsi="黑体" w:eastAsia="黑体" w:cs="宋体"/>
                <w:color w:val="auto"/>
                <w:kern w:val="2"/>
                <w:szCs w:val="21"/>
              </w:rPr>
              <w:t>⑤</w:t>
            </w:r>
            <w:r>
              <w:rPr>
                <w:rFonts w:ascii="黑体" w:hAnsi="黑体" w:eastAsia="黑体"/>
                <w:snapToGrid w:val="0"/>
                <w:color w:val="auto"/>
                <w:spacing w:val="-16"/>
                <w:kern w:val="21"/>
                <w:szCs w:val="21"/>
              </w:rPr>
              <w:fldChar w:fldCharType="end"/>
            </w:r>
          </w:p>
        </w:tc>
        <w:tc>
          <w:tcPr>
            <w:tcW w:w="1667" w:type="dxa"/>
            <w:noWrap w:val="0"/>
            <w:tcMar>
              <w:left w:w="28" w:type="dxa"/>
              <w:right w:w="28" w:type="dxa"/>
            </w:tcMar>
            <w:vAlign w:val="center"/>
          </w:tcPr>
          <w:p w14:paraId="3E153442">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黑体" w:hAnsi="黑体" w:eastAsia="黑体"/>
                <w:snapToGrid w:val="0"/>
                <w:color w:val="auto"/>
                <w:spacing w:val="-16"/>
                <w:kern w:val="21"/>
                <w:szCs w:val="21"/>
              </w:rPr>
            </w:pPr>
            <w:r>
              <w:rPr>
                <w:rFonts w:ascii="黑体" w:hAnsi="黑体" w:eastAsia="黑体"/>
                <w:snapToGrid w:val="0"/>
                <w:color w:val="auto"/>
                <w:spacing w:val="-16"/>
                <w:kern w:val="21"/>
                <w:szCs w:val="21"/>
              </w:rPr>
              <w:t>本项目建成后</w:t>
            </w:r>
          </w:p>
          <w:p w14:paraId="1B18ED1F">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黑体" w:hAnsi="黑体" w:eastAsia="黑体"/>
                <w:snapToGrid w:val="0"/>
                <w:color w:val="auto"/>
                <w:spacing w:val="-16"/>
                <w:kern w:val="21"/>
                <w:szCs w:val="21"/>
              </w:rPr>
            </w:pPr>
            <w:r>
              <w:rPr>
                <w:rFonts w:hint="eastAsia" w:ascii="黑体" w:hAnsi="黑体" w:eastAsia="黑体"/>
                <w:snapToGrid w:val="0"/>
                <w:color w:val="auto"/>
                <w:spacing w:val="-16"/>
                <w:kern w:val="21"/>
                <w:szCs w:val="21"/>
              </w:rPr>
              <w:t>全厂</w:t>
            </w:r>
            <w:r>
              <w:rPr>
                <w:rFonts w:ascii="黑体" w:hAnsi="黑体" w:eastAsia="黑体"/>
                <w:snapToGrid w:val="0"/>
                <w:color w:val="auto"/>
                <w:spacing w:val="-16"/>
                <w:kern w:val="21"/>
                <w:szCs w:val="21"/>
              </w:rPr>
              <w:t>排放量（固</w:t>
            </w:r>
            <w:r>
              <w:rPr>
                <w:rFonts w:hint="eastAsia" w:ascii="黑体" w:hAnsi="黑体" w:eastAsia="黑体"/>
                <w:snapToGrid w:val="0"/>
                <w:color w:val="auto"/>
                <w:spacing w:val="-16"/>
                <w:kern w:val="21"/>
                <w:szCs w:val="21"/>
              </w:rPr>
              <w:t>体</w:t>
            </w:r>
            <w:r>
              <w:rPr>
                <w:rFonts w:ascii="黑体" w:hAnsi="黑体" w:eastAsia="黑体"/>
                <w:snapToGrid w:val="0"/>
                <w:color w:val="auto"/>
                <w:spacing w:val="-16"/>
                <w:kern w:val="21"/>
                <w:szCs w:val="21"/>
              </w:rPr>
              <w:t>废</w:t>
            </w:r>
            <w:r>
              <w:rPr>
                <w:rFonts w:hint="eastAsia" w:ascii="黑体" w:hAnsi="黑体" w:eastAsia="黑体"/>
                <w:snapToGrid w:val="0"/>
                <w:color w:val="auto"/>
                <w:spacing w:val="-16"/>
                <w:kern w:val="21"/>
                <w:szCs w:val="21"/>
              </w:rPr>
              <w:t>物</w:t>
            </w:r>
            <w:r>
              <w:rPr>
                <w:rFonts w:ascii="黑体" w:hAnsi="黑体" w:eastAsia="黑体"/>
                <w:snapToGrid w:val="0"/>
                <w:color w:val="auto"/>
                <w:spacing w:val="-16"/>
                <w:kern w:val="21"/>
                <w:szCs w:val="21"/>
              </w:rPr>
              <w:t>产生量）</w:t>
            </w:r>
            <w:r>
              <w:rPr>
                <w:rFonts w:ascii="黑体" w:hAnsi="黑体" w:eastAsia="黑体"/>
                <w:snapToGrid w:val="0"/>
                <w:color w:val="auto"/>
                <w:spacing w:val="-16"/>
                <w:kern w:val="21"/>
                <w:szCs w:val="21"/>
              </w:rPr>
              <w:fldChar w:fldCharType="begin"/>
            </w:r>
            <w:r>
              <w:rPr>
                <w:rFonts w:ascii="黑体" w:hAnsi="黑体" w:eastAsia="黑体"/>
                <w:snapToGrid w:val="0"/>
                <w:color w:val="auto"/>
                <w:spacing w:val="-16"/>
                <w:kern w:val="21"/>
                <w:szCs w:val="21"/>
              </w:rPr>
              <w:instrText xml:space="preserve"> = 6 \* GB3 \* MERGEFORMAT </w:instrText>
            </w:r>
            <w:r>
              <w:rPr>
                <w:rFonts w:ascii="黑体" w:hAnsi="黑体" w:eastAsia="黑体"/>
                <w:snapToGrid w:val="0"/>
                <w:color w:val="auto"/>
                <w:spacing w:val="-16"/>
                <w:kern w:val="21"/>
                <w:szCs w:val="21"/>
              </w:rPr>
              <w:fldChar w:fldCharType="separate"/>
            </w:r>
            <w:r>
              <w:rPr>
                <w:rFonts w:hint="eastAsia" w:ascii="黑体" w:hAnsi="黑体" w:eastAsia="黑体" w:cs="宋体"/>
                <w:color w:val="auto"/>
                <w:kern w:val="2"/>
                <w:szCs w:val="21"/>
              </w:rPr>
              <w:t>⑥</w:t>
            </w:r>
            <w:r>
              <w:rPr>
                <w:rFonts w:ascii="黑体" w:hAnsi="黑体" w:eastAsia="黑体"/>
                <w:snapToGrid w:val="0"/>
                <w:color w:val="auto"/>
                <w:spacing w:val="-16"/>
                <w:kern w:val="21"/>
                <w:szCs w:val="21"/>
              </w:rPr>
              <w:fldChar w:fldCharType="end"/>
            </w:r>
          </w:p>
        </w:tc>
        <w:tc>
          <w:tcPr>
            <w:tcW w:w="1118" w:type="dxa"/>
            <w:noWrap w:val="0"/>
            <w:tcMar>
              <w:left w:w="28" w:type="dxa"/>
              <w:right w:w="28" w:type="dxa"/>
            </w:tcMar>
            <w:vAlign w:val="center"/>
          </w:tcPr>
          <w:p w14:paraId="031A795A">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t>变化量</w:t>
            </w:r>
          </w:p>
          <w:p w14:paraId="7D7E31B3">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fldChar w:fldCharType="begin"/>
            </w:r>
            <w:r>
              <w:rPr>
                <w:rFonts w:ascii="黑体" w:hAnsi="黑体" w:eastAsia="黑体"/>
                <w:snapToGrid w:val="0"/>
                <w:color w:val="auto"/>
                <w:spacing w:val="-6"/>
                <w:kern w:val="21"/>
                <w:szCs w:val="21"/>
              </w:rPr>
              <w:instrText xml:space="preserve"> = 7 \* GB3 \* MERGEFORMAT </w:instrText>
            </w:r>
            <w:r>
              <w:rPr>
                <w:rFonts w:ascii="黑体" w:hAnsi="黑体" w:eastAsia="黑体"/>
                <w:snapToGrid w:val="0"/>
                <w:color w:val="auto"/>
                <w:spacing w:val="-6"/>
                <w:kern w:val="21"/>
                <w:szCs w:val="21"/>
              </w:rPr>
              <w:fldChar w:fldCharType="separate"/>
            </w:r>
            <w:r>
              <w:rPr>
                <w:rFonts w:hint="eastAsia" w:ascii="黑体" w:hAnsi="黑体" w:eastAsia="黑体" w:cs="宋体"/>
                <w:color w:val="auto"/>
                <w:kern w:val="2"/>
                <w:szCs w:val="21"/>
              </w:rPr>
              <w:t>⑦</w:t>
            </w:r>
            <w:r>
              <w:rPr>
                <w:rFonts w:ascii="黑体" w:hAnsi="黑体" w:eastAsia="黑体"/>
                <w:snapToGrid w:val="0"/>
                <w:color w:val="auto"/>
                <w:spacing w:val="-6"/>
                <w:kern w:val="21"/>
                <w:szCs w:val="21"/>
              </w:rPr>
              <w:fldChar w:fldCharType="end"/>
            </w:r>
          </w:p>
        </w:tc>
      </w:tr>
      <w:tr w14:paraId="556820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restart"/>
            <w:noWrap w:val="0"/>
            <w:vAlign w:val="center"/>
          </w:tcPr>
          <w:p w14:paraId="5F66012E">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r>
              <w:rPr>
                <w:rFonts w:ascii="Times New Roman"/>
                <w:snapToGrid w:val="0"/>
                <w:color w:val="auto"/>
                <w:kern w:val="21"/>
                <w:szCs w:val="21"/>
              </w:rPr>
              <w:t>废气</w:t>
            </w:r>
          </w:p>
        </w:tc>
        <w:tc>
          <w:tcPr>
            <w:tcW w:w="1948" w:type="dxa"/>
            <w:noWrap w:val="0"/>
            <w:vAlign w:val="center"/>
          </w:tcPr>
          <w:p w14:paraId="15D9D3BB">
            <w:pPr>
              <w:pStyle w:val="67"/>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rPr>
                <w:rFonts w:hint="eastAsia" w:cs="Times New Roman"/>
                <w:color w:val="auto"/>
                <w:kern w:val="2"/>
                <w:sz w:val="21"/>
                <w:szCs w:val="21"/>
                <w:lang w:eastAsia="zh-CN"/>
              </w:rPr>
            </w:pPr>
            <w:r>
              <w:rPr>
                <w:rFonts w:hint="eastAsia" w:cs="Times New Roman"/>
                <w:color w:val="auto"/>
                <w:kern w:val="2"/>
                <w:sz w:val="21"/>
                <w:szCs w:val="21"/>
                <w:lang w:eastAsia="zh-CN"/>
              </w:rPr>
              <w:t>颗粒物</w:t>
            </w:r>
          </w:p>
        </w:tc>
        <w:tc>
          <w:tcPr>
            <w:tcW w:w="1701" w:type="dxa"/>
            <w:noWrap w:val="0"/>
            <w:vAlign w:val="center"/>
          </w:tcPr>
          <w:p w14:paraId="2F3821C6">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r>
              <w:rPr>
                <w:rFonts w:hint="eastAsia" w:ascii="Times New Roman"/>
                <w:snapToGrid w:val="0"/>
                <w:color w:val="auto"/>
                <w:kern w:val="21"/>
                <w:szCs w:val="21"/>
              </w:rPr>
              <w:t>/</w:t>
            </w:r>
          </w:p>
        </w:tc>
        <w:tc>
          <w:tcPr>
            <w:tcW w:w="1276" w:type="dxa"/>
            <w:noWrap w:val="0"/>
            <w:vAlign w:val="center"/>
          </w:tcPr>
          <w:p w14:paraId="74AEE9D4">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r>
              <w:rPr>
                <w:rFonts w:hint="eastAsia" w:ascii="Times New Roman"/>
                <w:snapToGrid w:val="0"/>
                <w:color w:val="auto"/>
                <w:kern w:val="21"/>
                <w:szCs w:val="21"/>
              </w:rPr>
              <w:t>/</w:t>
            </w:r>
          </w:p>
        </w:tc>
        <w:tc>
          <w:tcPr>
            <w:tcW w:w="1701" w:type="dxa"/>
            <w:noWrap w:val="0"/>
            <w:vAlign w:val="center"/>
          </w:tcPr>
          <w:p w14:paraId="295F784F">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r>
              <w:rPr>
                <w:rFonts w:hint="eastAsia" w:ascii="Times New Roman"/>
                <w:snapToGrid w:val="0"/>
                <w:color w:val="auto"/>
                <w:kern w:val="21"/>
                <w:szCs w:val="21"/>
              </w:rPr>
              <w:t>/</w:t>
            </w:r>
          </w:p>
        </w:tc>
        <w:tc>
          <w:tcPr>
            <w:tcW w:w="1559" w:type="dxa"/>
            <w:noWrap w:val="0"/>
            <w:vAlign w:val="center"/>
          </w:tcPr>
          <w:p w14:paraId="63D161E7">
            <w:pPr>
              <w:keepNext w:val="0"/>
              <w:keepLines w:val="0"/>
              <w:pageBreakBefore w:val="0"/>
              <w:kinsoku/>
              <w:wordWrap/>
              <w:overflowPunct/>
              <w:topLinePunct w:val="0"/>
              <w:autoSpaceDE/>
              <w:autoSpaceDN/>
              <w:bidi w:val="0"/>
              <w:spacing w:line="240" w:lineRule="auto"/>
              <w:ind w:left="0" w:leftChars="0" w:right="0" w:rightChars="0"/>
              <w:jc w:val="center"/>
              <w:textAlignment w:val="auto"/>
              <w:rPr>
                <w:snapToGrid w:val="0"/>
                <w:color w:val="auto"/>
                <w:kern w:val="21"/>
                <w:szCs w:val="21"/>
              </w:rPr>
            </w:pPr>
            <w:r>
              <w:rPr>
                <w:rFonts w:hint="eastAsia"/>
                <w:snapToGrid w:val="0"/>
                <w:color w:val="auto"/>
                <w:kern w:val="21"/>
                <w:szCs w:val="21"/>
                <w:lang w:val="en-US" w:eastAsia="zh-CN"/>
              </w:rPr>
              <w:t>1.102</w:t>
            </w:r>
            <w:r>
              <w:rPr>
                <w:rFonts w:hint="eastAsia"/>
                <w:snapToGrid w:val="0"/>
                <w:color w:val="auto"/>
                <w:kern w:val="21"/>
                <w:szCs w:val="21"/>
              </w:rPr>
              <w:t>t/a</w:t>
            </w:r>
          </w:p>
        </w:tc>
        <w:tc>
          <w:tcPr>
            <w:tcW w:w="1761" w:type="dxa"/>
            <w:noWrap w:val="0"/>
            <w:vAlign w:val="center"/>
          </w:tcPr>
          <w:p w14:paraId="33C4B21C">
            <w:pPr>
              <w:keepNext w:val="0"/>
              <w:keepLines w:val="0"/>
              <w:pageBreakBefore w:val="0"/>
              <w:kinsoku/>
              <w:wordWrap/>
              <w:overflowPunct/>
              <w:topLinePunct w:val="0"/>
              <w:autoSpaceDE/>
              <w:autoSpaceDN/>
              <w:bidi w:val="0"/>
              <w:spacing w:line="240" w:lineRule="auto"/>
              <w:ind w:left="0" w:leftChars="0" w:right="0" w:rightChars="0"/>
              <w:jc w:val="center"/>
              <w:textAlignment w:val="auto"/>
              <w:rPr>
                <w:snapToGrid w:val="0"/>
                <w:color w:val="auto"/>
                <w:kern w:val="21"/>
                <w:szCs w:val="21"/>
              </w:rPr>
            </w:pPr>
            <w:r>
              <w:rPr>
                <w:rFonts w:hint="eastAsia"/>
                <w:snapToGrid w:val="0"/>
                <w:color w:val="auto"/>
                <w:kern w:val="21"/>
                <w:szCs w:val="21"/>
              </w:rPr>
              <w:t>/</w:t>
            </w:r>
          </w:p>
        </w:tc>
        <w:tc>
          <w:tcPr>
            <w:tcW w:w="1667" w:type="dxa"/>
            <w:noWrap w:val="0"/>
            <w:vAlign w:val="center"/>
          </w:tcPr>
          <w:p w14:paraId="0F0185AA">
            <w:pPr>
              <w:keepNext w:val="0"/>
              <w:keepLines w:val="0"/>
              <w:pageBreakBefore w:val="0"/>
              <w:kinsoku/>
              <w:wordWrap/>
              <w:overflowPunct/>
              <w:topLinePunct w:val="0"/>
              <w:autoSpaceDE/>
              <w:autoSpaceDN/>
              <w:bidi w:val="0"/>
              <w:spacing w:line="240" w:lineRule="auto"/>
              <w:ind w:left="0" w:leftChars="0" w:right="0" w:rightChars="0"/>
              <w:jc w:val="center"/>
              <w:textAlignment w:val="auto"/>
              <w:rPr>
                <w:snapToGrid w:val="0"/>
                <w:color w:val="auto"/>
                <w:kern w:val="21"/>
                <w:sz w:val="21"/>
                <w:szCs w:val="21"/>
                <w:lang w:val="en-US" w:eastAsia="zh-CN" w:bidi="ar-SA"/>
              </w:rPr>
            </w:pPr>
            <w:r>
              <w:rPr>
                <w:rFonts w:hint="eastAsia"/>
                <w:snapToGrid w:val="0"/>
                <w:color w:val="auto"/>
                <w:kern w:val="21"/>
                <w:szCs w:val="21"/>
                <w:lang w:val="en-US" w:eastAsia="zh-CN"/>
              </w:rPr>
              <w:t>1.102</w:t>
            </w:r>
            <w:r>
              <w:rPr>
                <w:rFonts w:hint="eastAsia"/>
                <w:snapToGrid w:val="0"/>
                <w:color w:val="auto"/>
                <w:kern w:val="21"/>
                <w:szCs w:val="21"/>
              </w:rPr>
              <w:t>t/a</w:t>
            </w:r>
          </w:p>
        </w:tc>
        <w:tc>
          <w:tcPr>
            <w:tcW w:w="1118" w:type="dxa"/>
            <w:noWrap w:val="0"/>
            <w:vAlign w:val="center"/>
          </w:tcPr>
          <w:p w14:paraId="00E7DD03">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r>
              <w:rPr>
                <w:rFonts w:hint="eastAsia" w:ascii="Times New Roman"/>
                <w:snapToGrid w:val="0"/>
                <w:color w:val="auto"/>
                <w:kern w:val="21"/>
                <w:szCs w:val="21"/>
              </w:rPr>
              <w:t>/</w:t>
            </w:r>
          </w:p>
        </w:tc>
      </w:tr>
      <w:tr w14:paraId="724106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continue"/>
            <w:noWrap w:val="0"/>
            <w:vAlign w:val="center"/>
          </w:tcPr>
          <w:p w14:paraId="7C4C21BA">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p>
        </w:tc>
        <w:tc>
          <w:tcPr>
            <w:tcW w:w="1948" w:type="dxa"/>
            <w:noWrap w:val="0"/>
            <w:vAlign w:val="center"/>
          </w:tcPr>
          <w:p w14:paraId="022FCF67">
            <w:pPr>
              <w:pStyle w:val="67"/>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rPr>
                <w:rFonts w:hint="default" w:cs="Times New Roman"/>
                <w:color w:val="auto"/>
                <w:kern w:val="2"/>
                <w:sz w:val="21"/>
                <w:szCs w:val="21"/>
                <w:lang w:val="en-US" w:eastAsia="zh-CN"/>
              </w:rPr>
            </w:pPr>
            <w:r>
              <w:rPr>
                <w:rFonts w:hint="eastAsia" w:cs="Times New Roman"/>
                <w:color w:val="auto"/>
                <w:kern w:val="2"/>
                <w:sz w:val="21"/>
                <w:szCs w:val="21"/>
                <w:lang w:val="en-US" w:eastAsia="zh-CN"/>
              </w:rPr>
              <w:t>甲苯</w:t>
            </w:r>
          </w:p>
        </w:tc>
        <w:tc>
          <w:tcPr>
            <w:tcW w:w="1701" w:type="dxa"/>
            <w:noWrap w:val="0"/>
            <w:vAlign w:val="center"/>
          </w:tcPr>
          <w:p w14:paraId="3497774D">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Cs w:val="21"/>
              </w:rPr>
            </w:pPr>
            <w:r>
              <w:rPr>
                <w:rFonts w:hint="eastAsia" w:ascii="Times New Roman"/>
                <w:snapToGrid w:val="0"/>
                <w:color w:val="auto"/>
                <w:kern w:val="21"/>
                <w:szCs w:val="21"/>
              </w:rPr>
              <w:t>/</w:t>
            </w:r>
          </w:p>
        </w:tc>
        <w:tc>
          <w:tcPr>
            <w:tcW w:w="1276" w:type="dxa"/>
            <w:noWrap w:val="0"/>
            <w:vAlign w:val="center"/>
          </w:tcPr>
          <w:p w14:paraId="2C0CF873">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Cs w:val="21"/>
              </w:rPr>
            </w:pPr>
            <w:r>
              <w:rPr>
                <w:rFonts w:hint="eastAsia" w:ascii="Times New Roman"/>
                <w:snapToGrid w:val="0"/>
                <w:color w:val="auto"/>
                <w:kern w:val="21"/>
                <w:szCs w:val="21"/>
              </w:rPr>
              <w:t>/</w:t>
            </w:r>
          </w:p>
        </w:tc>
        <w:tc>
          <w:tcPr>
            <w:tcW w:w="1701" w:type="dxa"/>
            <w:noWrap w:val="0"/>
            <w:vAlign w:val="center"/>
          </w:tcPr>
          <w:p w14:paraId="08985FB7">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Cs w:val="21"/>
              </w:rPr>
            </w:pPr>
            <w:r>
              <w:rPr>
                <w:rFonts w:hint="eastAsia" w:ascii="Times New Roman"/>
                <w:snapToGrid w:val="0"/>
                <w:color w:val="auto"/>
                <w:kern w:val="21"/>
                <w:szCs w:val="21"/>
              </w:rPr>
              <w:t>/</w:t>
            </w:r>
          </w:p>
        </w:tc>
        <w:tc>
          <w:tcPr>
            <w:tcW w:w="1559" w:type="dxa"/>
            <w:noWrap w:val="0"/>
            <w:vAlign w:val="center"/>
          </w:tcPr>
          <w:p w14:paraId="73679B0A">
            <w:pPr>
              <w:keepNext w:val="0"/>
              <w:keepLines w:val="0"/>
              <w:pageBreakBefore w:val="0"/>
              <w:kinsoku/>
              <w:wordWrap/>
              <w:overflowPunct/>
              <w:topLinePunct w:val="0"/>
              <w:autoSpaceDE/>
              <w:autoSpaceDN/>
              <w:bidi w:val="0"/>
              <w:spacing w:line="240" w:lineRule="auto"/>
              <w:ind w:left="0" w:leftChars="0" w:right="0" w:rightChars="0"/>
              <w:jc w:val="center"/>
              <w:textAlignment w:val="auto"/>
              <w:rPr>
                <w:snapToGrid w:val="0"/>
                <w:color w:val="auto"/>
                <w:kern w:val="21"/>
                <w:szCs w:val="21"/>
              </w:rPr>
            </w:pPr>
            <w:r>
              <w:rPr>
                <w:rFonts w:hint="eastAsia"/>
                <w:snapToGrid w:val="0"/>
                <w:color w:val="auto"/>
                <w:kern w:val="21"/>
                <w:szCs w:val="21"/>
                <w:lang w:eastAsia="zh-CN"/>
              </w:rPr>
              <w:t>0.086</w:t>
            </w:r>
            <w:r>
              <w:rPr>
                <w:rFonts w:hint="eastAsia"/>
                <w:snapToGrid w:val="0"/>
                <w:color w:val="auto"/>
                <w:kern w:val="21"/>
                <w:szCs w:val="21"/>
              </w:rPr>
              <w:t>t/a</w:t>
            </w:r>
          </w:p>
        </w:tc>
        <w:tc>
          <w:tcPr>
            <w:tcW w:w="1761" w:type="dxa"/>
            <w:noWrap w:val="0"/>
            <w:vAlign w:val="center"/>
          </w:tcPr>
          <w:p w14:paraId="7806B893">
            <w:pPr>
              <w:keepNext w:val="0"/>
              <w:keepLines w:val="0"/>
              <w:pageBreakBefore w:val="0"/>
              <w:kinsoku/>
              <w:wordWrap/>
              <w:overflowPunct/>
              <w:topLinePunct w:val="0"/>
              <w:autoSpaceDE/>
              <w:autoSpaceDN/>
              <w:bidi w:val="0"/>
              <w:spacing w:line="240" w:lineRule="auto"/>
              <w:ind w:left="0" w:leftChars="0" w:right="0" w:rightChars="0"/>
              <w:jc w:val="center"/>
              <w:textAlignment w:val="auto"/>
              <w:rPr>
                <w:snapToGrid w:val="0"/>
                <w:color w:val="auto"/>
                <w:kern w:val="21"/>
                <w:szCs w:val="21"/>
              </w:rPr>
            </w:pPr>
            <w:r>
              <w:rPr>
                <w:rFonts w:hint="eastAsia"/>
                <w:snapToGrid w:val="0"/>
                <w:color w:val="auto"/>
                <w:kern w:val="21"/>
                <w:szCs w:val="21"/>
              </w:rPr>
              <w:t>/</w:t>
            </w:r>
          </w:p>
        </w:tc>
        <w:tc>
          <w:tcPr>
            <w:tcW w:w="1667" w:type="dxa"/>
            <w:noWrap w:val="0"/>
            <w:vAlign w:val="center"/>
          </w:tcPr>
          <w:p w14:paraId="3D77B9F8">
            <w:pPr>
              <w:keepNext w:val="0"/>
              <w:keepLines w:val="0"/>
              <w:pageBreakBefore w:val="0"/>
              <w:kinsoku/>
              <w:wordWrap/>
              <w:overflowPunct/>
              <w:topLinePunct w:val="0"/>
              <w:autoSpaceDE/>
              <w:autoSpaceDN/>
              <w:bidi w:val="0"/>
              <w:spacing w:line="240" w:lineRule="auto"/>
              <w:ind w:left="0" w:leftChars="0" w:right="0" w:rightChars="0"/>
              <w:jc w:val="center"/>
              <w:textAlignment w:val="auto"/>
              <w:rPr>
                <w:snapToGrid w:val="0"/>
                <w:color w:val="auto"/>
                <w:kern w:val="21"/>
                <w:sz w:val="21"/>
                <w:szCs w:val="21"/>
                <w:lang w:val="en-US" w:eastAsia="zh-CN" w:bidi="ar-SA"/>
              </w:rPr>
            </w:pPr>
            <w:r>
              <w:rPr>
                <w:rFonts w:hint="eastAsia"/>
                <w:snapToGrid w:val="0"/>
                <w:color w:val="auto"/>
                <w:kern w:val="21"/>
                <w:szCs w:val="21"/>
                <w:lang w:eastAsia="zh-CN"/>
              </w:rPr>
              <w:t>0.086</w:t>
            </w:r>
            <w:r>
              <w:rPr>
                <w:rFonts w:hint="eastAsia"/>
                <w:snapToGrid w:val="0"/>
                <w:color w:val="auto"/>
                <w:kern w:val="21"/>
                <w:szCs w:val="21"/>
              </w:rPr>
              <w:t>t/a</w:t>
            </w:r>
          </w:p>
        </w:tc>
        <w:tc>
          <w:tcPr>
            <w:tcW w:w="1118" w:type="dxa"/>
            <w:noWrap w:val="0"/>
            <w:vAlign w:val="center"/>
          </w:tcPr>
          <w:p w14:paraId="37E71AB4">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r>
              <w:rPr>
                <w:rFonts w:hint="eastAsia" w:ascii="Times New Roman"/>
                <w:snapToGrid w:val="0"/>
                <w:color w:val="auto"/>
                <w:kern w:val="21"/>
                <w:szCs w:val="21"/>
              </w:rPr>
              <w:t>/</w:t>
            </w:r>
          </w:p>
        </w:tc>
      </w:tr>
      <w:tr w14:paraId="3E6E46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continue"/>
            <w:noWrap w:val="0"/>
            <w:vAlign w:val="center"/>
          </w:tcPr>
          <w:p w14:paraId="5E09071A">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p>
        </w:tc>
        <w:tc>
          <w:tcPr>
            <w:tcW w:w="1948" w:type="dxa"/>
            <w:noWrap w:val="0"/>
            <w:vAlign w:val="center"/>
          </w:tcPr>
          <w:p w14:paraId="773A2435">
            <w:pPr>
              <w:pStyle w:val="67"/>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rPr>
                <w:rFonts w:hint="eastAsia" w:cs="Times New Roman"/>
                <w:color w:val="auto"/>
                <w:kern w:val="2"/>
                <w:sz w:val="21"/>
                <w:szCs w:val="21"/>
                <w:lang w:val="en-US" w:eastAsia="zh-CN"/>
              </w:rPr>
            </w:pPr>
            <w:r>
              <w:rPr>
                <w:rFonts w:hint="eastAsia" w:cs="Times New Roman"/>
                <w:color w:val="auto"/>
                <w:kern w:val="2"/>
                <w:sz w:val="21"/>
                <w:szCs w:val="21"/>
                <w:lang w:val="en-US" w:eastAsia="zh-CN"/>
              </w:rPr>
              <w:t>二甲苯</w:t>
            </w:r>
          </w:p>
        </w:tc>
        <w:tc>
          <w:tcPr>
            <w:tcW w:w="1701" w:type="dxa"/>
            <w:noWrap w:val="0"/>
            <w:vAlign w:val="center"/>
          </w:tcPr>
          <w:p w14:paraId="6EB62CD2">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276" w:type="dxa"/>
            <w:noWrap w:val="0"/>
            <w:vAlign w:val="center"/>
          </w:tcPr>
          <w:p w14:paraId="32F03D82">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701" w:type="dxa"/>
            <w:noWrap w:val="0"/>
            <w:vAlign w:val="center"/>
          </w:tcPr>
          <w:p w14:paraId="366D0613">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559" w:type="dxa"/>
            <w:noWrap w:val="0"/>
            <w:vAlign w:val="center"/>
          </w:tcPr>
          <w:p w14:paraId="4BCC5A32">
            <w:pPr>
              <w:keepNext w:val="0"/>
              <w:keepLines w:val="0"/>
              <w:pageBreakBefore w:val="0"/>
              <w:kinsoku/>
              <w:wordWrap/>
              <w:overflowPunct/>
              <w:topLinePunct w:val="0"/>
              <w:autoSpaceDE/>
              <w:autoSpaceDN/>
              <w:bidi w:val="0"/>
              <w:spacing w:line="240" w:lineRule="auto"/>
              <w:ind w:left="0" w:leftChars="0" w:right="0" w:rightChars="0"/>
              <w:jc w:val="center"/>
              <w:textAlignment w:val="auto"/>
              <w:rPr>
                <w:rFonts w:hint="default"/>
                <w:snapToGrid w:val="0"/>
                <w:color w:val="auto"/>
                <w:kern w:val="21"/>
                <w:szCs w:val="21"/>
                <w:lang w:val="en-US" w:eastAsia="zh-CN"/>
              </w:rPr>
            </w:pPr>
            <w:r>
              <w:rPr>
                <w:rFonts w:hint="eastAsia"/>
                <w:snapToGrid w:val="0"/>
                <w:color w:val="auto"/>
                <w:kern w:val="21"/>
                <w:szCs w:val="21"/>
                <w:lang w:val="en-US" w:eastAsia="zh-CN"/>
              </w:rPr>
              <w:t>0.03t/a</w:t>
            </w:r>
          </w:p>
        </w:tc>
        <w:tc>
          <w:tcPr>
            <w:tcW w:w="1761" w:type="dxa"/>
            <w:noWrap w:val="0"/>
            <w:vAlign w:val="center"/>
          </w:tcPr>
          <w:p w14:paraId="5FEC15D1">
            <w:pPr>
              <w:keepNext w:val="0"/>
              <w:keepLines w:val="0"/>
              <w:pageBreakBefore w:val="0"/>
              <w:kinsoku/>
              <w:wordWrap/>
              <w:overflowPunct/>
              <w:topLinePunct w:val="0"/>
              <w:autoSpaceDE/>
              <w:autoSpaceDN/>
              <w:bidi w:val="0"/>
              <w:spacing w:line="240" w:lineRule="auto"/>
              <w:ind w:left="0" w:leftChars="0" w:right="0" w:rightChars="0"/>
              <w:jc w:val="center"/>
              <w:textAlignment w:val="auto"/>
              <w:rPr>
                <w:rFonts w:hint="eastAsia" w:eastAsia="宋体"/>
                <w:snapToGrid w:val="0"/>
                <w:color w:val="auto"/>
                <w:kern w:val="21"/>
                <w:szCs w:val="21"/>
                <w:lang w:val="en-US" w:eastAsia="zh-CN"/>
              </w:rPr>
            </w:pPr>
            <w:r>
              <w:rPr>
                <w:rFonts w:hint="eastAsia"/>
                <w:snapToGrid w:val="0"/>
                <w:color w:val="auto"/>
                <w:kern w:val="21"/>
                <w:szCs w:val="21"/>
                <w:lang w:val="en-US" w:eastAsia="zh-CN"/>
              </w:rPr>
              <w:t>/</w:t>
            </w:r>
          </w:p>
        </w:tc>
        <w:tc>
          <w:tcPr>
            <w:tcW w:w="1667" w:type="dxa"/>
            <w:noWrap w:val="0"/>
            <w:vAlign w:val="center"/>
          </w:tcPr>
          <w:p w14:paraId="08D2FE40">
            <w:pPr>
              <w:keepNext w:val="0"/>
              <w:keepLines w:val="0"/>
              <w:pageBreakBefore w:val="0"/>
              <w:kinsoku/>
              <w:wordWrap/>
              <w:overflowPunct/>
              <w:topLinePunct w:val="0"/>
              <w:autoSpaceDE/>
              <w:autoSpaceDN/>
              <w:bidi w:val="0"/>
              <w:spacing w:line="240" w:lineRule="auto"/>
              <w:ind w:left="0" w:leftChars="0" w:right="0" w:rightChars="0"/>
              <w:jc w:val="center"/>
              <w:textAlignment w:val="auto"/>
              <w:rPr>
                <w:rFonts w:hint="eastAsia"/>
                <w:snapToGrid w:val="0"/>
                <w:color w:val="auto"/>
                <w:kern w:val="21"/>
                <w:sz w:val="21"/>
                <w:szCs w:val="21"/>
                <w:lang w:val="en-US" w:eastAsia="zh-CN" w:bidi="ar-SA"/>
              </w:rPr>
            </w:pPr>
            <w:r>
              <w:rPr>
                <w:rFonts w:hint="eastAsia"/>
                <w:snapToGrid w:val="0"/>
                <w:color w:val="auto"/>
                <w:kern w:val="21"/>
                <w:szCs w:val="21"/>
                <w:lang w:val="en-US" w:eastAsia="zh-CN"/>
              </w:rPr>
              <w:t>0.03t/a</w:t>
            </w:r>
          </w:p>
        </w:tc>
        <w:tc>
          <w:tcPr>
            <w:tcW w:w="1118" w:type="dxa"/>
            <w:noWrap w:val="0"/>
            <w:vAlign w:val="center"/>
          </w:tcPr>
          <w:p w14:paraId="5225FF4B">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eastAsia="宋体"/>
                <w:snapToGrid w:val="0"/>
                <w:color w:val="auto"/>
                <w:kern w:val="21"/>
                <w:szCs w:val="21"/>
                <w:lang w:val="en-US" w:eastAsia="zh-CN"/>
              </w:rPr>
            </w:pPr>
            <w:r>
              <w:rPr>
                <w:rFonts w:hint="eastAsia" w:ascii="Times New Roman"/>
                <w:snapToGrid w:val="0"/>
                <w:color w:val="auto"/>
                <w:kern w:val="21"/>
                <w:szCs w:val="21"/>
                <w:lang w:val="en-US" w:eastAsia="zh-CN"/>
              </w:rPr>
              <w:t>/</w:t>
            </w:r>
          </w:p>
        </w:tc>
      </w:tr>
      <w:tr w14:paraId="607CF8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continue"/>
            <w:noWrap w:val="0"/>
            <w:vAlign w:val="center"/>
          </w:tcPr>
          <w:p w14:paraId="6DEE9D8E">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p>
        </w:tc>
        <w:tc>
          <w:tcPr>
            <w:tcW w:w="1948" w:type="dxa"/>
            <w:noWrap w:val="0"/>
            <w:vAlign w:val="center"/>
          </w:tcPr>
          <w:p w14:paraId="19ADFD15">
            <w:pPr>
              <w:pStyle w:val="67"/>
              <w:keepNext w:val="0"/>
              <w:keepLines w:val="0"/>
              <w:pageBreakBefore w:val="0"/>
              <w:kinsoku/>
              <w:wordWrap/>
              <w:overflowPunct/>
              <w:topLinePunct w:val="0"/>
              <w:autoSpaceDE/>
              <w:autoSpaceDN/>
              <w:bidi w:val="0"/>
              <w:spacing w:line="240" w:lineRule="auto"/>
              <w:ind w:left="0" w:leftChars="0" w:right="0" w:rightChars="0" w:firstLine="0" w:firstLineChars="0"/>
              <w:jc w:val="center"/>
              <w:textAlignment w:val="auto"/>
              <w:rPr>
                <w:rFonts w:hint="default" w:cs="Times New Roman"/>
                <w:color w:val="auto"/>
                <w:kern w:val="2"/>
                <w:sz w:val="21"/>
                <w:szCs w:val="21"/>
                <w:lang w:val="en-US" w:eastAsia="zh-CN"/>
              </w:rPr>
            </w:pPr>
            <w:r>
              <w:rPr>
                <w:rFonts w:hint="eastAsia" w:cs="Times New Roman"/>
                <w:color w:val="auto"/>
                <w:kern w:val="2"/>
                <w:sz w:val="21"/>
                <w:szCs w:val="21"/>
                <w:lang w:val="en-US" w:eastAsia="zh-CN"/>
              </w:rPr>
              <w:t>非甲烷总烃</w:t>
            </w:r>
          </w:p>
        </w:tc>
        <w:tc>
          <w:tcPr>
            <w:tcW w:w="1701" w:type="dxa"/>
            <w:noWrap w:val="0"/>
            <w:vAlign w:val="center"/>
          </w:tcPr>
          <w:p w14:paraId="786D5803">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Cs w:val="21"/>
              </w:rPr>
            </w:pPr>
            <w:r>
              <w:rPr>
                <w:rFonts w:hint="eastAsia" w:ascii="Times New Roman"/>
                <w:snapToGrid w:val="0"/>
                <w:color w:val="auto"/>
                <w:kern w:val="21"/>
                <w:szCs w:val="21"/>
              </w:rPr>
              <w:t>/</w:t>
            </w:r>
          </w:p>
        </w:tc>
        <w:tc>
          <w:tcPr>
            <w:tcW w:w="1276" w:type="dxa"/>
            <w:noWrap w:val="0"/>
            <w:vAlign w:val="center"/>
          </w:tcPr>
          <w:p w14:paraId="7829B292">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Cs w:val="21"/>
              </w:rPr>
            </w:pPr>
            <w:r>
              <w:rPr>
                <w:rFonts w:hint="eastAsia" w:ascii="Times New Roman"/>
                <w:snapToGrid w:val="0"/>
                <w:color w:val="auto"/>
                <w:kern w:val="21"/>
                <w:szCs w:val="21"/>
              </w:rPr>
              <w:t>/</w:t>
            </w:r>
          </w:p>
        </w:tc>
        <w:tc>
          <w:tcPr>
            <w:tcW w:w="1701" w:type="dxa"/>
            <w:noWrap w:val="0"/>
            <w:vAlign w:val="center"/>
          </w:tcPr>
          <w:p w14:paraId="20C27621">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Cs w:val="21"/>
              </w:rPr>
            </w:pPr>
            <w:r>
              <w:rPr>
                <w:rFonts w:hint="eastAsia" w:ascii="Times New Roman"/>
                <w:snapToGrid w:val="0"/>
                <w:color w:val="auto"/>
                <w:kern w:val="21"/>
                <w:szCs w:val="21"/>
              </w:rPr>
              <w:t>/</w:t>
            </w:r>
          </w:p>
        </w:tc>
        <w:tc>
          <w:tcPr>
            <w:tcW w:w="1559" w:type="dxa"/>
            <w:noWrap w:val="0"/>
            <w:vAlign w:val="center"/>
          </w:tcPr>
          <w:p w14:paraId="13642D9E">
            <w:pPr>
              <w:keepNext w:val="0"/>
              <w:keepLines w:val="0"/>
              <w:pageBreakBefore w:val="0"/>
              <w:kinsoku/>
              <w:wordWrap/>
              <w:overflowPunct/>
              <w:topLinePunct w:val="0"/>
              <w:autoSpaceDE/>
              <w:autoSpaceDN/>
              <w:bidi w:val="0"/>
              <w:spacing w:line="240" w:lineRule="auto"/>
              <w:ind w:left="0" w:leftChars="0" w:right="0" w:rightChars="0"/>
              <w:jc w:val="center"/>
              <w:textAlignment w:val="auto"/>
              <w:rPr>
                <w:snapToGrid w:val="0"/>
                <w:color w:val="auto"/>
                <w:kern w:val="21"/>
                <w:szCs w:val="21"/>
              </w:rPr>
            </w:pPr>
            <w:r>
              <w:rPr>
                <w:rFonts w:hint="eastAsia"/>
                <w:snapToGrid w:val="0"/>
                <w:color w:val="auto"/>
                <w:kern w:val="21"/>
                <w:szCs w:val="21"/>
                <w:lang w:val="en-US" w:eastAsia="zh-CN"/>
              </w:rPr>
              <w:t>1.232</w:t>
            </w:r>
            <w:r>
              <w:rPr>
                <w:rFonts w:hint="eastAsia"/>
                <w:snapToGrid w:val="0"/>
                <w:color w:val="auto"/>
                <w:kern w:val="21"/>
                <w:szCs w:val="21"/>
              </w:rPr>
              <w:t>t/a</w:t>
            </w:r>
          </w:p>
        </w:tc>
        <w:tc>
          <w:tcPr>
            <w:tcW w:w="1761" w:type="dxa"/>
            <w:noWrap w:val="0"/>
            <w:vAlign w:val="center"/>
          </w:tcPr>
          <w:p w14:paraId="4454EF35">
            <w:pPr>
              <w:keepNext w:val="0"/>
              <w:keepLines w:val="0"/>
              <w:pageBreakBefore w:val="0"/>
              <w:kinsoku/>
              <w:wordWrap/>
              <w:overflowPunct/>
              <w:topLinePunct w:val="0"/>
              <w:autoSpaceDE/>
              <w:autoSpaceDN/>
              <w:bidi w:val="0"/>
              <w:spacing w:line="240" w:lineRule="auto"/>
              <w:ind w:left="0" w:leftChars="0" w:right="0" w:rightChars="0"/>
              <w:jc w:val="center"/>
              <w:textAlignment w:val="auto"/>
              <w:rPr>
                <w:rFonts w:hint="eastAsia"/>
                <w:snapToGrid w:val="0"/>
                <w:color w:val="auto"/>
                <w:kern w:val="21"/>
                <w:szCs w:val="21"/>
              </w:rPr>
            </w:pPr>
            <w:r>
              <w:rPr>
                <w:rFonts w:hint="eastAsia"/>
                <w:snapToGrid w:val="0"/>
                <w:color w:val="auto"/>
                <w:kern w:val="21"/>
                <w:szCs w:val="21"/>
              </w:rPr>
              <w:t>/</w:t>
            </w:r>
          </w:p>
        </w:tc>
        <w:tc>
          <w:tcPr>
            <w:tcW w:w="1667" w:type="dxa"/>
            <w:noWrap w:val="0"/>
            <w:vAlign w:val="center"/>
          </w:tcPr>
          <w:p w14:paraId="61EAA593">
            <w:pPr>
              <w:keepNext w:val="0"/>
              <w:keepLines w:val="0"/>
              <w:pageBreakBefore w:val="0"/>
              <w:kinsoku/>
              <w:wordWrap/>
              <w:overflowPunct/>
              <w:topLinePunct w:val="0"/>
              <w:autoSpaceDE/>
              <w:autoSpaceDN/>
              <w:bidi w:val="0"/>
              <w:spacing w:line="240" w:lineRule="auto"/>
              <w:ind w:left="0" w:leftChars="0" w:right="0" w:rightChars="0"/>
              <w:jc w:val="center"/>
              <w:textAlignment w:val="auto"/>
              <w:rPr>
                <w:rFonts w:hint="eastAsia"/>
                <w:snapToGrid w:val="0"/>
                <w:color w:val="auto"/>
                <w:kern w:val="21"/>
                <w:sz w:val="21"/>
                <w:szCs w:val="21"/>
                <w:lang w:val="en-US" w:eastAsia="zh-CN" w:bidi="ar-SA"/>
              </w:rPr>
            </w:pPr>
            <w:r>
              <w:rPr>
                <w:rFonts w:hint="eastAsia"/>
                <w:snapToGrid w:val="0"/>
                <w:color w:val="auto"/>
                <w:kern w:val="21"/>
                <w:szCs w:val="21"/>
                <w:lang w:val="en-US" w:eastAsia="zh-CN"/>
              </w:rPr>
              <w:t>1.232</w:t>
            </w:r>
            <w:r>
              <w:rPr>
                <w:rFonts w:hint="eastAsia"/>
                <w:snapToGrid w:val="0"/>
                <w:color w:val="auto"/>
                <w:kern w:val="21"/>
                <w:szCs w:val="21"/>
              </w:rPr>
              <w:t>t/a</w:t>
            </w:r>
          </w:p>
        </w:tc>
        <w:tc>
          <w:tcPr>
            <w:tcW w:w="1118" w:type="dxa"/>
            <w:noWrap w:val="0"/>
            <w:vAlign w:val="center"/>
          </w:tcPr>
          <w:p w14:paraId="153236B2">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Cs w:val="21"/>
              </w:rPr>
            </w:pPr>
            <w:r>
              <w:rPr>
                <w:rFonts w:hint="eastAsia" w:ascii="Times New Roman"/>
                <w:snapToGrid w:val="0"/>
                <w:color w:val="auto"/>
                <w:kern w:val="21"/>
                <w:szCs w:val="21"/>
              </w:rPr>
              <w:t>/</w:t>
            </w:r>
          </w:p>
        </w:tc>
      </w:tr>
      <w:tr w14:paraId="0A10C2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restart"/>
            <w:noWrap w:val="0"/>
            <w:vAlign w:val="center"/>
          </w:tcPr>
          <w:p w14:paraId="29E3C73D">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r>
              <w:rPr>
                <w:rFonts w:ascii="Times New Roman"/>
                <w:snapToGrid w:val="0"/>
                <w:color w:val="auto"/>
                <w:kern w:val="21"/>
                <w:szCs w:val="21"/>
              </w:rPr>
              <w:t>废水</w:t>
            </w:r>
          </w:p>
        </w:tc>
        <w:tc>
          <w:tcPr>
            <w:tcW w:w="1948" w:type="dxa"/>
            <w:noWrap w:val="0"/>
            <w:vAlign w:val="center"/>
          </w:tcPr>
          <w:p w14:paraId="2E3E1E8A">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textAlignment w:val="auto"/>
              <w:rPr>
                <w:snapToGrid w:val="0"/>
                <w:color w:val="auto"/>
                <w:kern w:val="21"/>
                <w:szCs w:val="21"/>
              </w:rPr>
            </w:pPr>
            <w:r>
              <w:rPr>
                <w:color w:val="auto"/>
                <w:szCs w:val="21"/>
              </w:rPr>
              <w:t>COD</w:t>
            </w:r>
          </w:p>
        </w:tc>
        <w:tc>
          <w:tcPr>
            <w:tcW w:w="1701" w:type="dxa"/>
            <w:noWrap w:val="0"/>
            <w:vAlign w:val="center"/>
          </w:tcPr>
          <w:p w14:paraId="168BA9B3">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r>
              <w:rPr>
                <w:rFonts w:hint="eastAsia" w:ascii="Times New Roman"/>
                <w:snapToGrid w:val="0"/>
                <w:color w:val="auto"/>
                <w:kern w:val="21"/>
                <w:szCs w:val="21"/>
              </w:rPr>
              <w:t>/</w:t>
            </w:r>
          </w:p>
        </w:tc>
        <w:tc>
          <w:tcPr>
            <w:tcW w:w="1276" w:type="dxa"/>
            <w:noWrap w:val="0"/>
            <w:vAlign w:val="center"/>
          </w:tcPr>
          <w:p w14:paraId="64AC38A5">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r>
              <w:rPr>
                <w:rFonts w:hint="eastAsia" w:ascii="Times New Roman"/>
                <w:snapToGrid w:val="0"/>
                <w:color w:val="auto"/>
                <w:kern w:val="21"/>
                <w:szCs w:val="21"/>
              </w:rPr>
              <w:t>/</w:t>
            </w:r>
          </w:p>
        </w:tc>
        <w:tc>
          <w:tcPr>
            <w:tcW w:w="1701" w:type="dxa"/>
            <w:noWrap w:val="0"/>
            <w:vAlign w:val="center"/>
          </w:tcPr>
          <w:p w14:paraId="5DF60844">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r>
              <w:rPr>
                <w:rFonts w:hint="eastAsia" w:ascii="Times New Roman"/>
                <w:snapToGrid w:val="0"/>
                <w:color w:val="auto"/>
                <w:kern w:val="21"/>
                <w:szCs w:val="21"/>
              </w:rPr>
              <w:t>/</w:t>
            </w:r>
          </w:p>
        </w:tc>
        <w:tc>
          <w:tcPr>
            <w:tcW w:w="1559" w:type="dxa"/>
            <w:noWrap w:val="0"/>
            <w:vAlign w:val="center"/>
          </w:tcPr>
          <w:p w14:paraId="1D371B84">
            <w:pPr>
              <w:keepNext w:val="0"/>
              <w:keepLines w:val="0"/>
              <w:pageBreakBefore w:val="0"/>
              <w:kinsoku/>
              <w:wordWrap/>
              <w:overflowPunct/>
              <w:topLinePunct w:val="0"/>
              <w:autoSpaceDE/>
              <w:autoSpaceDN/>
              <w:bidi w:val="0"/>
              <w:spacing w:line="240" w:lineRule="auto"/>
              <w:ind w:left="0" w:leftChars="0" w:right="0" w:rightChars="0"/>
              <w:jc w:val="center"/>
              <w:textAlignment w:val="auto"/>
              <w:rPr>
                <w:rFonts w:hint="eastAsia"/>
                <w:snapToGrid w:val="0"/>
                <w:color w:val="auto"/>
                <w:kern w:val="21"/>
                <w:szCs w:val="21"/>
              </w:rPr>
            </w:pPr>
            <w:r>
              <w:rPr>
                <w:rFonts w:hint="eastAsia"/>
                <w:snapToGrid w:val="0"/>
                <w:color w:val="auto"/>
                <w:kern w:val="21"/>
                <w:szCs w:val="21"/>
                <w:lang w:eastAsia="zh-CN"/>
              </w:rPr>
              <w:t>0.</w:t>
            </w:r>
            <w:r>
              <w:rPr>
                <w:rFonts w:hint="eastAsia"/>
                <w:snapToGrid w:val="0"/>
                <w:color w:val="auto"/>
                <w:kern w:val="21"/>
                <w:szCs w:val="21"/>
                <w:lang w:val="en-US" w:eastAsia="zh-CN"/>
              </w:rPr>
              <w:t>429t</w:t>
            </w:r>
            <w:r>
              <w:rPr>
                <w:rFonts w:hint="eastAsia"/>
                <w:snapToGrid w:val="0"/>
                <w:color w:val="auto"/>
                <w:kern w:val="21"/>
                <w:szCs w:val="21"/>
              </w:rPr>
              <w:t>/a</w:t>
            </w:r>
          </w:p>
        </w:tc>
        <w:tc>
          <w:tcPr>
            <w:tcW w:w="1761" w:type="dxa"/>
            <w:noWrap w:val="0"/>
            <w:vAlign w:val="center"/>
          </w:tcPr>
          <w:p w14:paraId="71FB3639">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r>
              <w:rPr>
                <w:rFonts w:hint="eastAsia" w:ascii="Times New Roman"/>
                <w:snapToGrid w:val="0"/>
                <w:color w:val="auto"/>
                <w:kern w:val="21"/>
                <w:szCs w:val="21"/>
              </w:rPr>
              <w:t>/</w:t>
            </w:r>
          </w:p>
        </w:tc>
        <w:tc>
          <w:tcPr>
            <w:tcW w:w="1667" w:type="dxa"/>
            <w:shd w:val="clear" w:color="auto" w:fill="auto"/>
            <w:noWrap w:val="0"/>
            <w:vAlign w:val="center"/>
          </w:tcPr>
          <w:p w14:paraId="64B8E3D6">
            <w:pPr>
              <w:keepNext w:val="0"/>
              <w:keepLines w:val="0"/>
              <w:pageBreakBefore w:val="0"/>
              <w:kinsoku/>
              <w:wordWrap/>
              <w:overflowPunct/>
              <w:topLinePunct w:val="0"/>
              <w:autoSpaceDE/>
              <w:autoSpaceDN/>
              <w:bidi w:val="0"/>
              <w:spacing w:line="240" w:lineRule="auto"/>
              <w:ind w:left="0" w:leftChars="0" w:right="0" w:rightChars="0"/>
              <w:jc w:val="center"/>
              <w:textAlignment w:val="auto"/>
              <w:rPr>
                <w:rFonts w:hint="eastAsia" w:ascii="Times New Roman" w:hAnsi="Times New Roman" w:eastAsia="宋体" w:cs="Times New Roman"/>
                <w:snapToGrid w:val="0"/>
                <w:color w:val="auto"/>
                <w:kern w:val="21"/>
                <w:sz w:val="21"/>
                <w:szCs w:val="21"/>
                <w:lang w:val="en-US" w:eastAsia="zh-CN" w:bidi="ar-SA"/>
              </w:rPr>
            </w:pPr>
            <w:r>
              <w:rPr>
                <w:rFonts w:hint="eastAsia"/>
                <w:snapToGrid w:val="0"/>
                <w:color w:val="auto"/>
                <w:kern w:val="21"/>
                <w:szCs w:val="21"/>
                <w:lang w:eastAsia="zh-CN"/>
              </w:rPr>
              <w:t>0.</w:t>
            </w:r>
            <w:r>
              <w:rPr>
                <w:rFonts w:hint="eastAsia"/>
                <w:snapToGrid w:val="0"/>
                <w:color w:val="auto"/>
                <w:kern w:val="21"/>
                <w:szCs w:val="21"/>
                <w:lang w:val="en-US" w:eastAsia="zh-CN"/>
              </w:rPr>
              <w:t>429t</w:t>
            </w:r>
            <w:r>
              <w:rPr>
                <w:rFonts w:hint="eastAsia"/>
                <w:snapToGrid w:val="0"/>
                <w:color w:val="auto"/>
                <w:kern w:val="21"/>
                <w:szCs w:val="21"/>
              </w:rPr>
              <w:t>/a</w:t>
            </w:r>
          </w:p>
        </w:tc>
        <w:tc>
          <w:tcPr>
            <w:tcW w:w="1118" w:type="dxa"/>
            <w:noWrap w:val="0"/>
            <w:vAlign w:val="center"/>
          </w:tcPr>
          <w:p w14:paraId="3123E66D">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r>
              <w:rPr>
                <w:rFonts w:hint="eastAsia" w:ascii="Times New Roman"/>
                <w:snapToGrid w:val="0"/>
                <w:color w:val="auto"/>
                <w:kern w:val="21"/>
                <w:szCs w:val="21"/>
              </w:rPr>
              <w:t>/</w:t>
            </w:r>
          </w:p>
        </w:tc>
      </w:tr>
      <w:tr w14:paraId="7FD476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continue"/>
            <w:noWrap w:val="0"/>
            <w:vAlign w:val="center"/>
          </w:tcPr>
          <w:p w14:paraId="07293FDA">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p>
        </w:tc>
        <w:tc>
          <w:tcPr>
            <w:tcW w:w="1948" w:type="dxa"/>
            <w:noWrap w:val="0"/>
            <w:vAlign w:val="center"/>
          </w:tcPr>
          <w:p w14:paraId="3A98D477">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textAlignment w:val="auto"/>
              <w:rPr>
                <w:snapToGrid w:val="0"/>
                <w:color w:val="auto"/>
                <w:kern w:val="21"/>
                <w:szCs w:val="21"/>
              </w:rPr>
            </w:pPr>
            <w:r>
              <w:rPr>
                <w:color w:val="auto"/>
                <w:szCs w:val="21"/>
              </w:rPr>
              <w:t>BOD</w:t>
            </w:r>
            <w:r>
              <w:rPr>
                <w:color w:val="auto"/>
                <w:szCs w:val="21"/>
                <w:vertAlign w:val="subscript"/>
              </w:rPr>
              <w:t>5</w:t>
            </w:r>
          </w:p>
        </w:tc>
        <w:tc>
          <w:tcPr>
            <w:tcW w:w="1701" w:type="dxa"/>
            <w:noWrap w:val="0"/>
            <w:vAlign w:val="center"/>
          </w:tcPr>
          <w:p w14:paraId="4232D88D">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r>
              <w:rPr>
                <w:rFonts w:hint="eastAsia" w:ascii="Times New Roman"/>
                <w:snapToGrid w:val="0"/>
                <w:color w:val="auto"/>
                <w:kern w:val="21"/>
                <w:szCs w:val="21"/>
              </w:rPr>
              <w:t>/</w:t>
            </w:r>
          </w:p>
        </w:tc>
        <w:tc>
          <w:tcPr>
            <w:tcW w:w="1276" w:type="dxa"/>
            <w:noWrap w:val="0"/>
            <w:vAlign w:val="center"/>
          </w:tcPr>
          <w:p w14:paraId="635C8D1F">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r>
              <w:rPr>
                <w:rFonts w:hint="eastAsia" w:ascii="Times New Roman"/>
                <w:snapToGrid w:val="0"/>
                <w:color w:val="auto"/>
                <w:kern w:val="21"/>
                <w:szCs w:val="21"/>
              </w:rPr>
              <w:t>/</w:t>
            </w:r>
          </w:p>
        </w:tc>
        <w:tc>
          <w:tcPr>
            <w:tcW w:w="1701" w:type="dxa"/>
            <w:noWrap w:val="0"/>
            <w:vAlign w:val="center"/>
          </w:tcPr>
          <w:p w14:paraId="2E59D764">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r>
              <w:rPr>
                <w:rFonts w:hint="eastAsia" w:ascii="Times New Roman"/>
                <w:snapToGrid w:val="0"/>
                <w:color w:val="auto"/>
                <w:kern w:val="21"/>
                <w:szCs w:val="21"/>
              </w:rPr>
              <w:t>/</w:t>
            </w:r>
          </w:p>
        </w:tc>
        <w:tc>
          <w:tcPr>
            <w:tcW w:w="1559" w:type="dxa"/>
            <w:noWrap w:val="0"/>
            <w:vAlign w:val="center"/>
          </w:tcPr>
          <w:p w14:paraId="3731AAD5">
            <w:pPr>
              <w:keepNext w:val="0"/>
              <w:keepLines w:val="0"/>
              <w:pageBreakBefore w:val="0"/>
              <w:kinsoku/>
              <w:wordWrap/>
              <w:overflowPunct/>
              <w:topLinePunct w:val="0"/>
              <w:autoSpaceDE/>
              <w:autoSpaceDN/>
              <w:bidi w:val="0"/>
              <w:spacing w:line="240" w:lineRule="auto"/>
              <w:ind w:left="0" w:leftChars="0" w:right="0" w:rightChars="0"/>
              <w:jc w:val="center"/>
              <w:textAlignment w:val="auto"/>
              <w:rPr>
                <w:rFonts w:hint="eastAsia"/>
                <w:snapToGrid w:val="0"/>
                <w:color w:val="auto"/>
                <w:kern w:val="21"/>
                <w:szCs w:val="21"/>
              </w:rPr>
            </w:pPr>
            <w:r>
              <w:rPr>
                <w:rFonts w:hint="eastAsia"/>
                <w:snapToGrid w:val="0"/>
                <w:color w:val="auto"/>
                <w:kern w:val="21"/>
                <w:szCs w:val="21"/>
                <w:lang w:eastAsia="zh-CN"/>
              </w:rPr>
              <w:t>0.</w:t>
            </w:r>
            <w:r>
              <w:rPr>
                <w:rFonts w:hint="eastAsia"/>
                <w:snapToGrid w:val="0"/>
                <w:color w:val="auto"/>
                <w:kern w:val="21"/>
                <w:szCs w:val="21"/>
                <w:lang w:val="en-US" w:eastAsia="zh-CN"/>
              </w:rPr>
              <w:t>162</w:t>
            </w:r>
            <w:r>
              <w:rPr>
                <w:rFonts w:hint="eastAsia"/>
                <w:snapToGrid w:val="0"/>
                <w:color w:val="auto"/>
                <w:kern w:val="21"/>
                <w:szCs w:val="21"/>
              </w:rPr>
              <w:t>t/a</w:t>
            </w:r>
          </w:p>
        </w:tc>
        <w:tc>
          <w:tcPr>
            <w:tcW w:w="1761" w:type="dxa"/>
            <w:noWrap w:val="0"/>
            <w:vAlign w:val="center"/>
          </w:tcPr>
          <w:p w14:paraId="0FF6DD97">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r>
              <w:rPr>
                <w:rFonts w:hint="eastAsia" w:ascii="Times New Roman"/>
                <w:snapToGrid w:val="0"/>
                <w:color w:val="auto"/>
                <w:kern w:val="21"/>
                <w:szCs w:val="21"/>
              </w:rPr>
              <w:t>/</w:t>
            </w:r>
          </w:p>
        </w:tc>
        <w:tc>
          <w:tcPr>
            <w:tcW w:w="1667" w:type="dxa"/>
            <w:shd w:val="clear" w:color="auto" w:fill="auto"/>
            <w:noWrap w:val="0"/>
            <w:vAlign w:val="center"/>
          </w:tcPr>
          <w:p w14:paraId="5148AC16">
            <w:pPr>
              <w:keepNext w:val="0"/>
              <w:keepLines w:val="0"/>
              <w:pageBreakBefore w:val="0"/>
              <w:kinsoku/>
              <w:wordWrap/>
              <w:overflowPunct/>
              <w:topLinePunct w:val="0"/>
              <w:autoSpaceDE/>
              <w:autoSpaceDN/>
              <w:bidi w:val="0"/>
              <w:spacing w:line="240" w:lineRule="auto"/>
              <w:ind w:left="0" w:leftChars="0" w:right="0" w:rightChars="0"/>
              <w:jc w:val="center"/>
              <w:textAlignment w:val="auto"/>
              <w:rPr>
                <w:rFonts w:hint="eastAsia" w:ascii="Times New Roman" w:hAnsi="Times New Roman" w:eastAsia="宋体" w:cs="Times New Roman"/>
                <w:snapToGrid w:val="0"/>
                <w:color w:val="auto"/>
                <w:kern w:val="21"/>
                <w:sz w:val="21"/>
                <w:szCs w:val="21"/>
                <w:lang w:val="en-US" w:eastAsia="zh-CN" w:bidi="ar-SA"/>
              </w:rPr>
            </w:pPr>
            <w:r>
              <w:rPr>
                <w:rFonts w:hint="eastAsia"/>
                <w:snapToGrid w:val="0"/>
                <w:color w:val="auto"/>
                <w:kern w:val="21"/>
                <w:szCs w:val="21"/>
                <w:lang w:eastAsia="zh-CN"/>
              </w:rPr>
              <w:t>0.</w:t>
            </w:r>
            <w:r>
              <w:rPr>
                <w:rFonts w:hint="eastAsia"/>
                <w:snapToGrid w:val="0"/>
                <w:color w:val="auto"/>
                <w:kern w:val="21"/>
                <w:szCs w:val="21"/>
                <w:lang w:val="en-US" w:eastAsia="zh-CN"/>
              </w:rPr>
              <w:t>162</w:t>
            </w:r>
            <w:r>
              <w:rPr>
                <w:rFonts w:hint="eastAsia"/>
                <w:snapToGrid w:val="0"/>
                <w:color w:val="auto"/>
                <w:kern w:val="21"/>
                <w:szCs w:val="21"/>
              </w:rPr>
              <w:t>t/a</w:t>
            </w:r>
          </w:p>
        </w:tc>
        <w:tc>
          <w:tcPr>
            <w:tcW w:w="1118" w:type="dxa"/>
            <w:noWrap w:val="0"/>
            <w:vAlign w:val="center"/>
          </w:tcPr>
          <w:p w14:paraId="7009085D">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r>
              <w:rPr>
                <w:rFonts w:hint="eastAsia" w:ascii="Times New Roman"/>
                <w:snapToGrid w:val="0"/>
                <w:color w:val="auto"/>
                <w:kern w:val="21"/>
                <w:szCs w:val="21"/>
              </w:rPr>
              <w:t>/</w:t>
            </w:r>
          </w:p>
        </w:tc>
      </w:tr>
      <w:tr w14:paraId="2B4FE7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continue"/>
            <w:noWrap w:val="0"/>
            <w:vAlign w:val="center"/>
          </w:tcPr>
          <w:p w14:paraId="751BEDA3">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p>
        </w:tc>
        <w:tc>
          <w:tcPr>
            <w:tcW w:w="1948" w:type="dxa"/>
            <w:noWrap w:val="0"/>
            <w:vAlign w:val="center"/>
          </w:tcPr>
          <w:p w14:paraId="3E8DE407">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textAlignment w:val="auto"/>
              <w:rPr>
                <w:snapToGrid w:val="0"/>
                <w:color w:val="auto"/>
                <w:kern w:val="21"/>
                <w:szCs w:val="21"/>
              </w:rPr>
            </w:pPr>
            <w:r>
              <w:rPr>
                <w:color w:val="auto"/>
                <w:szCs w:val="21"/>
              </w:rPr>
              <w:t>SS</w:t>
            </w:r>
          </w:p>
        </w:tc>
        <w:tc>
          <w:tcPr>
            <w:tcW w:w="1701" w:type="dxa"/>
            <w:noWrap w:val="0"/>
            <w:vAlign w:val="center"/>
          </w:tcPr>
          <w:p w14:paraId="10B72FE3">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Cs w:val="21"/>
              </w:rPr>
            </w:pPr>
            <w:r>
              <w:rPr>
                <w:rFonts w:hint="eastAsia" w:ascii="Times New Roman"/>
                <w:snapToGrid w:val="0"/>
                <w:color w:val="auto"/>
                <w:kern w:val="21"/>
                <w:szCs w:val="21"/>
              </w:rPr>
              <w:t>/</w:t>
            </w:r>
          </w:p>
        </w:tc>
        <w:tc>
          <w:tcPr>
            <w:tcW w:w="1276" w:type="dxa"/>
            <w:noWrap w:val="0"/>
            <w:vAlign w:val="center"/>
          </w:tcPr>
          <w:p w14:paraId="37940419">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Cs w:val="21"/>
              </w:rPr>
            </w:pPr>
            <w:r>
              <w:rPr>
                <w:rFonts w:hint="eastAsia" w:ascii="Times New Roman"/>
                <w:snapToGrid w:val="0"/>
                <w:color w:val="auto"/>
                <w:kern w:val="21"/>
                <w:szCs w:val="21"/>
              </w:rPr>
              <w:t>/</w:t>
            </w:r>
          </w:p>
        </w:tc>
        <w:tc>
          <w:tcPr>
            <w:tcW w:w="1701" w:type="dxa"/>
            <w:noWrap w:val="0"/>
            <w:vAlign w:val="center"/>
          </w:tcPr>
          <w:p w14:paraId="75CD5127">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Cs w:val="21"/>
              </w:rPr>
            </w:pPr>
            <w:r>
              <w:rPr>
                <w:rFonts w:hint="eastAsia" w:ascii="Times New Roman"/>
                <w:snapToGrid w:val="0"/>
                <w:color w:val="auto"/>
                <w:kern w:val="21"/>
                <w:szCs w:val="21"/>
              </w:rPr>
              <w:t>/</w:t>
            </w:r>
          </w:p>
        </w:tc>
        <w:tc>
          <w:tcPr>
            <w:tcW w:w="1559" w:type="dxa"/>
            <w:noWrap w:val="0"/>
            <w:vAlign w:val="center"/>
          </w:tcPr>
          <w:p w14:paraId="5FB856F9">
            <w:pPr>
              <w:keepNext w:val="0"/>
              <w:keepLines w:val="0"/>
              <w:pageBreakBefore w:val="0"/>
              <w:kinsoku/>
              <w:wordWrap/>
              <w:overflowPunct/>
              <w:topLinePunct w:val="0"/>
              <w:autoSpaceDE/>
              <w:autoSpaceDN/>
              <w:bidi w:val="0"/>
              <w:spacing w:line="240" w:lineRule="auto"/>
              <w:ind w:left="0" w:leftChars="0" w:right="0" w:rightChars="0"/>
              <w:jc w:val="center"/>
              <w:textAlignment w:val="auto"/>
              <w:rPr>
                <w:rFonts w:hint="eastAsia"/>
                <w:snapToGrid w:val="0"/>
                <w:color w:val="auto"/>
                <w:kern w:val="21"/>
                <w:szCs w:val="21"/>
              </w:rPr>
            </w:pPr>
            <w:r>
              <w:rPr>
                <w:rFonts w:hint="eastAsia"/>
                <w:snapToGrid w:val="0"/>
                <w:color w:val="auto"/>
                <w:kern w:val="21"/>
                <w:szCs w:val="21"/>
                <w:lang w:eastAsia="zh-CN"/>
              </w:rPr>
              <w:t>0.</w:t>
            </w:r>
            <w:r>
              <w:rPr>
                <w:rFonts w:hint="eastAsia"/>
                <w:snapToGrid w:val="0"/>
                <w:color w:val="auto"/>
                <w:kern w:val="21"/>
                <w:szCs w:val="21"/>
                <w:lang w:val="en-US" w:eastAsia="zh-CN"/>
              </w:rPr>
              <w:t>074</w:t>
            </w:r>
            <w:r>
              <w:rPr>
                <w:rFonts w:hint="eastAsia"/>
                <w:snapToGrid w:val="0"/>
                <w:color w:val="auto"/>
                <w:kern w:val="21"/>
                <w:szCs w:val="21"/>
              </w:rPr>
              <w:t>t/a</w:t>
            </w:r>
          </w:p>
        </w:tc>
        <w:tc>
          <w:tcPr>
            <w:tcW w:w="1761" w:type="dxa"/>
            <w:noWrap w:val="0"/>
            <w:vAlign w:val="center"/>
          </w:tcPr>
          <w:p w14:paraId="2DEF7053">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Cs w:val="21"/>
              </w:rPr>
            </w:pPr>
            <w:r>
              <w:rPr>
                <w:rFonts w:hint="eastAsia" w:ascii="Times New Roman"/>
                <w:snapToGrid w:val="0"/>
                <w:color w:val="auto"/>
                <w:kern w:val="21"/>
                <w:szCs w:val="21"/>
              </w:rPr>
              <w:t>/</w:t>
            </w:r>
          </w:p>
        </w:tc>
        <w:tc>
          <w:tcPr>
            <w:tcW w:w="1667" w:type="dxa"/>
            <w:shd w:val="clear" w:color="auto" w:fill="auto"/>
            <w:noWrap w:val="0"/>
            <w:vAlign w:val="center"/>
          </w:tcPr>
          <w:p w14:paraId="5C6E0D47">
            <w:pPr>
              <w:keepNext w:val="0"/>
              <w:keepLines w:val="0"/>
              <w:pageBreakBefore w:val="0"/>
              <w:kinsoku/>
              <w:wordWrap/>
              <w:overflowPunct/>
              <w:topLinePunct w:val="0"/>
              <w:autoSpaceDE/>
              <w:autoSpaceDN/>
              <w:bidi w:val="0"/>
              <w:spacing w:line="240" w:lineRule="auto"/>
              <w:ind w:left="0" w:leftChars="0" w:right="0" w:rightChars="0"/>
              <w:jc w:val="center"/>
              <w:textAlignment w:val="auto"/>
              <w:rPr>
                <w:rFonts w:hint="eastAsia" w:ascii="Times New Roman" w:hAnsi="Times New Roman" w:eastAsia="宋体" w:cs="Times New Roman"/>
                <w:snapToGrid w:val="0"/>
                <w:color w:val="auto"/>
                <w:kern w:val="21"/>
                <w:sz w:val="21"/>
                <w:szCs w:val="21"/>
                <w:lang w:val="en-US" w:eastAsia="zh-CN" w:bidi="ar-SA"/>
              </w:rPr>
            </w:pPr>
            <w:r>
              <w:rPr>
                <w:rFonts w:hint="eastAsia"/>
                <w:snapToGrid w:val="0"/>
                <w:color w:val="auto"/>
                <w:kern w:val="21"/>
                <w:szCs w:val="21"/>
                <w:lang w:eastAsia="zh-CN"/>
              </w:rPr>
              <w:t>0.</w:t>
            </w:r>
            <w:r>
              <w:rPr>
                <w:rFonts w:hint="eastAsia"/>
                <w:snapToGrid w:val="0"/>
                <w:color w:val="auto"/>
                <w:kern w:val="21"/>
                <w:szCs w:val="21"/>
                <w:lang w:val="en-US" w:eastAsia="zh-CN"/>
              </w:rPr>
              <w:t>074</w:t>
            </w:r>
            <w:r>
              <w:rPr>
                <w:rFonts w:hint="eastAsia"/>
                <w:snapToGrid w:val="0"/>
                <w:color w:val="auto"/>
                <w:kern w:val="21"/>
                <w:szCs w:val="21"/>
              </w:rPr>
              <w:t>t/a</w:t>
            </w:r>
          </w:p>
        </w:tc>
        <w:tc>
          <w:tcPr>
            <w:tcW w:w="1118" w:type="dxa"/>
            <w:noWrap w:val="0"/>
            <w:vAlign w:val="center"/>
          </w:tcPr>
          <w:p w14:paraId="5429241C">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Cs w:val="21"/>
              </w:rPr>
            </w:pPr>
            <w:r>
              <w:rPr>
                <w:rFonts w:hint="eastAsia" w:ascii="Times New Roman"/>
                <w:snapToGrid w:val="0"/>
                <w:color w:val="auto"/>
                <w:kern w:val="21"/>
                <w:szCs w:val="21"/>
              </w:rPr>
              <w:t>/</w:t>
            </w:r>
          </w:p>
        </w:tc>
      </w:tr>
      <w:tr w14:paraId="210791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continue"/>
            <w:noWrap w:val="0"/>
            <w:vAlign w:val="center"/>
          </w:tcPr>
          <w:p w14:paraId="5332E0C5">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p>
        </w:tc>
        <w:tc>
          <w:tcPr>
            <w:tcW w:w="1948" w:type="dxa"/>
            <w:noWrap w:val="0"/>
            <w:vAlign w:val="center"/>
          </w:tcPr>
          <w:p w14:paraId="2280EF1E">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textAlignment w:val="auto"/>
              <w:rPr>
                <w:snapToGrid w:val="0"/>
                <w:color w:val="auto"/>
                <w:kern w:val="21"/>
                <w:szCs w:val="21"/>
              </w:rPr>
            </w:pPr>
            <w:r>
              <w:rPr>
                <w:color w:val="auto"/>
                <w:szCs w:val="21"/>
              </w:rPr>
              <w:t>NH</w:t>
            </w:r>
            <w:r>
              <w:rPr>
                <w:color w:val="auto"/>
                <w:szCs w:val="21"/>
                <w:vertAlign w:val="subscript"/>
              </w:rPr>
              <w:t>3</w:t>
            </w:r>
            <w:r>
              <w:rPr>
                <w:color w:val="auto"/>
                <w:szCs w:val="21"/>
              </w:rPr>
              <w:t>-N</w:t>
            </w:r>
          </w:p>
        </w:tc>
        <w:tc>
          <w:tcPr>
            <w:tcW w:w="1701" w:type="dxa"/>
            <w:noWrap w:val="0"/>
            <w:vAlign w:val="center"/>
          </w:tcPr>
          <w:p w14:paraId="53C3D385">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Cs w:val="21"/>
              </w:rPr>
            </w:pPr>
            <w:r>
              <w:rPr>
                <w:rFonts w:hint="eastAsia" w:ascii="Times New Roman"/>
                <w:snapToGrid w:val="0"/>
                <w:color w:val="auto"/>
                <w:kern w:val="21"/>
                <w:szCs w:val="21"/>
              </w:rPr>
              <w:t>/</w:t>
            </w:r>
          </w:p>
        </w:tc>
        <w:tc>
          <w:tcPr>
            <w:tcW w:w="1276" w:type="dxa"/>
            <w:noWrap w:val="0"/>
            <w:vAlign w:val="center"/>
          </w:tcPr>
          <w:p w14:paraId="082A4455">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Cs w:val="21"/>
              </w:rPr>
            </w:pPr>
            <w:r>
              <w:rPr>
                <w:rFonts w:hint="eastAsia" w:ascii="Times New Roman"/>
                <w:snapToGrid w:val="0"/>
                <w:color w:val="auto"/>
                <w:kern w:val="21"/>
                <w:szCs w:val="21"/>
              </w:rPr>
              <w:t>/</w:t>
            </w:r>
          </w:p>
        </w:tc>
        <w:tc>
          <w:tcPr>
            <w:tcW w:w="1701" w:type="dxa"/>
            <w:noWrap w:val="0"/>
            <w:vAlign w:val="center"/>
          </w:tcPr>
          <w:p w14:paraId="5801166F">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Cs w:val="21"/>
              </w:rPr>
            </w:pPr>
            <w:r>
              <w:rPr>
                <w:rFonts w:hint="eastAsia" w:ascii="Times New Roman"/>
                <w:snapToGrid w:val="0"/>
                <w:color w:val="auto"/>
                <w:kern w:val="21"/>
                <w:szCs w:val="21"/>
              </w:rPr>
              <w:t>/</w:t>
            </w:r>
          </w:p>
        </w:tc>
        <w:tc>
          <w:tcPr>
            <w:tcW w:w="1559" w:type="dxa"/>
            <w:noWrap w:val="0"/>
            <w:vAlign w:val="center"/>
          </w:tcPr>
          <w:p w14:paraId="6862D9BE">
            <w:pPr>
              <w:keepNext w:val="0"/>
              <w:keepLines w:val="0"/>
              <w:pageBreakBefore w:val="0"/>
              <w:kinsoku/>
              <w:wordWrap/>
              <w:overflowPunct/>
              <w:topLinePunct w:val="0"/>
              <w:autoSpaceDE/>
              <w:autoSpaceDN/>
              <w:bidi w:val="0"/>
              <w:spacing w:line="240" w:lineRule="auto"/>
              <w:ind w:left="0" w:leftChars="0" w:right="0" w:rightChars="0"/>
              <w:jc w:val="center"/>
              <w:textAlignment w:val="auto"/>
              <w:rPr>
                <w:rFonts w:hint="eastAsia"/>
                <w:snapToGrid w:val="0"/>
                <w:color w:val="auto"/>
                <w:kern w:val="21"/>
                <w:szCs w:val="21"/>
              </w:rPr>
            </w:pPr>
            <w:r>
              <w:rPr>
                <w:rFonts w:hint="eastAsia"/>
                <w:snapToGrid w:val="0"/>
                <w:color w:val="auto"/>
                <w:kern w:val="21"/>
                <w:szCs w:val="21"/>
              </w:rPr>
              <w:t>0.0</w:t>
            </w:r>
            <w:r>
              <w:rPr>
                <w:rFonts w:hint="eastAsia"/>
                <w:snapToGrid w:val="0"/>
                <w:color w:val="auto"/>
                <w:kern w:val="21"/>
                <w:szCs w:val="21"/>
                <w:lang w:val="en-US" w:eastAsia="zh-CN"/>
              </w:rPr>
              <w:t>36</w:t>
            </w:r>
            <w:r>
              <w:rPr>
                <w:rFonts w:hint="eastAsia"/>
                <w:snapToGrid w:val="0"/>
                <w:color w:val="auto"/>
                <w:kern w:val="21"/>
                <w:szCs w:val="21"/>
              </w:rPr>
              <w:t>t/a</w:t>
            </w:r>
          </w:p>
        </w:tc>
        <w:tc>
          <w:tcPr>
            <w:tcW w:w="1761" w:type="dxa"/>
            <w:noWrap w:val="0"/>
            <w:vAlign w:val="center"/>
          </w:tcPr>
          <w:p w14:paraId="44269F8E">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Cs w:val="21"/>
              </w:rPr>
            </w:pPr>
            <w:r>
              <w:rPr>
                <w:rFonts w:hint="eastAsia" w:ascii="Times New Roman"/>
                <w:snapToGrid w:val="0"/>
                <w:color w:val="auto"/>
                <w:kern w:val="21"/>
                <w:szCs w:val="21"/>
              </w:rPr>
              <w:t>/</w:t>
            </w:r>
          </w:p>
        </w:tc>
        <w:tc>
          <w:tcPr>
            <w:tcW w:w="1667" w:type="dxa"/>
            <w:shd w:val="clear" w:color="auto" w:fill="auto"/>
            <w:noWrap w:val="0"/>
            <w:vAlign w:val="center"/>
          </w:tcPr>
          <w:p w14:paraId="59578735">
            <w:pPr>
              <w:keepNext w:val="0"/>
              <w:keepLines w:val="0"/>
              <w:pageBreakBefore w:val="0"/>
              <w:kinsoku/>
              <w:wordWrap/>
              <w:overflowPunct/>
              <w:topLinePunct w:val="0"/>
              <w:autoSpaceDE/>
              <w:autoSpaceDN/>
              <w:bidi w:val="0"/>
              <w:spacing w:line="240" w:lineRule="auto"/>
              <w:ind w:left="0" w:leftChars="0" w:right="0" w:rightChars="0"/>
              <w:jc w:val="center"/>
              <w:textAlignment w:val="auto"/>
              <w:rPr>
                <w:rFonts w:hint="eastAsia" w:ascii="Times New Roman" w:hAnsi="Times New Roman" w:eastAsia="宋体" w:cs="Times New Roman"/>
                <w:snapToGrid w:val="0"/>
                <w:color w:val="auto"/>
                <w:kern w:val="21"/>
                <w:sz w:val="21"/>
                <w:szCs w:val="21"/>
                <w:lang w:val="en-US" w:eastAsia="zh-CN" w:bidi="ar-SA"/>
              </w:rPr>
            </w:pPr>
            <w:r>
              <w:rPr>
                <w:rFonts w:hint="eastAsia"/>
                <w:snapToGrid w:val="0"/>
                <w:color w:val="auto"/>
                <w:kern w:val="21"/>
                <w:szCs w:val="21"/>
              </w:rPr>
              <w:t>0.0</w:t>
            </w:r>
            <w:r>
              <w:rPr>
                <w:rFonts w:hint="eastAsia"/>
                <w:snapToGrid w:val="0"/>
                <w:color w:val="auto"/>
                <w:kern w:val="21"/>
                <w:szCs w:val="21"/>
                <w:lang w:val="en-US" w:eastAsia="zh-CN"/>
              </w:rPr>
              <w:t>36</w:t>
            </w:r>
            <w:r>
              <w:rPr>
                <w:rFonts w:hint="eastAsia"/>
                <w:snapToGrid w:val="0"/>
                <w:color w:val="auto"/>
                <w:kern w:val="21"/>
                <w:szCs w:val="21"/>
              </w:rPr>
              <w:t>t/a</w:t>
            </w:r>
          </w:p>
        </w:tc>
        <w:tc>
          <w:tcPr>
            <w:tcW w:w="1118" w:type="dxa"/>
            <w:noWrap w:val="0"/>
            <w:vAlign w:val="center"/>
          </w:tcPr>
          <w:p w14:paraId="356D3555">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Cs w:val="21"/>
              </w:rPr>
            </w:pPr>
            <w:r>
              <w:rPr>
                <w:rFonts w:hint="eastAsia" w:ascii="Times New Roman"/>
                <w:snapToGrid w:val="0"/>
                <w:color w:val="auto"/>
                <w:kern w:val="21"/>
                <w:szCs w:val="21"/>
              </w:rPr>
              <w:t>/</w:t>
            </w:r>
          </w:p>
        </w:tc>
      </w:tr>
      <w:tr w14:paraId="3A008D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continue"/>
            <w:noWrap w:val="0"/>
            <w:vAlign w:val="center"/>
          </w:tcPr>
          <w:p w14:paraId="24247AE0">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p>
        </w:tc>
        <w:tc>
          <w:tcPr>
            <w:tcW w:w="1948" w:type="dxa"/>
            <w:noWrap w:val="0"/>
            <w:vAlign w:val="center"/>
          </w:tcPr>
          <w:p w14:paraId="342E6E93">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textAlignment w:val="auto"/>
              <w:rPr>
                <w:snapToGrid w:val="0"/>
                <w:color w:val="auto"/>
                <w:kern w:val="21"/>
                <w:szCs w:val="21"/>
              </w:rPr>
            </w:pPr>
            <w:r>
              <w:rPr>
                <w:rFonts w:hint="eastAsia"/>
                <w:snapToGrid w:val="0"/>
                <w:color w:val="auto"/>
                <w:kern w:val="21"/>
                <w:szCs w:val="21"/>
              </w:rPr>
              <w:t>TN</w:t>
            </w:r>
          </w:p>
        </w:tc>
        <w:tc>
          <w:tcPr>
            <w:tcW w:w="1701" w:type="dxa"/>
            <w:noWrap w:val="0"/>
            <w:vAlign w:val="center"/>
          </w:tcPr>
          <w:p w14:paraId="48192530">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Cs w:val="21"/>
              </w:rPr>
            </w:pPr>
            <w:r>
              <w:rPr>
                <w:rFonts w:hint="eastAsia" w:ascii="Times New Roman"/>
                <w:snapToGrid w:val="0"/>
                <w:color w:val="auto"/>
                <w:kern w:val="21"/>
                <w:szCs w:val="21"/>
              </w:rPr>
              <w:t>/</w:t>
            </w:r>
          </w:p>
        </w:tc>
        <w:tc>
          <w:tcPr>
            <w:tcW w:w="1276" w:type="dxa"/>
            <w:noWrap w:val="0"/>
            <w:vAlign w:val="center"/>
          </w:tcPr>
          <w:p w14:paraId="23C95119">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Cs w:val="21"/>
              </w:rPr>
            </w:pPr>
            <w:r>
              <w:rPr>
                <w:rFonts w:hint="eastAsia" w:ascii="Times New Roman"/>
                <w:snapToGrid w:val="0"/>
                <w:color w:val="auto"/>
                <w:kern w:val="21"/>
                <w:szCs w:val="21"/>
              </w:rPr>
              <w:t>/</w:t>
            </w:r>
          </w:p>
        </w:tc>
        <w:tc>
          <w:tcPr>
            <w:tcW w:w="1701" w:type="dxa"/>
            <w:noWrap w:val="0"/>
            <w:vAlign w:val="center"/>
          </w:tcPr>
          <w:p w14:paraId="4762BE4B">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Cs w:val="21"/>
              </w:rPr>
            </w:pPr>
            <w:r>
              <w:rPr>
                <w:rFonts w:hint="eastAsia" w:ascii="Times New Roman"/>
                <w:snapToGrid w:val="0"/>
                <w:color w:val="auto"/>
                <w:kern w:val="21"/>
                <w:szCs w:val="21"/>
              </w:rPr>
              <w:t>/</w:t>
            </w:r>
          </w:p>
        </w:tc>
        <w:tc>
          <w:tcPr>
            <w:tcW w:w="1559" w:type="dxa"/>
            <w:noWrap w:val="0"/>
            <w:vAlign w:val="center"/>
          </w:tcPr>
          <w:p w14:paraId="2BE275B7">
            <w:pPr>
              <w:keepNext w:val="0"/>
              <w:keepLines w:val="0"/>
              <w:pageBreakBefore w:val="0"/>
              <w:kinsoku/>
              <w:wordWrap/>
              <w:overflowPunct/>
              <w:topLinePunct w:val="0"/>
              <w:autoSpaceDE/>
              <w:autoSpaceDN/>
              <w:bidi w:val="0"/>
              <w:spacing w:line="240" w:lineRule="auto"/>
              <w:ind w:left="0" w:leftChars="0" w:right="0" w:rightChars="0"/>
              <w:jc w:val="center"/>
              <w:textAlignment w:val="auto"/>
              <w:rPr>
                <w:snapToGrid w:val="0"/>
                <w:color w:val="auto"/>
                <w:kern w:val="21"/>
                <w:szCs w:val="21"/>
              </w:rPr>
            </w:pPr>
            <w:r>
              <w:rPr>
                <w:rFonts w:hint="eastAsia"/>
                <w:snapToGrid w:val="0"/>
                <w:color w:val="auto"/>
                <w:kern w:val="21"/>
                <w:szCs w:val="21"/>
              </w:rPr>
              <w:t>0.0</w:t>
            </w:r>
            <w:r>
              <w:rPr>
                <w:rFonts w:hint="eastAsia"/>
                <w:snapToGrid w:val="0"/>
                <w:color w:val="auto"/>
                <w:kern w:val="21"/>
                <w:szCs w:val="21"/>
                <w:lang w:val="en-US" w:eastAsia="zh-CN"/>
              </w:rPr>
              <w:t>44</w:t>
            </w:r>
            <w:r>
              <w:rPr>
                <w:rFonts w:hint="eastAsia"/>
                <w:snapToGrid w:val="0"/>
                <w:color w:val="auto"/>
                <w:kern w:val="21"/>
                <w:szCs w:val="21"/>
              </w:rPr>
              <w:t>t/a</w:t>
            </w:r>
          </w:p>
        </w:tc>
        <w:tc>
          <w:tcPr>
            <w:tcW w:w="1761" w:type="dxa"/>
            <w:noWrap w:val="0"/>
            <w:vAlign w:val="center"/>
          </w:tcPr>
          <w:p w14:paraId="352FDB37">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Cs w:val="21"/>
              </w:rPr>
            </w:pPr>
            <w:r>
              <w:rPr>
                <w:rFonts w:hint="eastAsia" w:ascii="Times New Roman"/>
                <w:snapToGrid w:val="0"/>
                <w:color w:val="auto"/>
                <w:kern w:val="21"/>
                <w:szCs w:val="21"/>
              </w:rPr>
              <w:t>/</w:t>
            </w:r>
          </w:p>
        </w:tc>
        <w:tc>
          <w:tcPr>
            <w:tcW w:w="1667" w:type="dxa"/>
            <w:shd w:val="clear" w:color="auto" w:fill="auto"/>
            <w:noWrap w:val="0"/>
            <w:vAlign w:val="center"/>
          </w:tcPr>
          <w:p w14:paraId="3FDF7849">
            <w:pPr>
              <w:keepNext w:val="0"/>
              <w:keepLines w:val="0"/>
              <w:pageBreakBefore w:val="0"/>
              <w:kinsoku/>
              <w:wordWrap/>
              <w:overflowPunct/>
              <w:topLinePunct w:val="0"/>
              <w:autoSpaceDE/>
              <w:autoSpaceDN/>
              <w:bidi w:val="0"/>
              <w:spacing w:line="240" w:lineRule="auto"/>
              <w:ind w:left="0" w:leftChars="0" w:right="0" w:rightChars="0"/>
              <w:jc w:val="center"/>
              <w:textAlignment w:val="auto"/>
              <w:rPr>
                <w:rFonts w:hint="eastAsia" w:ascii="Times New Roman" w:hAnsi="Times New Roman" w:eastAsia="宋体" w:cs="Times New Roman"/>
                <w:snapToGrid w:val="0"/>
                <w:color w:val="auto"/>
                <w:kern w:val="21"/>
                <w:sz w:val="21"/>
                <w:szCs w:val="21"/>
                <w:lang w:val="en-US" w:eastAsia="zh-CN" w:bidi="ar-SA"/>
              </w:rPr>
            </w:pPr>
            <w:r>
              <w:rPr>
                <w:rFonts w:hint="eastAsia"/>
                <w:snapToGrid w:val="0"/>
                <w:color w:val="auto"/>
                <w:kern w:val="21"/>
                <w:szCs w:val="21"/>
              </w:rPr>
              <w:t>0.0</w:t>
            </w:r>
            <w:r>
              <w:rPr>
                <w:rFonts w:hint="eastAsia"/>
                <w:snapToGrid w:val="0"/>
                <w:color w:val="auto"/>
                <w:kern w:val="21"/>
                <w:szCs w:val="21"/>
                <w:lang w:val="en-US" w:eastAsia="zh-CN"/>
              </w:rPr>
              <w:t>44</w:t>
            </w:r>
            <w:r>
              <w:rPr>
                <w:rFonts w:hint="eastAsia"/>
                <w:snapToGrid w:val="0"/>
                <w:color w:val="auto"/>
                <w:kern w:val="21"/>
                <w:szCs w:val="21"/>
              </w:rPr>
              <w:t>t/a</w:t>
            </w:r>
          </w:p>
        </w:tc>
        <w:tc>
          <w:tcPr>
            <w:tcW w:w="1118" w:type="dxa"/>
            <w:noWrap w:val="0"/>
            <w:vAlign w:val="center"/>
          </w:tcPr>
          <w:p w14:paraId="5AA856B5">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r>
              <w:rPr>
                <w:rFonts w:hint="eastAsia" w:ascii="Times New Roman"/>
                <w:snapToGrid w:val="0"/>
                <w:color w:val="auto"/>
                <w:kern w:val="21"/>
                <w:szCs w:val="21"/>
              </w:rPr>
              <w:t>/</w:t>
            </w:r>
          </w:p>
        </w:tc>
      </w:tr>
      <w:tr w14:paraId="25D7AF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continue"/>
            <w:noWrap w:val="0"/>
            <w:vAlign w:val="center"/>
          </w:tcPr>
          <w:p w14:paraId="10EF16EE">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p>
        </w:tc>
        <w:tc>
          <w:tcPr>
            <w:tcW w:w="1948" w:type="dxa"/>
            <w:shd w:val="clear" w:color="auto" w:fill="auto"/>
            <w:noWrap w:val="0"/>
            <w:vAlign w:val="center"/>
          </w:tcPr>
          <w:p w14:paraId="42ECD2CD">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textAlignment w:val="auto"/>
              <w:rPr>
                <w:rFonts w:hint="eastAsia" w:ascii="Times New Roman" w:hAnsi="Times New Roman" w:eastAsia="宋体" w:cs="Times New Roman"/>
                <w:snapToGrid w:val="0"/>
                <w:color w:val="auto"/>
                <w:kern w:val="21"/>
                <w:sz w:val="21"/>
                <w:szCs w:val="21"/>
                <w:lang w:val="en-US" w:eastAsia="zh-CN" w:bidi="ar-SA"/>
              </w:rPr>
            </w:pPr>
            <w:r>
              <w:rPr>
                <w:rFonts w:hint="eastAsia"/>
                <w:snapToGrid w:val="0"/>
                <w:color w:val="auto"/>
                <w:kern w:val="21"/>
                <w:szCs w:val="21"/>
              </w:rPr>
              <w:t>TP</w:t>
            </w:r>
          </w:p>
        </w:tc>
        <w:tc>
          <w:tcPr>
            <w:tcW w:w="1701" w:type="dxa"/>
            <w:shd w:val="clear" w:color="auto" w:fill="auto"/>
            <w:noWrap w:val="0"/>
            <w:vAlign w:val="center"/>
          </w:tcPr>
          <w:p w14:paraId="20B66A54">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hAnsi="Times New Roman" w:eastAsia="宋体" w:cs="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276" w:type="dxa"/>
            <w:shd w:val="clear" w:color="auto" w:fill="auto"/>
            <w:noWrap w:val="0"/>
            <w:vAlign w:val="center"/>
          </w:tcPr>
          <w:p w14:paraId="1B89893A">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hAnsi="Times New Roman" w:eastAsia="宋体" w:cs="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701" w:type="dxa"/>
            <w:shd w:val="clear" w:color="auto" w:fill="auto"/>
            <w:noWrap w:val="0"/>
            <w:vAlign w:val="center"/>
          </w:tcPr>
          <w:p w14:paraId="796DE403">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hAnsi="Times New Roman" w:eastAsia="宋体" w:cs="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559" w:type="dxa"/>
            <w:shd w:val="clear" w:color="auto" w:fill="auto"/>
            <w:noWrap w:val="0"/>
            <w:vAlign w:val="center"/>
          </w:tcPr>
          <w:p w14:paraId="4CD5B6E8">
            <w:pPr>
              <w:keepNext w:val="0"/>
              <w:keepLines w:val="0"/>
              <w:pageBreakBefore w:val="0"/>
              <w:kinsoku/>
              <w:wordWrap/>
              <w:overflowPunct/>
              <w:topLinePunct w:val="0"/>
              <w:autoSpaceDE/>
              <w:autoSpaceDN/>
              <w:bidi w:val="0"/>
              <w:spacing w:line="240" w:lineRule="auto"/>
              <w:ind w:left="0" w:leftChars="0" w:right="0" w:rightChars="0"/>
              <w:jc w:val="center"/>
              <w:textAlignment w:val="auto"/>
              <w:rPr>
                <w:rFonts w:hint="eastAsia" w:ascii="Times New Roman" w:hAnsi="Times New Roman" w:eastAsia="宋体" w:cs="Times New Roman"/>
                <w:snapToGrid w:val="0"/>
                <w:color w:val="auto"/>
                <w:kern w:val="21"/>
                <w:sz w:val="21"/>
                <w:szCs w:val="21"/>
                <w:lang w:val="en-US" w:eastAsia="zh-CN" w:bidi="ar-SA"/>
              </w:rPr>
            </w:pPr>
            <w:r>
              <w:rPr>
                <w:rFonts w:hint="eastAsia"/>
                <w:snapToGrid w:val="0"/>
                <w:color w:val="auto"/>
                <w:kern w:val="21"/>
                <w:szCs w:val="21"/>
              </w:rPr>
              <w:t>0.00</w:t>
            </w:r>
            <w:r>
              <w:rPr>
                <w:rFonts w:hint="eastAsia"/>
                <w:snapToGrid w:val="0"/>
                <w:color w:val="auto"/>
                <w:kern w:val="21"/>
                <w:szCs w:val="21"/>
                <w:lang w:val="en-US" w:eastAsia="zh-CN"/>
              </w:rPr>
              <w:t>4</w:t>
            </w:r>
            <w:r>
              <w:rPr>
                <w:rFonts w:hint="eastAsia"/>
                <w:snapToGrid w:val="0"/>
                <w:color w:val="auto"/>
                <w:kern w:val="21"/>
                <w:szCs w:val="21"/>
              </w:rPr>
              <w:t>t/a</w:t>
            </w:r>
          </w:p>
        </w:tc>
        <w:tc>
          <w:tcPr>
            <w:tcW w:w="1761" w:type="dxa"/>
            <w:shd w:val="clear" w:color="auto" w:fill="auto"/>
            <w:noWrap w:val="0"/>
            <w:vAlign w:val="center"/>
          </w:tcPr>
          <w:p w14:paraId="7644C552">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hAnsi="Times New Roman" w:eastAsia="宋体" w:cs="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667" w:type="dxa"/>
            <w:shd w:val="clear" w:color="auto" w:fill="auto"/>
            <w:noWrap w:val="0"/>
            <w:vAlign w:val="center"/>
          </w:tcPr>
          <w:p w14:paraId="6C1BB98B">
            <w:pPr>
              <w:keepNext w:val="0"/>
              <w:keepLines w:val="0"/>
              <w:pageBreakBefore w:val="0"/>
              <w:kinsoku/>
              <w:wordWrap/>
              <w:overflowPunct/>
              <w:topLinePunct w:val="0"/>
              <w:autoSpaceDE/>
              <w:autoSpaceDN/>
              <w:bidi w:val="0"/>
              <w:spacing w:line="240" w:lineRule="auto"/>
              <w:ind w:left="0" w:leftChars="0" w:right="0" w:rightChars="0"/>
              <w:jc w:val="center"/>
              <w:textAlignment w:val="auto"/>
              <w:rPr>
                <w:rFonts w:hint="eastAsia" w:ascii="Times New Roman" w:hAnsi="Times New Roman" w:eastAsia="宋体" w:cs="Times New Roman"/>
                <w:snapToGrid w:val="0"/>
                <w:color w:val="auto"/>
                <w:kern w:val="21"/>
                <w:sz w:val="21"/>
                <w:szCs w:val="21"/>
                <w:lang w:val="en-US" w:eastAsia="zh-CN" w:bidi="ar-SA"/>
              </w:rPr>
            </w:pPr>
            <w:r>
              <w:rPr>
                <w:rFonts w:hint="eastAsia"/>
                <w:snapToGrid w:val="0"/>
                <w:color w:val="auto"/>
                <w:kern w:val="21"/>
                <w:szCs w:val="21"/>
              </w:rPr>
              <w:t>0.00</w:t>
            </w:r>
            <w:r>
              <w:rPr>
                <w:rFonts w:hint="eastAsia"/>
                <w:snapToGrid w:val="0"/>
                <w:color w:val="auto"/>
                <w:kern w:val="21"/>
                <w:szCs w:val="21"/>
                <w:lang w:val="en-US" w:eastAsia="zh-CN"/>
              </w:rPr>
              <w:t>4</w:t>
            </w:r>
            <w:r>
              <w:rPr>
                <w:rFonts w:hint="eastAsia"/>
                <w:snapToGrid w:val="0"/>
                <w:color w:val="auto"/>
                <w:kern w:val="21"/>
                <w:szCs w:val="21"/>
              </w:rPr>
              <w:t>t/a</w:t>
            </w:r>
          </w:p>
        </w:tc>
        <w:tc>
          <w:tcPr>
            <w:tcW w:w="1118" w:type="dxa"/>
            <w:shd w:val="clear" w:color="auto" w:fill="auto"/>
            <w:noWrap w:val="0"/>
            <w:vAlign w:val="center"/>
          </w:tcPr>
          <w:p w14:paraId="36FF04D4">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hAnsi="Times New Roman" w:eastAsia="宋体" w:cs="Times New Roman"/>
                <w:snapToGrid w:val="0"/>
                <w:color w:val="auto"/>
                <w:kern w:val="21"/>
                <w:sz w:val="24"/>
                <w:szCs w:val="21"/>
                <w:lang w:val="en-US" w:eastAsia="zh-CN" w:bidi="ar-SA"/>
              </w:rPr>
            </w:pPr>
            <w:r>
              <w:rPr>
                <w:rFonts w:hint="eastAsia" w:ascii="Times New Roman"/>
                <w:snapToGrid w:val="0"/>
                <w:color w:val="auto"/>
                <w:kern w:val="21"/>
                <w:szCs w:val="21"/>
              </w:rPr>
              <w:t>/</w:t>
            </w:r>
          </w:p>
        </w:tc>
      </w:tr>
      <w:tr w14:paraId="65DF80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continue"/>
            <w:noWrap w:val="0"/>
            <w:vAlign w:val="center"/>
          </w:tcPr>
          <w:p w14:paraId="39BAD07A">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p>
        </w:tc>
        <w:tc>
          <w:tcPr>
            <w:tcW w:w="1948" w:type="dxa"/>
            <w:noWrap w:val="0"/>
            <w:vAlign w:val="center"/>
          </w:tcPr>
          <w:p w14:paraId="44758BD0">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textAlignment w:val="auto"/>
              <w:rPr>
                <w:rFonts w:hint="default" w:eastAsia="宋体"/>
                <w:snapToGrid w:val="0"/>
                <w:color w:val="auto"/>
                <w:kern w:val="21"/>
                <w:szCs w:val="21"/>
                <w:lang w:val="en-US" w:eastAsia="zh-CN"/>
              </w:rPr>
            </w:pPr>
            <w:r>
              <w:rPr>
                <w:rFonts w:hint="eastAsia"/>
                <w:snapToGrid w:val="0"/>
                <w:color w:val="auto"/>
                <w:kern w:val="21"/>
                <w:szCs w:val="21"/>
                <w:lang w:val="en-US" w:eastAsia="zh-CN"/>
              </w:rPr>
              <w:t>LAS</w:t>
            </w:r>
          </w:p>
        </w:tc>
        <w:tc>
          <w:tcPr>
            <w:tcW w:w="1701" w:type="dxa"/>
            <w:shd w:val="clear" w:color="auto" w:fill="auto"/>
            <w:noWrap w:val="0"/>
            <w:vAlign w:val="center"/>
          </w:tcPr>
          <w:p w14:paraId="3249D2A8">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hAnsi="Times New Roman" w:eastAsia="宋体" w:cs="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276" w:type="dxa"/>
            <w:shd w:val="clear" w:color="auto" w:fill="auto"/>
            <w:noWrap w:val="0"/>
            <w:vAlign w:val="center"/>
          </w:tcPr>
          <w:p w14:paraId="7261AFC5">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hAnsi="Times New Roman" w:eastAsia="宋体" w:cs="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701" w:type="dxa"/>
            <w:shd w:val="clear" w:color="auto" w:fill="auto"/>
            <w:noWrap w:val="0"/>
            <w:vAlign w:val="center"/>
          </w:tcPr>
          <w:p w14:paraId="320963EA">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hAnsi="Times New Roman" w:eastAsia="宋体" w:cs="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559" w:type="dxa"/>
            <w:noWrap w:val="0"/>
            <w:vAlign w:val="center"/>
          </w:tcPr>
          <w:p w14:paraId="5AFFE26F">
            <w:pPr>
              <w:keepNext w:val="0"/>
              <w:keepLines w:val="0"/>
              <w:pageBreakBefore w:val="0"/>
              <w:kinsoku/>
              <w:wordWrap/>
              <w:overflowPunct/>
              <w:topLinePunct w:val="0"/>
              <w:autoSpaceDE/>
              <w:autoSpaceDN/>
              <w:bidi w:val="0"/>
              <w:spacing w:line="240" w:lineRule="auto"/>
              <w:ind w:left="0" w:leftChars="0" w:right="0" w:rightChars="0"/>
              <w:jc w:val="center"/>
              <w:textAlignment w:val="auto"/>
              <w:rPr>
                <w:rFonts w:hint="default" w:eastAsia="宋体"/>
                <w:snapToGrid w:val="0"/>
                <w:color w:val="auto"/>
                <w:kern w:val="21"/>
                <w:szCs w:val="21"/>
                <w:lang w:val="en-US" w:eastAsia="zh-CN"/>
              </w:rPr>
            </w:pPr>
            <w:r>
              <w:rPr>
                <w:rFonts w:hint="eastAsia"/>
                <w:snapToGrid w:val="0"/>
                <w:color w:val="auto"/>
                <w:kern w:val="21"/>
                <w:szCs w:val="21"/>
                <w:lang w:val="en-US" w:eastAsia="zh-CN"/>
              </w:rPr>
              <w:t>0.004t/a</w:t>
            </w:r>
          </w:p>
        </w:tc>
        <w:tc>
          <w:tcPr>
            <w:tcW w:w="1761" w:type="dxa"/>
            <w:shd w:val="clear" w:color="auto" w:fill="auto"/>
            <w:noWrap w:val="0"/>
            <w:vAlign w:val="center"/>
          </w:tcPr>
          <w:p w14:paraId="6A7BC585">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hAnsi="Times New Roman" w:eastAsia="宋体" w:cs="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667" w:type="dxa"/>
            <w:shd w:val="clear" w:color="auto" w:fill="auto"/>
            <w:noWrap w:val="0"/>
            <w:vAlign w:val="center"/>
          </w:tcPr>
          <w:p w14:paraId="71C9A24F">
            <w:pPr>
              <w:keepNext w:val="0"/>
              <w:keepLines w:val="0"/>
              <w:pageBreakBefore w:val="0"/>
              <w:kinsoku/>
              <w:wordWrap/>
              <w:overflowPunct/>
              <w:topLinePunct w:val="0"/>
              <w:autoSpaceDE/>
              <w:autoSpaceDN/>
              <w:bidi w:val="0"/>
              <w:spacing w:line="240" w:lineRule="auto"/>
              <w:ind w:left="0" w:leftChars="0" w:right="0" w:rightChars="0"/>
              <w:jc w:val="center"/>
              <w:textAlignment w:val="auto"/>
              <w:rPr>
                <w:rFonts w:hint="eastAsia" w:ascii="Times New Roman" w:hAnsi="Times New Roman" w:eastAsia="宋体" w:cs="Times New Roman"/>
                <w:snapToGrid w:val="0"/>
                <w:color w:val="auto"/>
                <w:kern w:val="21"/>
                <w:sz w:val="21"/>
                <w:szCs w:val="21"/>
                <w:lang w:val="en-US" w:eastAsia="zh-CN" w:bidi="ar-SA"/>
              </w:rPr>
            </w:pPr>
            <w:r>
              <w:rPr>
                <w:rFonts w:hint="eastAsia"/>
                <w:snapToGrid w:val="0"/>
                <w:color w:val="auto"/>
                <w:kern w:val="21"/>
                <w:szCs w:val="21"/>
                <w:lang w:val="en-US" w:eastAsia="zh-CN"/>
              </w:rPr>
              <w:t>0.004t/a</w:t>
            </w:r>
          </w:p>
        </w:tc>
        <w:tc>
          <w:tcPr>
            <w:tcW w:w="1118" w:type="dxa"/>
            <w:shd w:val="clear" w:color="auto" w:fill="auto"/>
            <w:noWrap w:val="0"/>
            <w:vAlign w:val="center"/>
          </w:tcPr>
          <w:p w14:paraId="2E424BA2">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hAnsi="Times New Roman" w:eastAsia="宋体" w:cs="Times New Roman"/>
                <w:snapToGrid w:val="0"/>
                <w:color w:val="auto"/>
                <w:kern w:val="21"/>
                <w:sz w:val="24"/>
                <w:szCs w:val="21"/>
                <w:lang w:val="en-US" w:eastAsia="zh-CN" w:bidi="ar-SA"/>
              </w:rPr>
            </w:pPr>
            <w:r>
              <w:rPr>
                <w:rFonts w:hint="eastAsia" w:ascii="Times New Roman"/>
                <w:snapToGrid w:val="0"/>
                <w:color w:val="auto"/>
                <w:kern w:val="21"/>
                <w:szCs w:val="21"/>
              </w:rPr>
              <w:t>/</w:t>
            </w:r>
          </w:p>
        </w:tc>
      </w:tr>
      <w:tr w14:paraId="582D4B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continue"/>
            <w:noWrap w:val="0"/>
            <w:vAlign w:val="center"/>
          </w:tcPr>
          <w:p w14:paraId="1BC4EEF2">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p>
        </w:tc>
        <w:tc>
          <w:tcPr>
            <w:tcW w:w="1948" w:type="dxa"/>
            <w:noWrap w:val="0"/>
            <w:vAlign w:val="center"/>
          </w:tcPr>
          <w:p w14:paraId="27EA21E0">
            <w:pPr>
              <w:keepNext w:val="0"/>
              <w:keepLines w:val="0"/>
              <w:pageBreakBefore w:val="0"/>
              <w:kinsoku/>
              <w:wordWrap/>
              <w:overflowPunct/>
              <w:topLinePunct w:val="0"/>
              <w:autoSpaceDE/>
              <w:autoSpaceDN/>
              <w:bidi w:val="0"/>
              <w:adjustRightInd w:val="0"/>
              <w:snapToGrid w:val="0"/>
              <w:spacing w:line="240" w:lineRule="auto"/>
              <w:ind w:left="0" w:leftChars="0" w:right="0" w:rightChars="0"/>
              <w:jc w:val="center"/>
              <w:textAlignment w:val="auto"/>
              <w:rPr>
                <w:rFonts w:hint="eastAsia" w:eastAsia="宋体"/>
                <w:snapToGrid w:val="0"/>
                <w:color w:val="auto"/>
                <w:kern w:val="21"/>
                <w:szCs w:val="21"/>
                <w:lang w:val="en-US" w:eastAsia="zh-CN"/>
              </w:rPr>
            </w:pPr>
            <w:r>
              <w:rPr>
                <w:rFonts w:hint="eastAsia"/>
                <w:snapToGrid w:val="0"/>
                <w:color w:val="auto"/>
                <w:kern w:val="21"/>
                <w:szCs w:val="21"/>
                <w:lang w:val="en-US" w:eastAsia="zh-CN"/>
              </w:rPr>
              <w:t>石油类</w:t>
            </w:r>
          </w:p>
        </w:tc>
        <w:tc>
          <w:tcPr>
            <w:tcW w:w="1701" w:type="dxa"/>
            <w:shd w:val="clear" w:color="auto" w:fill="auto"/>
            <w:noWrap w:val="0"/>
            <w:vAlign w:val="center"/>
          </w:tcPr>
          <w:p w14:paraId="168FB74C">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hAnsi="Times New Roman" w:eastAsia="宋体" w:cs="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276" w:type="dxa"/>
            <w:shd w:val="clear" w:color="auto" w:fill="auto"/>
            <w:noWrap w:val="0"/>
            <w:vAlign w:val="center"/>
          </w:tcPr>
          <w:p w14:paraId="4BC9D8BD">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hAnsi="Times New Roman" w:eastAsia="宋体" w:cs="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701" w:type="dxa"/>
            <w:shd w:val="clear" w:color="auto" w:fill="auto"/>
            <w:noWrap w:val="0"/>
            <w:vAlign w:val="center"/>
          </w:tcPr>
          <w:p w14:paraId="702BE049">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hAnsi="Times New Roman" w:eastAsia="宋体" w:cs="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559" w:type="dxa"/>
            <w:noWrap w:val="0"/>
            <w:vAlign w:val="center"/>
          </w:tcPr>
          <w:p w14:paraId="7F78EE0E">
            <w:pPr>
              <w:keepNext w:val="0"/>
              <w:keepLines w:val="0"/>
              <w:pageBreakBefore w:val="0"/>
              <w:kinsoku/>
              <w:wordWrap/>
              <w:overflowPunct/>
              <w:topLinePunct w:val="0"/>
              <w:autoSpaceDE/>
              <w:autoSpaceDN/>
              <w:bidi w:val="0"/>
              <w:spacing w:line="240" w:lineRule="auto"/>
              <w:ind w:left="0" w:leftChars="0" w:right="0" w:rightChars="0"/>
              <w:jc w:val="center"/>
              <w:textAlignment w:val="auto"/>
              <w:rPr>
                <w:rFonts w:hint="default" w:eastAsia="宋体"/>
                <w:snapToGrid w:val="0"/>
                <w:color w:val="auto"/>
                <w:kern w:val="21"/>
                <w:szCs w:val="21"/>
                <w:lang w:val="en-US" w:eastAsia="zh-CN"/>
              </w:rPr>
            </w:pPr>
            <w:r>
              <w:rPr>
                <w:rFonts w:hint="eastAsia"/>
                <w:snapToGrid w:val="0"/>
                <w:color w:val="auto"/>
                <w:kern w:val="21"/>
                <w:szCs w:val="21"/>
                <w:lang w:val="en-US" w:eastAsia="zh-CN"/>
              </w:rPr>
              <w:t>0.004t/a</w:t>
            </w:r>
          </w:p>
        </w:tc>
        <w:tc>
          <w:tcPr>
            <w:tcW w:w="1761" w:type="dxa"/>
            <w:shd w:val="clear" w:color="auto" w:fill="auto"/>
            <w:noWrap w:val="0"/>
            <w:vAlign w:val="center"/>
          </w:tcPr>
          <w:p w14:paraId="69169F61">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hAnsi="Times New Roman" w:eastAsia="宋体" w:cs="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667" w:type="dxa"/>
            <w:shd w:val="clear" w:color="auto" w:fill="auto"/>
            <w:noWrap w:val="0"/>
            <w:vAlign w:val="center"/>
          </w:tcPr>
          <w:p w14:paraId="630EF533">
            <w:pPr>
              <w:keepNext w:val="0"/>
              <w:keepLines w:val="0"/>
              <w:pageBreakBefore w:val="0"/>
              <w:kinsoku/>
              <w:wordWrap/>
              <w:overflowPunct/>
              <w:topLinePunct w:val="0"/>
              <w:autoSpaceDE/>
              <w:autoSpaceDN/>
              <w:bidi w:val="0"/>
              <w:spacing w:line="240" w:lineRule="auto"/>
              <w:ind w:left="0" w:leftChars="0" w:right="0" w:rightChars="0"/>
              <w:jc w:val="center"/>
              <w:textAlignment w:val="auto"/>
              <w:rPr>
                <w:rFonts w:hint="eastAsia" w:ascii="Times New Roman" w:hAnsi="Times New Roman" w:eastAsia="宋体" w:cs="Times New Roman"/>
                <w:snapToGrid w:val="0"/>
                <w:color w:val="auto"/>
                <w:kern w:val="21"/>
                <w:sz w:val="21"/>
                <w:szCs w:val="21"/>
                <w:lang w:val="en-US" w:eastAsia="zh-CN" w:bidi="ar-SA"/>
              </w:rPr>
            </w:pPr>
            <w:r>
              <w:rPr>
                <w:rFonts w:hint="eastAsia"/>
                <w:snapToGrid w:val="0"/>
                <w:color w:val="auto"/>
                <w:kern w:val="21"/>
                <w:szCs w:val="21"/>
                <w:lang w:val="en-US" w:eastAsia="zh-CN"/>
              </w:rPr>
              <w:t>0.004t/a</w:t>
            </w:r>
          </w:p>
        </w:tc>
        <w:tc>
          <w:tcPr>
            <w:tcW w:w="1118" w:type="dxa"/>
            <w:shd w:val="clear" w:color="auto" w:fill="auto"/>
            <w:noWrap w:val="0"/>
            <w:vAlign w:val="center"/>
          </w:tcPr>
          <w:p w14:paraId="757085A2">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hAnsi="Times New Roman" w:eastAsia="宋体" w:cs="Times New Roman"/>
                <w:snapToGrid w:val="0"/>
                <w:color w:val="auto"/>
                <w:kern w:val="21"/>
                <w:sz w:val="24"/>
                <w:szCs w:val="21"/>
                <w:lang w:val="en-US" w:eastAsia="zh-CN" w:bidi="ar-SA"/>
              </w:rPr>
            </w:pPr>
            <w:r>
              <w:rPr>
                <w:rFonts w:hint="eastAsia" w:ascii="Times New Roman"/>
                <w:snapToGrid w:val="0"/>
                <w:color w:val="auto"/>
                <w:kern w:val="21"/>
                <w:szCs w:val="21"/>
              </w:rPr>
              <w:t>/</w:t>
            </w:r>
          </w:p>
        </w:tc>
      </w:tr>
      <w:tr w14:paraId="3EE28E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restart"/>
            <w:noWrap w:val="0"/>
            <w:vAlign w:val="center"/>
          </w:tcPr>
          <w:p w14:paraId="1C61837D">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一般工业固体废物</w:t>
            </w:r>
          </w:p>
        </w:tc>
        <w:tc>
          <w:tcPr>
            <w:tcW w:w="1948" w:type="dxa"/>
            <w:noWrap w:val="0"/>
            <w:vAlign w:val="center"/>
          </w:tcPr>
          <w:p w14:paraId="23BF9279">
            <w:pPr>
              <w:jc w:val="center"/>
              <w:rPr>
                <w:rFonts w:hint="eastAsia" w:eastAsia="宋体"/>
                <w:color w:val="auto"/>
                <w:kern w:val="2"/>
                <w:sz w:val="21"/>
                <w:szCs w:val="21"/>
                <w:lang w:val="en-US" w:eastAsia="zh-CN" w:bidi="ar-SA"/>
              </w:rPr>
            </w:pPr>
            <w:r>
              <w:rPr>
                <w:rFonts w:hint="eastAsia"/>
                <w:color w:val="auto"/>
                <w:szCs w:val="21"/>
                <w:lang w:val="en-US" w:eastAsia="zh-CN"/>
              </w:rPr>
              <w:t>废零部件</w:t>
            </w:r>
          </w:p>
        </w:tc>
        <w:tc>
          <w:tcPr>
            <w:tcW w:w="1701" w:type="dxa"/>
            <w:noWrap w:val="0"/>
            <w:vAlign w:val="center"/>
          </w:tcPr>
          <w:p w14:paraId="6E0C18EC">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276" w:type="dxa"/>
            <w:noWrap w:val="0"/>
            <w:vAlign w:val="center"/>
          </w:tcPr>
          <w:p w14:paraId="09491CDB">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701" w:type="dxa"/>
            <w:noWrap w:val="0"/>
            <w:vAlign w:val="center"/>
          </w:tcPr>
          <w:p w14:paraId="46638428">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559" w:type="dxa"/>
            <w:noWrap w:val="0"/>
            <w:vAlign w:val="center"/>
          </w:tcPr>
          <w:p w14:paraId="7643B5F4">
            <w:pPr>
              <w:jc w:val="center"/>
              <w:rPr>
                <w:rFonts w:hint="eastAsia" w:eastAsia="宋体"/>
                <w:color w:val="auto"/>
                <w:kern w:val="2"/>
                <w:sz w:val="21"/>
                <w:szCs w:val="21"/>
                <w:lang w:val="en-US" w:eastAsia="zh-CN" w:bidi="ar-SA"/>
              </w:rPr>
            </w:pPr>
            <w:r>
              <w:rPr>
                <w:rFonts w:hint="eastAsia"/>
                <w:color w:val="auto"/>
                <w:szCs w:val="21"/>
                <w:lang w:val="en-US" w:eastAsia="zh-CN"/>
              </w:rPr>
              <w:t>0.1</w:t>
            </w:r>
            <w:r>
              <w:rPr>
                <w:rFonts w:hint="eastAsia"/>
                <w:snapToGrid w:val="0"/>
                <w:color w:val="auto"/>
                <w:kern w:val="21"/>
                <w:szCs w:val="21"/>
              </w:rPr>
              <w:t>t/a</w:t>
            </w:r>
          </w:p>
        </w:tc>
        <w:tc>
          <w:tcPr>
            <w:tcW w:w="1761" w:type="dxa"/>
            <w:noWrap w:val="0"/>
            <w:vAlign w:val="center"/>
          </w:tcPr>
          <w:p w14:paraId="2D7A15EF">
            <w:pPr>
              <w:keepNext w:val="0"/>
              <w:keepLines w:val="0"/>
              <w:pageBreakBefore w:val="0"/>
              <w:kinsoku/>
              <w:wordWrap/>
              <w:overflowPunct/>
              <w:topLinePunct w:val="0"/>
              <w:autoSpaceDE/>
              <w:autoSpaceDN/>
              <w:bidi w:val="0"/>
              <w:spacing w:line="240" w:lineRule="auto"/>
              <w:ind w:left="0" w:leftChars="0" w:right="0" w:rightChars="0"/>
              <w:jc w:val="center"/>
              <w:textAlignment w:val="auto"/>
              <w:rPr>
                <w:rFonts w:hint="eastAsia"/>
                <w:snapToGrid w:val="0"/>
                <w:color w:val="auto"/>
                <w:kern w:val="21"/>
                <w:sz w:val="21"/>
                <w:szCs w:val="21"/>
                <w:lang w:val="en-US" w:eastAsia="zh-CN" w:bidi="ar-SA"/>
              </w:rPr>
            </w:pPr>
            <w:r>
              <w:rPr>
                <w:rFonts w:hint="eastAsia"/>
                <w:snapToGrid w:val="0"/>
                <w:color w:val="auto"/>
                <w:kern w:val="21"/>
                <w:szCs w:val="21"/>
              </w:rPr>
              <w:t>/</w:t>
            </w:r>
          </w:p>
        </w:tc>
        <w:tc>
          <w:tcPr>
            <w:tcW w:w="1667" w:type="dxa"/>
            <w:noWrap w:val="0"/>
            <w:vAlign w:val="center"/>
          </w:tcPr>
          <w:p w14:paraId="34FE33F0">
            <w:pPr>
              <w:jc w:val="center"/>
              <w:rPr>
                <w:rFonts w:hint="eastAsia" w:eastAsia="宋体"/>
                <w:color w:val="auto"/>
                <w:kern w:val="2"/>
                <w:sz w:val="21"/>
                <w:szCs w:val="21"/>
                <w:lang w:val="en-US" w:eastAsia="zh-CN" w:bidi="ar-SA"/>
              </w:rPr>
            </w:pPr>
            <w:r>
              <w:rPr>
                <w:rFonts w:hint="eastAsia"/>
                <w:color w:val="auto"/>
                <w:szCs w:val="21"/>
                <w:lang w:val="en-US" w:eastAsia="zh-CN"/>
              </w:rPr>
              <w:t>0.1</w:t>
            </w:r>
            <w:r>
              <w:rPr>
                <w:rFonts w:hint="eastAsia"/>
                <w:snapToGrid w:val="0"/>
                <w:color w:val="auto"/>
                <w:kern w:val="21"/>
                <w:szCs w:val="21"/>
              </w:rPr>
              <w:t>t/a</w:t>
            </w:r>
          </w:p>
        </w:tc>
        <w:tc>
          <w:tcPr>
            <w:tcW w:w="1118" w:type="dxa"/>
            <w:noWrap w:val="0"/>
            <w:vAlign w:val="center"/>
          </w:tcPr>
          <w:p w14:paraId="2E3F56BA">
            <w:pPr>
              <w:keepNext w:val="0"/>
              <w:keepLines w:val="0"/>
              <w:pageBreakBefore w:val="0"/>
              <w:kinsoku/>
              <w:wordWrap/>
              <w:overflowPunct/>
              <w:topLinePunct w:val="0"/>
              <w:autoSpaceDE/>
              <w:autoSpaceDN/>
              <w:bidi w:val="0"/>
              <w:spacing w:line="240" w:lineRule="auto"/>
              <w:ind w:left="0" w:leftChars="0" w:right="0" w:rightChars="0"/>
              <w:jc w:val="center"/>
              <w:textAlignment w:val="auto"/>
              <w:rPr>
                <w:rFonts w:hint="eastAsia"/>
                <w:snapToGrid w:val="0"/>
                <w:color w:val="auto"/>
                <w:kern w:val="21"/>
                <w:sz w:val="21"/>
                <w:szCs w:val="21"/>
                <w:lang w:val="en-US" w:eastAsia="zh-CN" w:bidi="ar-SA"/>
              </w:rPr>
            </w:pPr>
            <w:r>
              <w:rPr>
                <w:rFonts w:hint="eastAsia"/>
                <w:snapToGrid w:val="0"/>
                <w:color w:val="auto"/>
                <w:kern w:val="21"/>
                <w:szCs w:val="21"/>
              </w:rPr>
              <w:t>/</w:t>
            </w:r>
          </w:p>
        </w:tc>
      </w:tr>
      <w:tr w14:paraId="0E1FA3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continue"/>
            <w:noWrap w:val="0"/>
            <w:vAlign w:val="center"/>
          </w:tcPr>
          <w:p w14:paraId="775100F4">
            <w:pPr>
              <w:jc w:val="center"/>
              <w:rPr>
                <w:rFonts w:hint="eastAsia" w:ascii="Times New Roman" w:hAnsi="Times New Roman" w:eastAsia="宋体" w:cs="Times New Roman"/>
                <w:color w:val="auto"/>
                <w:szCs w:val="21"/>
                <w:lang w:val="en-US" w:eastAsia="zh-CN"/>
              </w:rPr>
            </w:pPr>
          </w:p>
        </w:tc>
        <w:tc>
          <w:tcPr>
            <w:tcW w:w="1948" w:type="dxa"/>
            <w:noWrap w:val="0"/>
            <w:vAlign w:val="center"/>
          </w:tcPr>
          <w:p w14:paraId="3A05E318">
            <w:pPr>
              <w:jc w:val="center"/>
              <w:rPr>
                <w:rFonts w:hint="eastAsia"/>
                <w:color w:val="auto"/>
                <w:kern w:val="2"/>
                <w:sz w:val="21"/>
                <w:szCs w:val="21"/>
                <w:lang w:val="en-US" w:eastAsia="zh-CN" w:bidi="ar-SA"/>
              </w:rPr>
            </w:pPr>
            <w:r>
              <w:rPr>
                <w:rFonts w:hint="eastAsia"/>
                <w:color w:val="auto"/>
                <w:szCs w:val="21"/>
                <w:lang w:val="en-US" w:eastAsia="zh-CN"/>
              </w:rPr>
              <w:t>废轮胎</w:t>
            </w:r>
          </w:p>
        </w:tc>
        <w:tc>
          <w:tcPr>
            <w:tcW w:w="1701" w:type="dxa"/>
            <w:noWrap w:val="0"/>
            <w:vAlign w:val="center"/>
          </w:tcPr>
          <w:p w14:paraId="382BF133">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276" w:type="dxa"/>
            <w:noWrap w:val="0"/>
            <w:vAlign w:val="center"/>
          </w:tcPr>
          <w:p w14:paraId="3DA1B4ED">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701" w:type="dxa"/>
            <w:noWrap w:val="0"/>
            <w:vAlign w:val="center"/>
          </w:tcPr>
          <w:p w14:paraId="63441133">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559" w:type="dxa"/>
            <w:noWrap w:val="0"/>
            <w:vAlign w:val="center"/>
          </w:tcPr>
          <w:p w14:paraId="1ED39407">
            <w:pPr>
              <w:jc w:val="center"/>
              <w:rPr>
                <w:rFonts w:hint="eastAsia" w:eastAsia="宋体"/>
                <w:color w:val="auto"/>
                <w:kern w:val="2"/>
                <w:sz w:val="21"/>
                <w:szCs w:val="21"/>
                <w:lang w:val="en-US" w:eastAsia="zh-CN" w:bidi="ar-SA"/>
              </w:rPr>
            </w:pPr>
            <w:r>
              <w:rPr>
                <w:rFonts w:hint="eastAsia"/>
                <w:color w:val="auto"/>
                <w:szCs w:val="21"/>
                <w:lang w:val="en-US" w:eastAsia="zh-CN"/>
              </w:rPr>
              <w:t>2</w:t>
            </w:r>
            <w:r>
              <w:rPr>
                <w:rFonts w:hint="eastAsia"/>
                <w:snapToGrid w:val="0"/>
                <w:color w:val="auto"/>
                <w:kern w:val="21"/>
                <w:szCs w:val="21"/>
              </w:rPr>
              <w:t>t/a</w:t>
            </w:r>
          </w:p>
        </w:tc>
        <w:tc>
          <w:tcPr>
            <w:tcW w:w="1761" w:type="dxa"/>
            <w:noWrap w:val="0"/>
            <w:vAlign w:val="center"/>
          </w:tcPr>
          <w:p w14:paraId="7981B6C7">
            <w:pPr>
              <w:keepNext w:val="0"/>
              <w:keepLines w:val="0"/>
              <w:pageBreakBefore w:val="0"/>
              <w:kinsoku/>
              <w:wordWrap/>
              <w:overflowPunct/>
              <w:topLinePunct w:val="0"/>
              <w:autoSpaceDE/>
              <w:autoSpaceDN/>
              <w:bidi w:val="0"/>
              <w:spacing w:line="240" w:lineRule="auto"/>
              <w:ind w:left="0" w:leftChars="0" w:right="0" w:rightChars="0"/>
              <w:jc w:val="center"/>
              <w:textAlignment w:val="auto"/>
              <w:rPr>
                <w:rFonts w:hint="eastAsia"/>
                <w:snapToGrid w:val="0"/>
                <w:color w:val="auto"/>
                <w:kern w:val="21"/>
                <w:sz w:val="21"/>
                <w:szCs w:val="21"/>
                <w:lang w:val="en-US" w:eastAsia="zh-CN" w:bidi="ar-SA"/>
              </w:rPr>
            </w:pPr>
            <w:r>
              <w:rPr>
                <w:rFonts w:hint="eastAsia"/>
                <w:snapToGrid w:val="0"/>
                <w:color w:val="auto"/>
                <w:kern w:val="21"/>
                <w:szCs w:val="21"/>
              </w:rPr>
              <w:t>/</w:t>
            </w:r>
          </w:p>
        </w:tc>
        <w:tc>
          <w:tcPr>
            <w:tcW w:w="1667" w:type="dxa"/>
            <w:noWrap w:val="0"/>
            <w:vAlign w:val="center"/>
          </w:tcPr>
          <w:p w14:paraId="271FD703">
            <w:pPr>
              <w:jc w:val="center"/>
              <w:rPr>
                <w:rFonts w:hint="eastAsia" w:eastAsia="宋体"/>
                <w:color w:val="auto"/>
                <w:kern w:val="2"/>
                <w:sz w:val="21"/>
                <w:szCs w:val="21"/>
                <w:lang w:val="en-US" w:eastAsia="zh-CN" w:bidi="ar-SA"/>
              </w:rPr>
            </w:pPr>
            <w:r>
              <w:rPr>
                <w:rFonts w:hint="eastAsia"/>
                <w:color w:val="auto"/>
                <w:szCs w:val="21"/>
                <w:lang w:val="en-US" w:eastAsia="zh-CN"/>
              </w:rPr>
              <w:t>2</w:t>
            </w:r>
            <w:r>
              <w:rPr>
                <w:rFonts w:hint="eastAsia"/>
                <w:snapToGrid w:val="0"/>
                <w:color w:val="auto"/>
                <w:kern w:val="21"/>
                <w:szCs w:val="21"/>
              </w:rPr>
              <w:t>t/a</w:t>
            </w:r>
          </w:p>
        </w:tc>
        <w:tc>
          <w:tcPr>
            <w:tcW w:w="1118" w:type="dxa"/>
            <w:noWrap w:val="0"/>
            <w:vAlign w:val="center"/>
          </w:tcPr>
          <w:p w14:paraId="59D2357F">
            <w:pPr>
              <w:keepNext w:val="0"/>
              <w:keepLines w:val="0"/>
              <w:pageBreakBefore w:val="0"/>
              <w:kinsoku/>
              <w:wordWrap/>
              <w:overflowPunct/>
              <w:topLinePunct w:val="0"/>
              <w:autoSpaceDE/>
              <w:autoSpaceDN/>
              <w:bidi w:val="0"/>
              <w:spacing w:line="240" w:lineRule="auto"/>
              <w:ind w:left="0" w:leftChars="0" w:right="0" w:rightChars="0"/>
              <w:jc w:val="center"/>
              <w:textAlignment w:val="auto"/>
              <w:rPr>
                <w:rFonts w:hint="eastAsia"/>
                <w:snapToGrid w:val="0"/>
                <w:color w:val="auto"/>
                <w:kern w:val="21"/>
                <w:sz w:val="21"/>
                <w:szCs w:val="21"/>
                <w:lang w:val="en-US" w:eastAsia="zh-CN" w:bidi="ar-SA"/>
              </w:rPr>
            </w:pPr>
            <w:r>
              <w:rPr>
                <w:rFonts w:hint="eastAsia"/>
                <w:snapToGrid w:val="0"/>
                <w:color w:val="auto"/>
                <w:kern w:val="21"/>
                <w:szCs w:val="21"/>
              </w:rPr>
              <w:t>/</w:t>
            </w:r>
          </w:p>
        </w:tc>
      </w:tr>
      <w:tr w14:paraId="009C79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continue"/>
            <w:noWrap w:val="0"/>
            <w:vAlign w:val="center"/>
          </w:tcPr>
          <w:p w14:paraId="3D3938E6">
            <w:pPr>
              <w:jc w:val="center"/>
              <w:rPr>
                <w:rFonts w:hint="eastAsia" w:ascii="Times New Roman" w:hAnsi="Times New Roman" w:eastAsia="宋体" w:cs="Times New Roman"/>
                <w:color w:val="auto"/>
                <w:szCs w:val="21"/>
                <w:lang w:val="en-US" w:eastAsia="zh-CN"/>
              </w:rPr>
            </w:pPr>
          </w:p>
        </w:tc>
        <w:tc>
          <w:tcPr>
            <w:tcW w:w="1948" w:type="dxa"/>
            <w:noWrap w:val="0"/>
            <w:vAlign w:val="center"/>
          </w:tcPr>
          <w:p w14:paraId="791863B4">
            <w:pPr>
              <w:jc w:val="center"/>
              <w:rPr>
                <w:rFonts w:hint="eastAsia"/>
                <w:color w:val="auto"/>
                <w:kern w:val="2"/>
                <w:sz w:val="21"/>
                <w:szCs w:val="21"/>
                <w:lang w:val="en-US" w:eastAsia="zh-CN" w:bidi="ar-SA"/>
              </w:rPr>
            </w:pPr>
            <w:r>
              <w:rPr>
                <w:rFonts w:hint="eastAsia"/>
                <w:color w:val="auto"/>
                <w:szCs w:val="21"/>
                <w:lang w:val="en-US" w:eastAsia="zh-CN"/>
              </w:rPr>
              <w:t>废焊丝</w:t>
            </w:r>
          </w:p>
        </w:tc>
        <w:tc>
          <w:tcPr>
            <w:tcW w:w="1701" w:type="dxa"/>
            <w:noWrap w:val="0"/>
            <w:vAlign w:val="center"/>
          </w:tcPr>
          <w:p w14:paraId="7B5C40DC">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276" w:type="dxa"/>
            <w:noWrap w:val="0"/>
            <w:vAlign w:val="center"/>
          </w:tcPr>
          <w:p w14:paraId="7E9D08FA">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701" w:type="dxa"/>
            <w:noWrap w:val="0"/>
            <w:vAlign w:val="center"/>
          </w:tcPr>
          <w:p w14:paraId="4C2AC189">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559" w:type="dxa"/>
            <w:noWrap w:val="0"/>
            <w:vAlign w:val="center"/>
          </w:tcPr>
          <w:p w14:paraId="6EFE76D4">
            <w:pPr>
              <w:jc w:val="center"/>
              <w:rPr>
                <w:rFonts w:hint="eastAsia" w:eastAsia="宋体"/>
                <w:color w:val="auto"/>
                <w:kern w:val="2"/>
                <w:sz w:val="21"/>
                <w:szCs w:val="21"/>
                <w:lang w:val="en-US" w:eastAsia="zh-CN" w:bidi="ar-SA"/>
              </w:rPr>
            </w:pPr>
            <w:r>
              <w:rPr>
                <w:rFonts w:hint="eastAsia"/>
                <w:color w:val="auto"/>
                <w:szCs w:val="21"/>
                <w:lang w:val="en-US" w:eastAsia="zh-CN"/>
              </w:rPr>
              <w:t>0.00075</w:t>
            </w:r>
            <w:r>
              <w:rPr>
                <w:rFonts w:hint="eastAsia"/>
                <w:snapToGrid w:val="0"/>
                <w:color w:val="auto"/>
                <w:kern w:val="21"/>
                <w:szCs w:val="21"/>
              </w:rPr>
              <w:t>t/a</w:t>
            </w:r>
          </w:p>
        </w:tc>
        <w:tc>
          <w:tcPr>
            <w:tcW w:w="1761" w:type="dxa"/>
            <w:noWrap w:val="0"/>
            <w:vAlign w:val="center"/>
          </w:tcPr>
          <w:p w14:paraId="49CE6030">
            <w:pPr>
              <w:keepNext w:val="0"/>
              <w:keepLines w:val="0"/>
              <w:pageBreakBefore w:val="0"/>
              <w:kinsoku/>
              <w:wordWrap/>
              <w:overflowPunct/>
              <w:topLinePunct w:val="0"/>
              <w:autoSpaceDE/>
              <w:autoSpaceDN/>
              <w:bidi w:val="0"/>
              <w:spacing w:line="240" w:lineRule="auto"/>
              <w:ind w:left="0" w:leftChars="0" w:right="0" w:rightChars="0"/>
              <w:jc w:val="center"/>
              <w:textAlignment w:val="auto"/>
              <w:rPr>
                <w:rFonts w:hint="eastAsia"/>
                <w:snapToGrid w:val="0"/>
                <w:color w:val="auto"/>
                <w:kern w:val="21"/>
                <w:sz w:val="21"/>
                <w:szCs w:val="21"/>
                <w:lang w:val="en-US" w:eastAsia="zh-CN" w:bidi="ar-SA"/>
              </w:rPr>
            </w:pPr>
            <w:r>
              <w:rPr>
                <w:rFonts w:hint="eastAsia"/>
                <w:snapToGrid w:val="0"/>
                <w:color w:val="auto"/>
                <w:kern w:val="21"/>
                <w:szCs w:val="21"/>
              </w:rPr>
              <w:t>/</w:t>
            </w:r>
          </w:p>
        </w:tc>
        <w:tc>
          <w:tcPr>
            <w:tcW w:w="1667" w:type="dxa"/>
            <w:noWrap w:val="0"/>
            <w:vAlign w:val="center"/>
          </w:tcPr>
          <w:p w14:paraId="52D21D73">
            <w:pPr>
              <w:jc w:val="center"/>
              <w:rPr>
                <w:rFonts w:hint="eastAsia" w:eastAsia="宋体"/>
                <w:color w:val="auto"/>
                <w:kern w:val="2"/>
                <w:sz w:val="21"/>
                <w:szCs w:val="21"/>
                <w:lang w:val="en-US" w:eastAsia="zh-CN" w:bidi="ar-SA"/>
              </w:rPr>
            </w:pPr>
            <w:r>
              <w:rPr>
                <w:rFonts w:hint="eastAsia"/>
                <w:color w:val="auto"/>
                <w:szCs w:val="21"/>
                <w:lang w:val="en-US" w:eastAsia="zh-CN"/>
              </w:rPr>
              <w:t>0.00075</w:t>
            </w:r>
            <w:r>
              <w:rPr>
                <w:rFonts w:hint="eastAsia"/>
                <w:snapToGrid w:val="0"/>
                <w:color w:val="auto"/>
                <w:kern w:val="21"/>
                <w:szCs w:val="21"/>
              </w:rPr>
              <w:t>t/a</w:t>
            </w:r>
          </w:p>
        </w:tc>
        <w:tc>
          <w:tcPr>
            <w:tcW w:w="1118" w:type="dxa"/>
            <w:noWrap w:val="0"/>
            <w:vAlign w:val="center"/>
          </w:tcPr>
          <w:p w14:paraId="71415CE8">
            <w:pPr>
              <w:keepNext w:val="0"/>
              <w:keepLines w:val="0"/>
              <w:pageBreakBefore w:val="0"/>
              <w:kinsoku/>
              <w:wordWrap/>
              <w:overflowPunct/>
              <w:topLinePunct w:val="0"/>
              <w:autoSpaceDE/>
              <w:autoSpaceDN/>
              <w:bidi w:val="0"/>
              <w:spacing w:line="240" w:lineRule="auto"/>
              <w:ind w:left="0" w:leftChars="0" w:right="0" w:rightChars="0"/>
              <w:jc w:val="center"/>
              <w:textAlignment w:val="auto"/>
              <w:rPr>
                <w:rFonts w:hint="eastAsia"/>
                <w:snapToGrid w:val="0"/>
                <w:color w:val="auto"/>
                <w:kern w:val="21"/>
                <w:sz w:val="21"/>
                <w:szCs w:val="21"/>
                <w:lang w:val="en-US" w:eastAsia="zh-CN" w:bidi="ar-SA"/>
              </w:rPr>
            </w:pPr>
            <w:r>
              <w:rPr>
                <w:rFonts w:hint="eastAsia"/>
                <w:snapToGrid w:val="0"/>
                <w:color w:val="auto"/>
                <w:kern w:val="21"/>
                <w:szCs w:val="21"/>
              </w:rPr>
              <w:t>/</w:t>
            </w:r>
          </w:p>
        </w:tc>
      </w:tr>
      <w:tr w14:paraId="0C34FC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continue"/>
            <w:noWrap w:val="0"/>
            <w:vAlign w:val="center"/>
          </w:tcPr>
          <w:p w14:paraId="46C2BCAE">
            <w:pPr>
              <w:jc w:val="center"/>
              <w:rPr>
                <w:rFonts w:hint="eastAsia" w:ascii="Times New Roman" w:hAnsi="Times New Roman" w:eastAsia="宋体" w:cs="Times New Roman"/>
                <w:color w:val="auto"/>
                <w:szCs w:val="21"/>
                <w:lang w:val="en-US" w:eastAsia="zh-CN"/>
              </w:rPr>
            </w:pPr>
          </w:p>
        </w:tc>
        <w:tc>
          <w:tcPr>
            <w:tcW w:w="1948" w:type="dxa"/>
            <w:noWrap w:val="0"/>
            <w:vAlign w:val="center"/>
          </w:tcPr>
          <w:p w14:paraId="4915918B">
            <w:pPr>
              <w:jc w:val="center"/>
              <w:rPr>
                <w:rFonts w:hint="eastAsia" w:eastAsia="宋体"/>
                <w:color w:val="auto"/>
                <w:kern w:val="2"/>
                <w:sz w:val="21"/>
                <w:szCs w:val="21"/>
                <w:lang w:val="en-US" w:eastAsia="zh-CN" w:bidi="ar-SA"/>
              </w:rPr>
            </w:pPr>
            <w:r>
              <w:rPr>
                <w:rFonts w:hint="eastAsia"/>
                <w:color w:val="auto"/>
                <w:szCs w:val="21"/>
                <w:lang w:val="en-US" w:eastAsia="zh-CN"/>
              </w:rPr>
              <w:t>废打磨片</w:t>
            </w:r>
          </w:p>
        </w:tc>
        <w:tc>
          <w:tcPr>
            <w:tcW w:w="1701" w:type="dxa"/>
            <w:noWrap w:val="0"/>
            <w:vAlign w:val="center"/>
          </w:tcPr>
          <w:p w14:paraId="0A17A5B6">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276" w:type="dxa"/>
            <w:noWrap w:val="0"/>
            <w:vAlign w:val="center"/>
          </w:tcPr>
          <w:p w14:paraId="6446342A">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701" w:type="dxa"/>
            <w:noWrap w:val="0"/>
            <w:vAlign w:val="center"/>
          </w:tcPr>
          <w:p w14:paraId="2544769B">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559" w:type="dxa"/>
            <w:noWrap w:val="0"/>
            <w:vAlign w:val="center"/>
          </w:tcPr>
          <w:p w14:paraId="118E0B80">
            <w:pPr>
              <w:jc w:val="center"/>
              <w:rPr>
                <w:rFonts w:hint="eastAsia" w:eastAsia="宋体"/>
                <w:color w:val="auto"/>
                <w:kern w:val="2"/>
                <w:sz w:val="21"/>
                <w:szCs w:val="21"/>
                <w:lang w:val="en-US" w:eastAsia="zh-CN" w:bidi="ar-SA"/>
              </w:rPr>
            </w:pPr>
            <w:r>
              <w:rPr>
                <w:rFonts w:hint="eastAsia"/>
                <w:color w:val="auto"/>
                <w:szCs w:val="21"/>
                <w:lang w:val="en-US" w:eastAsia="zh-CN"/>
              </w:rPr>
              <w:t>0.1</w:t>
            </w:r>
            <w:r>
              <w:rPr>
                <w:rFonts w:hint="eastAsia"/>
                <w:snapToGrid w:val="0"/>
                <w:color w:val="auto"/>
                <w:kern w:val="21"/>
                <w:szCs w:val="21"/>
              </w:rPr>
              <w:t>t/a</w:t>
            </w:r>
          </w:p>
        </w:tc>
        <w:tc>
          <w:tcPr>
            <w:tcW w:w="1761" w:type="dxa"/>
            <w:noWrap w:val="0"/>
            <w:vAlign w:val="center"/>
          </w:tcPr>
          <w:p w14:paraId="70EB8BEF">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667" w:type="dxa"/>
            <w:noWrap w:val="0"/>
            <w:vAlign w:val="center"/>
          </w:tcPr>
          <w:p w14:paraId="4543E763">
            <w:pPr>
              <w:jc w:val="center"/>
              <w:rPr>
                <w:rFonts w:hint="eastAsia" w:eastAsia="宋体"/>
                <w:color w:val="auto"/>
                <w:kern w:val="2"/>
                <w:sz w:val="21"/>
                <w:szCs w:val="21"/>
                <w:lang w:val="en-US" w:eastAsia="zh-CN" w:bidi="ar-SA"/>
              </w:rPr>
            </w:pPr>
            <w:r>
              <w:rPr>
                <w:rFonts w:hint="eastAsia"/>
                <w:color w:val="auto"/>
                <w:szCs w:val="21"/>
                <w:lang w:val="en-US" w:eastAsia="zh-CN"/>
              </w:rPr>
              <w:t>0.1</w:t>
            </w:r>
            <w:r>
              <w:rPr>
                <w:rFonts w:hint="eastAsia"/>
                <w:snapToGrid w:val="0"/>
                <w:color w:val="auto"/>
                <w:kern w:val="21"/>
                <w:szCs w:val="21"/>
              </w:rPr>
              <w:t>t/a</w:t>
            </w:r>
          </w:p>
        </w:tc>
        <w:tc>
          <w:tcPr>
            <w:tcW w:w="1118" w:type="dxa"/>
            <w:noWrap w:val="0"/>
            <w:vAlign w:val="center"/>
          </w:tcPr>
          <w:p w14:paraId="6D898389">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r>
      <w:tr w14:paraId="31A772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continue"/>
            <w:noWrap w:val="0"/>
            <w:vAlign w:val="center"/>
          </w:tcPr>
          <w:p w14:paraId="3F364A21">
            <w:pPr>
              <w:jc w:val="center"/>
              <w:rPr>
                <w:rFonts w:hint="eastAsia" w:ascii="Times New Roman" w:hAnsi="Times New Roman" w:eastAsia="宋体" w:cs="Times New Roman"/>
                <w:color w:val="auto"/>
                <w:szCs w:val="21"/>
                <w:lang w:val="en-US" w:eastAsia="zh-CN"/>
              </w:rPr>
            </w:pPr>
          </w:p>
        </w:tc>
        <w:tc>
          <w:tcPr>
            <w:tcW w:w="1948" w:type="dxa"/>
            <w:noWrap w:val="0"/>
            <w:vAlign w:val="center"/>
          </w:tcPr>
          <w:p w14:paraId="6D2BDFC5">
            <w:pPr>
              <w:jc w:val="center"/>
              <w:rPr>
                <w:rFonts w:hint="default" w:eastAsia="宋体"/>
                <w:color w:val="auto"/>
                <w:kern w:val="2"/>
                <w:sz w:val="21"/>
                <w:szCs w:val="21"/>
                <w:lang w:val="en-US" w:eastAsia="zh-CN" w:bidi="ar-SA"/>
              </w:rPr>
            </w:pPr>
            <w:r>
              <w:rPr>
                <w:rFonts w:hint="eastAsia" w:eastAsia="宋体"/>
                <w:color w:val="auto"/>
                <w:kern w:val="2"/>
                <w:sz w:val="21"/>
                <w:szCs w:val="21"/>
                <w:lang w:val="en-US" w:eastAsia="zh-CN" w:bidi="ar-SA"/>
              </w:rPr>
              <w:t>废锂电池</w:t>
            </w:r>
          </w:p>
        </w:tc>
        <w:tc>
          <w:tcPr>
            <w:tcW w:w="1701" w:type="dxa"/>
            <w:noWrap w:val="0"/>
            <w:vAlign w:val="center"/>
          </w:tcPr>
          <w:p w14:paraId="389FE840">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default" w:ascii="Times New Roman"/>
                <w:snapToGrid w:val="0"/>
                <w:color w:val="auto"/>
                <w:kern w:val="21"/>
                <w:sz w:val="24"/>
                <w:szCs w:val="21"/>
                <w:lang w:val="en-US" w:eastAsia="zh-CN" w:bidi="ar-SA"/>
              </w:rPr>
            </w:pPr>
            <w:r>
              <w:rPr>
                <w:rFonts w:hint="eastAsia" w:ascii="Times New Roman"/>
                <w:snapToGrid w:val="0"/>
                <w:color w:val="auto"/>
                <w:kern w:val="21"/>
                <w:sz w:val="24"/>
                <w:szCs w:val="21"/>
                <w:lang w:val="en-US" w:eastAsia="zh-CN" w:bidi="ar-SA"/>
              </w:rPr>
              <w:t>/</w:t>
            </w:r>
          </w:p>
        </w:tc>
        <w:tc>
          <w:tcPr>
            <w:tcW w:w="1276" w:type="dxa"/>
            <w:noWrap w:val="0"/>
            <w:vAlign w:val="center"/>
          </w:tcPr>
          <w:p w14:paraId="682AF94C">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default" w:ascii="Times New Roman"/>
                <w:snapToGrid w:val="0"/>
                <w:color w:val="auto"/>
                <w:kern w:val="21"/>
                <w:sz w:val="24"/>
                <w:szCs w:val="21"/>
                <w:lang w:val="en-US" w:eastAsia="zh-CN" w:bidi="ar-SA"/>
              </w:rPr>
            </w:pPr>
            <w:r>
              <w:rPr>
                <w:rFonts w:hint="eastAsia" w:ascii="Times New Roman"/>
                <w:snapToGrid w:val="0"/>
                <w:color w:val="auto"/>
                <w:kern w:val="21"/>
                <w:sz w:val="24"/>
                <w:szCs w:val="21"/>
                <w:lang w:val="en-US" w:eastAsia="zh-CN" w:bidi="ar-SA"/>
              </w:rPr>
              <w:t>/</w:t>
            </w:r>
          </w:p>
        </w:tc>
        <w:tc>
          <w:tcPr>
            <w:tcW w:w="1701" w:type="dxa"/>
            <w:noWrap w:val="0"/>
            <w:vAlign w:val="center"/>
          </w:tcPr>
          <w:p w14:paraId="6EE194AD">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default" w:ascii="Times New Roman"/>
                <w:snapToGrid w:val="0"/>
                <w:color w:val="auto"/>
                <w:kern w:val="21"/>
                <w:sz w:val="24"/>
                <w:szCs w:val="21"/>
                <w:lang w:val="en-US" w:eastAsia="zh-CN" w:bidi="ar-SA"/>
              </w:rPr>
            </w:pPr>
            <w:r>
              <w:rPr>
                <w:rFonts w:hint="eastAsia" w:ascii="Times New Roman"/>
                <w:snapToGrid w:val="0"/>
                <w:color w:val="auto"/>
                <w:kern w:val="21"/>
                <w:sz w:val="24"/>
                <w:szCs w:val="21"/>
                <w:lang w:val="en-US" w:eastAsia="zh-CN" w:bidi="ar-SA"/>
              </w:rPr>
              <w:t>/</w:t>
            </w:r>
          </w:p>
        </w:tc>
        <w:tc>
          <w:tcPr>
            <w:tcW w:w="1559" w:type="dxa"/>
            <w:noWrap w:val="0"/>
            <w:vAlign w:val="center"/>
          </w:tcPr>
          <w:p w14:paraId="3209C680">
            <w:pPr>
              <w:jc w:val="center"/>
              <w:rPr>
                <w:rFonts w:hint="default" w:eastAsia="宋体"/>
                <w:color w:val="auto"/>
                <w:kern w:val="2"/>
                <w:sz w:val="21"/>
                <w:szCs w:val="21"/>
                <w:lang w:val="en-US" w:eastAsia="zh-CN" w:bidi="ar-SA"/>
              </w:rPr>
            </w:pPr>
            <w:r>
              <w:rPr>
                <w:rFonts w:hint="eastAsia" w:eastAsia="宋体"/>
                <w:color w:val="auto"/>
                <w:kern w:val="2"/>
                <w:sz w:val="21"/>
                <w:szCs w:val="21"/>
                <w:lang w:val="en-US" w:eastAsia="zh-CN" w:bidi="ar-SA"/>
              </w:rPr>
              <w:t>5块/年</w:t>
            </w:r>
          </w:p>
        </w:tc>
        <w:tc>
          <w:tcPr>
            <w:tcW w:w="1761" w:type="dxa"/>
            <w:noWrap w:val="0"/>
            <w:vAlign w:val="center"/>
          </w:tcPr>
          <w:p w14:paraId="01E86868">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default" w:ascii="Times New Roman"/>
                <w:snapToGrid w:val="0"/>
                <w:color w:val="auto"/>
                <w:kern w:val="21"/>
                <w:sz w:val="24"/>
                <w:szCs w:val="21"/>
                <w:lang w:val="en-US" w:eastAsia="zh-CN" w:bidi="ar-SA"/>
              </w:rPr>
            </w:pPr>
            <w:r>
              <w:rPr>
                <w:rFonts w:hint="eastAsia" w:ascii="Times New Roman"/>
                <w:snapToGrid w:val="0"/>
                <w:color w:val="auto"/>
                <w:kern w:val="21"/>
                <w:sz w:val="24"/>
                <w:szCs w:val="21"/>
                <w:lang w:val="en-US" w:eastAsia="zh-CN" w:bidi="ar-SA"/>
              </w:rPr>
              <w:t>/</w:t>
            </w:r>
          </w:p>
        </w:tc>
        <w:tc>
          <w:tcPr>
            <w:tcW w:w="1667" w:type="dxa"/>
            <w:noWrap w:val="0"/>
            <w:vAlign w:val="center"/>
          </w:tcPr>
          <w:p w14:paraId="0CEF463F">
            <w:pPr>
              <w:jc w:val="center"/>
              <w:rPr>
                <w:rFonts w:hint="eastAsia" w:eastAsia="宋体"/>
                <w:color w:val="auto"/>
                <w:kern w:val="2"/>
                <w:sz w:val="21"/>
                <w:szCs w:val="21"/>
                <w:lang w:val="en-US" w:eastAsia="zh-CN" w:bidi="ar-SA"/>
              </w:rPr>
            </w:pPr>
            <w:r>
              <w:rPr>
                <w:rFonts w:hint="eastAsia" w:eastAsia="宋体"/>
                <w:color w:val="auto"/>
                <w:kern w:val="2"/>
                <w:sz w:val="21"/>
                <w:szCs w:val="21"/>
                <w:lang w:val="en-US" w:eastAsia="zh-CN" w:bidi="ar-SA"/>
              </w:rPr>
              <w:t>5块/年</w:t>
            </w:r>
          </w:p>
        </w:tc>
        <w:tc>
          <w:tcPr>
            <w:tcW w:w="1118" w:type="dxa"/>
            <w:noWrap w:val="0"/>
            <w:vAlign w:val="center"/>
          </w:tcPr>
          <w:p w14:paraId="0E993707">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default" w:ascii="Times New Roman"/>
                <w:snapToGrid w:val="0"/>
                <w:color w:val="auto"/>
                <w:kern w:val="21"/>
                <w:sz w:val="24"/>
                <w:szCs w:val="21"/>
                <w:lang w:val="en-US" w:eastAsia="zh-CN" w:bidi="ar-SA"/>
              </w:rPr>
            </w:pPr>
            <w:r>
              <w:rPr>
                <w:rFonts w:hint="eastAsia" w:ascii="Times New Roman"/>
                <w:snapToGrid w:val="0"/>
                <w:color w:val="auto"/>
                <w:kern w:val="21"/>
                <w:sz w:val="24"/>
                <w:szCs w:val="21"/>
                <w:lang w:val="en-US" w:eastAsia="zh-CN" w:bidi="ar-SA"/>
              </w:rPr>
              <w:t>/</w:t>
            </w:r>
          </w:p>
        </w:tc>
      </w:tr>
      <w:tr w14:paraId="08CE4A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restart"/>
            <w:noWrap w:val="0"/>
            <w:vAlign w:val="center"/>
          </w:tcPr>
          <w:p w14:paraId="1D16CE4C">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危险废物</w:t>
            </w:r>
          </w:p>
        </w:tc>
        <w:tc>
          <w:tcPr>
            <w:tcW w:w="1948" w:type="dxa"/>
            <w:noWrap w:val="0"/>
            <w:vAlign w:val="center"/>
          </w:tcPr>
          <w:p w14:paraId="6476032A">
            <w:pPr>
              <w:jc w:val="center"/>
              <w:rPr>
                <w:rFonts w:hint="eastAsia" w:eastAsia="宋体"/>
                <w:color w:val="auto"/>
                <w:kern w:val="2"/>
                <w:sz w:val="21"/>
                <w:szCs w:val="21"/>
                <w:lang w:val="en-US" w:eastAsia="zh-CN" w:bidi="ar-SA"/>
              </w:rPr>
            </w:pPr>
            <w:r>
              <w:rPr>
                <w:rFonts w:hint="eastAsia"/>
                <w:color w:val="auto"/>
                <w:szCs w:val="21"/>
                <w:lang w:eastAsia="zh-CN"/>
              </w:rPr>
              <w:t>油泥</w:t>
            </w:r>
          </w:p>
        </w:tc>
        <w:tc>
          <w:tcPr>
            <w:tcW w:w="1701" w:type="dxa"/>
            <w:noWrap w:val="0"/>
            <w:vAlign w:val="center"/>
          </w:tcPr>
          <w:p w14:paraId="33CDE8AC">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276" w:type="dxa"/>
            <w:noWrap w:val="0"/>
            <w:vAlign w:val="center"/>
          </w:tcPr>
          <w:p w14:paraId="43182187">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701" w:type="dxa"/>
            <w:noWrap w:val="0"/>
            <w:vAlign w:val="center"/>
          </w:tcPr>
          <w:p w14:paraId="2F11E50A">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559" w:type="dxa"/>
            <w:noWrap w:val="0"/>
            <w:vAlign w:val="center"/>
          </w:tcPr>
          <w:p w14:paraId="41568115">
            <w:pPr>
              <w:jc w:val="center"/>
              <w:rPr>
                <w:rFonts w:hint="eastAsia"/>
                <w:color w:val="auto"/>
                <w:kern w:val="2"/>
                <w:sz w:val="21"/>
                <w:szCs w:val="21"/>
                <w:lang w:val="en-US" w:eastAsia="zh-CN" w:bidi="ar-SA"/>
              </w:rPr>
            </w:pPr>
            <w:r>
              <w:rPr>
                <w:rFonts w:hint="eastAsia"/>
                <w:color w:val="auto"/>
                <w:szCs w:val="21"/>
                <w:lang w:val="en-US" w:eastAsia="zh-CN"/>
              </w:rPr>
              <w:t>0.76</w:t>
            </w:r>
            <w:r>
              <w:rPr>
                <w:rFonts w:hint="eastAsia"/>
                <w:snapToGrid w:val="0"/>
                <w:color w:val="auto"/>
                <w:kern w:val="21"/>
                <w:szCs w:val="21"/>
              </w:rPr>
              <w:t>t/a</w:t>
            </w:r>
          </w:p>
        </w:tc>
        <w:tc>
          <w:tcPr>
            <w:tcW w:w="1761" w:type="dxa"/>
            <w:noWrap w:val="0"/>
            <w:vAlign w:val="center"/>
          </w:tcPr>
          <w:p w14:paraId="71307E22">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667" w:type="dxa"/>
            <w:noWrap w:val="0"/>
            <w:vAlign w:val="center"/>
          </w:tcPr>
          <w:p w14:paraId="107AB6BE">
            <w:pPr>
              <w:jc w:val="center"/>
              <w:rPr>
                <w:rFonts w:hint="eastAsia"/>
                <w:color w:val="auto"/>
                <w:kern w:val="2"/>
                <w:sz w:val="21"/>
                <w:szCs w:val="21"/>
                <w:lang w:val="en-US" w:eastAsia="zh-CN" w:bidi="ar-SA"/>
              </w:rPr>
            </w:pPr>
            <w:r>
              <w:rPr>
                <w:rFonts w:hint="eastAsia"/>
                <w:color w:val="auto"/>
                <w:szCs w:val="21"/>
                <w:lang w:val="en-US" w:eastAsia="zh-CN"/>
              </w:rPr>
              <w:t>0.76</w:t>
            </w:r>
            <w:r>
              <w:rPr>
                <w:rFonts w:hint="eastAsia"/>
                <w:snapToGrid w:val="0"/>
                <w:color w:val="auto"/>
                <w:kern w:val="21"/>
                <w:szCs w:val="21"/>
              </w:rPr>
              <w:t>t/a</w:t>
            </w:r>
          </w:p>
        </w:tc>
        <w:tc>
          <w:tcPr>
            <w:tcW w:w="1118" w:type="dxa"/>
            <w:noWrap w:val="0"/>
            <w:vAlign w:val="center"/>
          </w:tcPr>
          <w:p w14:paraId="6FC2673E">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r>
      <w:tr w14:paraId="462310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continue"/>
            <w:noWrap w:val="0"/>
            <w:vAlign w:val="center"/>
          </w:tcPr>
          <w:p w14:paraId="0880B6F1">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p>
        </w:tc>
        <w:tc>
          <w:tcPr>
            <w:tcW w:w="1948" w:type="dxa"/>
            <w:noWrap w:val="0"/>
            <w:vAlign w:val="center"/>
          </w:tcPr>
          <w:p w14:paraId="09F89A7A">
            <w:pPr>
              <w:jc w:val="center"/>
              <w:rPr>
                <w:rFonts w:hint="eastAsia" w:eastAsia="宋体"/>
                <w:color w:val="auto"/>
                <w:kern w:val="2"/>
                <w:sz w:val="21"/>
                <w:szCs w:val="21"/>
                <w:lang w:val="en-US" w:eastAsia="zh-CN" w:bidi="ar-SA"/>
              </w:rPr>
            </w:pPr>
            <w:r>
              <w:rPr>
                <w:rFonts w:hint="eastAsia"/>
                <w:color w:val="auto"/>
                <w:szCs w:val="21"/>
                <w:lang w:val="en-US" w:eastAsia="zh-CN"/>
              </w:rPr>
              <w:t>废原子灰渣</w:t>
            </w:r>
          </w:p>
        </w:tc>
        <w:tc>
          <w:tcPr>
            <w:tcW w:w="1701" w:type="dxa"/>
            <w:noWrap w:val="0"/>
            <w:vAlign w:val="center"/>
          </w:tcPr>
          <w:p w14:paraId="532D4C97">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276" w:type="dxa"/>
            <w:noWrap w:val="0"/>
            <w:vAlign w:val="center"/>
          </w:tcPr>
          <w:p w14:paraId="5BF66314">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701" w:type="dxa"/>
            <w:noWrap w:val="0"/>
            <w:vAlign w:val="center"/>
          </w:tcPr>
          <w:p w14:paraId="4FA046C6">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559" w:type="dxa"/>
            <w:noWrap w:val="0"/>
            <w:vAlign w:val="center"/>
          </w:tcPr>
          <w:p w14:paraId="2785EF19">
            <w:pPr>
              <w:jc w:val="center"/>
              <w:rPr>
                <w:rFonts w:hint="eastAsia"/>
                <w:color w:val="auto"/>
                <w:kern w:val="2"/>
                <w:sz w:val="21"/>
                <w:szCs w:val="21"/>
                <w:lang w:val="en-US" w:eastAsia="zh-CN" w:bidi="ar-SA"/>
              </w:rPr>
            </w:pPr>
            <w:r>
              <w:rPr>
                <w:rFonts w:hint="eastAsia"/>
                <w:color w:val="auto"/>
                <w:szCs w:val="21"/>
                <w:lang w:val="en-US" w:eastAsia="zh-CN"/>
              </w:rPr>
              <w:t>0.03</w:t>
            </w:r>
            <w:r>
              <w:rPr>
                <w:rFonts w:hint="eastAsia"/>
                <w:snapToGrid w:val="0"/>
                <w:color w:val="auto"/>
                <w:kern w:val="21"/>
                <w:szCs w:val="21"/>
              </w:rPr>
              <w:t>t/a</w:t>
            </w:r>
          </w:p>
        </w:tc>
        <w:tc>
          <w:tcPr>
            <w:tcW w:w="1761" w:type="dxa"/>
            <w:noWrap w:val="0"/>
            <w:vAlign w:val="center"/>
          </w:tcPr>
          <w:p w14:paraId="4515A447">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667" w:type="dxa"/>
            <w:noWrap w:val="0"/>
            <w:vAlign w:val="center"/>
          </w:tcPr>
          <w:p w14:paraId="0DD3EB22">
            <w:pPr>
              <w:jc w:val="center"/>
              <w:rPr>
                <w:rFonts w:hint="eastAsia"/>
                <w:color w:val="auto"/>
                <w:kern w:val="2"/>
                <w:sz w:val="21"/>
                <w:szCs w:val="21"/>
                <w:lang w:val="en-US" w:eastAsia="zh-CN" w:bidi="ar-SA"/>
              </w:rPr>
            </w:pPr>
            <w:r>
              <w:rPr>
                <w:rFonts w:hint="eastAsia"/>
                <w:color w:val="auto"/>
                <w:szCs w:val="21"/>
                <w:lang w:val="en-US" w:eastAsia="zh-CN"/>
              </w:rPr>
              <w:t>0.03</w:t>
            </w:r>
            <w:r>
              <w:rPr>
                <w:rFonts w:hint="eastAsia"/>
                <w:snapToGrid w:val="0"/>
                <w:color w:val="auto"/>
                <w:kern w:val="21"/>
                <w:szCs w:val="21"/>
              </w:rPr>
              <w:t>t/a</w:t>
            </w:r>
          </w:p>
        </w:tc>
        <w:tc>
          <w:tcPr>
            <w:tcW w:w="1118" w:type="dxa"/>
            <w:noWrap w:val="0"/>
            <w:vAlign w:val="center"/>
          </w:tcPr>
          <w:p w14:paraId="557CC5D1">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r>
      <w:tr w14:paraId="3F5845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continue"/>
            <w:noWrap w:val="0"/>
            <w:vAlign w:val="center"/>
          </w:tcPr>
          <w:p w14:paraId="7F295931">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p>
        </w:tc>
        <w:tc>
          <w:tcPr>
            <w:tcW w:w="1948" w:type="dxa"/>
            <w:noWrap w:val="0"/>
            <w:vAlign w:val="center"/>
          </w:tcPr>
          <w:p w14:paraId="172F8A86">
            <w:pPr>
              <w:jc w:val="center"/>
              <w:rPr>
                <w:rFonts w:hint="eastAsia"/>
                <w:color w:val="auto"/>
                <w:kern w:val="2"/>
                <w:sz w:val="21"/>
                <w:szCs w:val="21"/>
                <w:lang w:val="en-US" w:eastAsia="zh-CN" w:bidi="ar-SA"/>
              </w:rPr>
            </w:pPr>
            <w:r>
              <w:rPr>
                <w:rFonts w:hint="eastAsia"/>
                <w:color w:val="auto"/>
                <w:szCs w:val="21"/>
                <w:lang w:val="en-US" w:eastAsia="zh-CN"/>
              </w:rPr>
              <w:t>废遮蔽纸</w:t>
            </w:r>
          </w:p>
        </w:tc>
        <w:tc>
          <w:tcPr>
            <w:tcW w:w="1701" w:type="dxa"/>
            <w:noWrap w:val="0"/>
            <w:vAlign w:val="center"/>
          </w:tcPr>
          <w:p w14:paraId="511CD967">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276" w:type="dxa"/>
            <w:noWrap w:val="0"/>
            <w:vAlign w:val="center"/>
          </w:tcPr>
          <w:p w14:paraId="5577E9C5">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701" w:type="dxa"/>
            <w:noWrap w:val="0"/>
            <w:vAlign w:val="center"/>
          </w:tcPr>
          <w:p w14:paraId="68EA5C83">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559" w:type="dxa"/>
            <w:noWrap w:val="0"/>
            <w:vAlign w:val="center"/>
          </w:tcPr>
          <w:p w14:paraId="279988DA">
            <w:pPr>
              <w:jc w:val="center"/>
              <w:rPr>
                <w:rFonts w:hint="eastAsia"/>
                <w:color w:val="auto"/>
                <w:kern w:val="2"/>
                <w:sz w:val="21"/>
                <w:szCs w:val="21"/>
                <w:lang w:val="en-US" w:eastAsia="zh-CN" w:bidi="ar-SA"/>
              </w:rPr>
            </w:pPr>
            <w:r>
              <w:rPr>
                <w:rFonts w:hint="eastAsia"/>
                <w:color w:val="auto"/>
                <w:szCs w:val="21"/>
                <w:lang w:val="en-US" w:eastAsia="zh-CN"/>
              </w:rPr>
              <w:t>0.2</w:t>
            </w:r>
            <w:r>
              <w:rPr>
                <w:rFonts w:hint="eastAsia"/>
                <w:snapToGrid w:val="0"/>
                <w:color w:val="auto"/>
                <w:kern w:val="21"/>
                <w:szCs w:val="21"/>
              </w:rPr>
              <w:t>t/a</w:t>
            </w:r>
          </w:p>
        </w:tc>
        <w:tc>
          <w:tcPr>
            <w:tcW w:w="1761" w:type="dxa"/>
            <w:noWrap w:val="0"/>
            <w:vAlign w:val="center"/>
          </w:tcPr>
          <w:p w14:paraId="2DA9C6AF">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667" w:type="dxa"/>
            <w:noWrap w:val="0"/>
            <w:vAlign w:val="center"/>
          </w:tcPr>
          <w:p w14:paraId="6FEAC61E">
            <w:pPr>
              <w:jc w:val="center"/>
              <w:rPr>
                <w:rFonts w:hint="eastAsia"/>
                <w:color w:val="auto"/>
                <w:kern w:val="2"/>
                <w:sz w:val="21"/>
                <w:szCs w:val="21"/>
                <w:lang w:val="en-US" w:eastAsia="zh-CN" w:bidi="ar-SA"/>
              </w:rPr>
            </w:pPr>
            <w:r>
              <w:rPr>
                <w:rFonts w:hint="eastAsia"/>
                <w:color w:val="auto"/>
                <w:szCs w:val="21"/>
                <w:lang w:val="en-US" w:eastAsia="zh-CN"/>
              </w:rPr>
              <w:t>0.2</w:t>
            </w:r>
            <w:r>
              <w:rPr>
                <w:rFonts w:hint="eastAsia"/>
                <w:snapToGrid w:val="0"/>
                <w:color w:val="auto"/>
                <w:kern w:val="21"/>
                <w:szCs w:val="21"/>
              </w:rPr>
              <w:t>t/a</w:t>
            </w:r>
          </w:p>
        </w:tc>
        <w:tc>
          <w:tcPr>
            <w:tcW w:w="1118" w:type="dxa"/>
            <w:noWrap w:val="0"/>
            <w:vAlign w:val="center"/>
          </w:tcPr>
          <w:p w14:paraId="7F96D4A3">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r>
      <w:tr w14:paraId="2CB873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continue"/>
            <w:noWrap w:val="0"/>
            <w:vAlign w:val="center"/>
          </w:tcPr>
          <w:p w14:paraId="56017E39">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p>
        </w:tc>
        <w:tc>
          <w:tcPr>
            <w:tcW w:w="1948" w:type="dxa"/>
            <w:noWrap w:val="0"/>
            <w:vAlign w:val="center"/>
          </w:tcPr>
          <w:p w14:paraId="4B457F41">
            <w:pPr>
              <w:jc w:val="center"/>
              <w:rPr>
                <w:rFonts w:hint="eastAsia"/>
                <w:color w:val="auto"/>
                <w:kern w:val="2"/>
                <w:sz w:val="21"/>
                <w:szCs w:val="21"/>
                <w:lang w:val="en-US" w:eastAsia="zh-CN" w:bidi="ar-SA"/>
              </w:rPr>
            </w:pPr>
            <w:r>
              <w:rPr>
                <w:rFonts w:hint="eastAsia"/>
                <w:color w:val="auto"/>
                <w:szCs w:val="21"/>
                <w:lang w:val="en-US" w:eastAsia="zh-CN"/>
              </w:rPr>
              <w:t>废铅酸电池</w:t>
            </w:r>
          </w:p>
        </w:tc>
        <w:tc>
          <w:tcPr>
            <w:tcW w:w="1701" w:type="dxa"/>
            <w:noWrap w:val="0"/>
            <w:vAlign w:val="center"/>
          </w:tcPr>
          <w:p w14:paraId="73A28612">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276" w:type="dxa"/>
            <w:noWrap w:val="0"/>
            <w:vAlign w:val="center"/>
          </w:tcPr>
          <w:p w14:paraId="24E0B80E">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701" w:type="dxa"/>
            <w:noWrap w:val="0"/>
            <w:vAlign w:val="center"/>
          </w:tcPr>
          <w:p w14:paraId="704AFB39">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559" w:type="dxa"/>
            <w:noWrap w:val="0"/>
            <w:vAlign w:val="center"/>
          </w:tcPr>
          <w:p w14:paraId="2F9E735B">
            <w:pPr>
              <w:jc w:val="center"/>
              <w:rPr>
                <w:rFonts w:hint="default"/>
                <w:color w:val="auto"/>
                <w:kern w:val="2"/>
                <w:sz w:val="21"/>
                <w:szCs w:val="21"/>
                <w:lang w:val="en-US" w:eastAsia="zh-CN" w:bidi="ar-SA"/>
              </w:rPr>
            </w:pPr>
            <w:r>
              <w:rPr>
                <w:rFonts w:hint="eastAsia"/>
                <w:color w:val="auto"/>
                <w:szCs w:val="21"/>
                <w:lang w:val="en-US" w:eastAsia="zh-CN"/>
              </w:rPr>
              <w:t>10块/年</w:t>
            </w:r>
          </w:p>
        </w:tc>
        <w:tc>
          <w:tcPr>
            <w:tcW w:w="1761" w:type="dxa"/>
            <w:noWrap w:val="0"/>
            <w:vAlign w:val="center"/>
          </w:tcPr>
          <w:p w14:paraId="440FA89C">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667" w:type="dxa"/>
            <w:noWrap w:val="0"/>
            <w:vAlign w:val="center"/>
          </w:tcPr>
          <w:p w14:paraId="2B2282D2">
            <w:pPr>
              <w:jc w:val="center"/>
              <w:rPr>
                <w:rFonts w:hint="default"/>
                <w:color w:val="auto"/>
                <w:kern w:val="2"/>
                <w:sz w:val="21"/>
                <w:szCs w:val="21"/>
                <w:lang w:val="en-US" w:eastAsia="zh-CN" w:bidi="ar-SA"/>
              </w:rPr>
            </w:pPr>
            <w:r>
              <w:rPr>
                <w:rFonts w:hint="eastAsia"/>
                <w:color w:val="auto"/>
                <w:szCs w:val="21"/>
                <w:lang w:val="en-US" w:eastAsia="zh-CN"/>
              </w:rPr>
              <w:t>10块/年</w:t>
            </w:r>
          </w:p>
        </w:tc>
        <w:tc>
          <w:tcPr>
            <w:tcW w:w="1118" w:type="dxa"/>
            <w:noWrap w:val="0"/>
            <w:vAlign w:val="center"/>
          </w:tcPr>
          <w:p w14:paraId="4DF928BA">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r>
      <w:tr w14:paraId="08CFCE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continue"/>
            <w:noWrap w:val="0"/>
            <w:vAlign w:val="center"/>
          </w:tcPr>
          <w:p w14:paraId="621D85D2">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p>
        </w:tc>
        <w:tc>
          <w:tcPr>
            <w:tcW w:w="1948" w:type="dxa"/>
            <w:noWrap w:val="0"/>
            <w:vAlign w:val="center"/>
          </w:tcPr>
          <w:p w14:paraId="722CBEB7">
            <w:pPr>
              <w:jc w:val="center"/>
              <w:rPr>
                <w:rFonts w:hint="eastAsia"/>
                <w:color w:val="auto"/>
                <w:kern w:val="2"/>
                <w:sz w:val="21"/>
                <w:szCs w:val="21"/>
                <w:lang w:val="en-US" w:eastAsia="zh-CN" w:bidi="ar-SA"/>
              </w:rPr>
            </w:pPr>
            <w:r>
              <w:rPr>
                <w:rFonts w:hint="eastAsia"/>
                <w:color w:val="auto"/>
                <w:szCs w:val="21"/>
              </w:rPr>
              <w:t>废活性炭</w:t>
            </w:r>
          </w:p>
        </w:tc>
        <w:tc>
          <w:tcPr>
            <w:tcW w:w="1701" w:type="dxa"/>
            <w:noWrap w:val="0"/>
            <w:vAlign w:val="center"/>
          </w:tcPr>
          <w:p w14:paraId="4DA73E3C">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276" w:type="dxa"/>
            <w:noWrap w:val="0"/>
            <w:vAlign w:val="center"/>
          </w:tcPr>
          <w:p w14:paraId="791785E3">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701" w:type="dxa"/>
            <w:noWrap w:val="0"/>
            <w:vAlign w:val="center"/>
          </w:tcPr>
          <w:p w14:paraId="6B2C855C">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559" w:type="dxa"/>
            <w:noWrap w:val="0"/>
            <w:vAlign w:val="center"/>
          </w:tcPr>
          <w:p w14:paraId="04DBF07F">
            <w:pPr>
              <w:jc w:val="center"/>
              <w:rPr>
                <w:rFonts w:hint="eastAsia" w:eastAsia="宋体"/>
                <w:color w:val="auto"/>
                <w:kern w:val="2"/>
                <w:sz w:val="21"/>
                <w:szCs w:val="21"/>
                <w:lang w:val="en-US" w:eastAsia="zh-CN" w:bidi="ar-SA"/>
              </w:rPr>
            </w:pPr>
            <w:r>
              <w:rPr>
                <w:rFonts w:hint="eastAsia"/>
                <w:color w:val="auto"/>
                <w:szCs w:val="21"/>
                <w:lang w:eastAsia="zh-CN"/>
              </w:rPr>
              <w:t>11.772</w:t>
            </w:r>
            <w:r>
              <w:rPr>
                <w:rFonts w:hint="eastAsia"/>
                <w:snapToGrid w:val="0"/>
                <w:color w:val="auto"/>
                <w:kern w:val="21"/>
                <w:szCs w:val="21"/>
              </w:rPr>
              <w:t>t/a</w:t>
            </w:r>
          </w:p>
        </w:tc>
        <w:tc>
          <w:tcPr>
            <w:tcW w:w="1761" w:type="dxa"/>
            <w:noWrap w:val="0"/>
            <w:vAlign w:val="center"/>
          </w:tcPr>
          <w:p w14:paraId="568696CA">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667" w:type="dxa"/>
            <w:noWrap w:val="0"/>
            <w:vAlign w:val="center"/>
          </w:tcPr>
          <w:p w14:paraId="3A190366">
            <w:pPr>
              <w:jc w:val="center"/>
              <w:rPr>
                <w:rFonts w:hint="eastAsia" w:eastAsia="宋体"/>
                <w:color w:val="auto"/>
                <w:kern w:val="2"/>
                <w:sz w:val="21"/>
                <w:szCs w:val="21"/>
                <w:lang w:val="en-US" w:eastAsia="zh-CN" w:bidi="ar-SA"/>
              </w:rPr>
            </w:pPr>
            <w:r>
              <w:rPr>
                <w:rFonts w:hint="eastAsia"/>
                <w:color w:val="auto"/>
                <w:szCs w:val="21"/>
                <w:lang w:eastAsia="zh-CN"/>
              </w:rPr>
              <w:t>11.772</w:t>
            </w:r>
            <w:r>
              <w:rPr>
                <w:rFonts w:hint="eastAsia"/>
                <w:snapToGrid w:val="0"/>
                <w:color w:val="auto"/>
                <w:kern w:val="21"/>
                <w:szCs w:val="21"/>
              </w:rPr>
              <w:t>t/a</w:t>
            </w:r>
          </w:p>
        </w:tc>
        <w:tc>
          <w:tcPr>
            <w:tcW w:w="1118" w:type="dxa"/>
            <w:noWrap w:val="0"/>
            <w:vAlign w:val="center"/>
          </w:tcPr>
          <w:p w14:paraId="31B08F9F">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r>
      <w:tr w14:paraId="083602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continue"/>
            <w:noWrap w:val="0"/>
            <w:vAlign w:val="center"/>
          </w:tcPr>
          <w:p w14:paraId="54951BF5">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p>
        </w:tc>
        <w:tc>
          <w:tcPr>
            <w:tcW w:w="1948" w:type="dxa"/>
            <w:noWrap w:val="0"/>
            <w:vAlign w:val="center"/>
          </w:tcPr>
          <w:p w14:paraId="67095144">
            <w:pPr>
              <w:jc w:val="center"/>
              <w:rPr>
                <w:rFonts w:hint="eastAsia"/>
                <w:color w:val="auto"/>
                <w:kern w:val="2"/>
                <w:sz w:val="21"/>
                <w:szCs w:val="21"/>
                <w:lang w:val="en-US" w:eastAsia="zh-CN" w:bidi="ar-SA"/>
              </w:rPr>
            </w:pPr>
            <w:r>
              <w:rPr>
                <w:rFonts w:hint="eastAsia"/>
                <w:color w:val="auto"/>
                <w:szCs w:val="21"/>
              </w:rPr>
              <w:t>废过滤棉</w:t>
            </w:r>
          </w:p>
        </w:tc>
        <w:tc>
          <w:tcPr>
            <w:tcW w:w="1701" w:type="dxa"/>
            <w:noWrap w:val="0"/>
            <w:vAlign w:val="center"/>
          </w:tcPr>
          <w:p w14:paraId="559159C3">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276" w:type="dxa"/>
            <w:noWrap w:val="0"/>
            <w:vAlign w:val="center"/>
          </w:tcPr>
          <w:p w14:paraId="38B7A0A8">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701" w:type="dxa"/>
            <w:noWrap w:val="0"/>
            <w:vAlign w:val="center"/>
          </w:tcPr>
          <w:p w14:paraId="032F4967">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559" w:type="dxa"/>
            <w:noWrap w:val="0"/>
            <w:vAlign w:val="center"/>
          </w:tcPr>
          <w:p w14:paraId="41B195BE">
            <w:pPr>
              <w:jc w:val="center"/>
              <w:rPr>
                <w:rFonts w:hint="eastAsia"/>
                <w:color w:val="auto"/>
                <w:kern w:val="2"/>
                <w:sz w:val="21"/>
                <w:szCs w:val="21"/>
                <w:lang w:val="en-US" w:eastAsia="zh-CN" w:bidi="ar-SA"/>
              </w:rPr>
            </w:pPr>
            <w:r>
              <w:rPr>
                <w:rFonts w:hint="eastAsia"/>
                <w:color w:val="auto"/>
                <w:szCs w:val="21"/>
                <w:lang w:eastAsia="zh-CN"/>
              </w:rPr>
              <w:t>1.88</w:t>
            </w:r>
            <w:r>
              <w:rPr>
                <w:rFonts w:hint="eastAsia"/>
                <w:snapToGrid w:val="0"/>
                <w:color w:val="auto"/>
                <w:kern w:val="21"/>
                <w:szCs w:val="21"/>
              </w:rPr>
              <w:t>t/a</w:t>
            </w:r>
          </w:p>
        </w:tc>
        <w:tc>
          <w:tcPr>
            <w:tcW w:w="1761" w:type="dxa"/>
            <w:noWrap w:val="0"/>
            <w:vAlign w:val="center"/>
          </w:tcPr>
          <w:p w14:paraId="49465576">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667" w:type="dxa"/>
            <w:noWrap w:val="0"/>
            <w:vAlign w:val="center"/>
          </w:tcPr>
          <w:p w14:paraId="4B890415">
            <w:pPr>
              <w:jc w:val="center"/>
              <w:rPr>
                <w:rFonts w:hint="eastAsia"/>
                <w:color w:val="auto"/>
                <w:kern w:val="2"/>
                <w:sz w:val="21"/>
                <w:szCs w:val="21"/>
                <w:lang w:val="en-US" w:eastAsia="zh-CN" w:bidi="ar-SA"/>
              </w:rPr>
            </w:pPr>
            <w:r>
              <w:rPr>
                <w:rFonts w:hint="eastAsia"/>
                <w:color w:val="auto"/>
                <w:szCs w:val="21"/>
                <w:lang w:eastAsia="zh-CN"/>
              </w:rPr>
              <w:t>1.88</w:t>
            </w:r>
            <w:r>
              <w:rPr>
                <w:rFonts w:hint="eastAsia"/>
                <w:snapToGrid w:val="0"/>
                <w:color w:val="auto"/>
                <w:kern w:val="21"/>
                <w:szCs w:val="21"/>
              </w:rPr>
              <w:t>t/a</w:t>
            </w:r>
          </w:p>
        </w:tc>
        <w:tc>
          <w:tcPr>
            <w:tcW w:w="1118" w:type="dxa"/>
            <w:noWrap w:val="0"/>
            <w:vAlign w:val="center"/>
          </w:tcPr>
          <w:p w14:paraId="07898DAD">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r>
      <w:tr w14:paraId="54D6FB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continue"/>
            <w:noWrap w:val="0"/>
            <w:vAlign w:val="center"/>
          </w:tcPr>
          <w:p w14:paraId="0D8F7B47">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p>
        </w:tc>
        <w:tc>
          <w:tcPr>
            <w:tcW w:w="1948" w:type="dxa"/>
            <w:noWrap w:val="0"/>
            <w:vAlign w:val="center"/>
          </w:tcPr>
          <w:p w14:paraId="2BB11974">
            <w:pPr>
              <w:jc w:val="center"/>
              <w:rPr>
                <w:rFonts w:hint="eastAsia"/>
                <w:color w:val="auto"/>
                <w:kern w:val="2"/>
                <w:sz w:val="21"/>
                <w:szCs w:val="21"/>
                <w:lang w:val="en-US" w:eastAsia="zh-CN" w:bidi="ar-SA"/>
              </w:rPr>
            </w:pPr>
            <w:r>
              <w:rPr>
                <w:rFonts w:hint="eastAsia"/>
                <w:color w:val="auto"/>
                <w:szCs w:val="21"/>
                <w:lang w:val="en-US" w:eastAsia="zh-CN"/>
              </w:rPr>
              <w:t>废油漆桶</w:t>
            </w:r>
          </w:p>
        </w:tc>
        <w:tc>
          <w:tcPr>
            <w:tcW w:w="1701" w:type="dxa"/>
            <w:noWrap w:val="0"/>
            <w:vAlign w:val="center"/>
          </w:tcPr>
          <w:p w14:paraId="66053C4A">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276" w:type="dxa"/>
            <w:noWrap w:val="0"/>
            <w:vAlign w:val="center"/>
          </w:tcPr>
          <w:p w14:paraId="4CC37EA0">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701" w:type="dxa"/>
            <w:noWrap w:val="0"/>
            <w:vAlign w:val="center"/>
          </w:tcPr>
          <w:p w14:paraId="582FFEE1">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559" w:type="dxa"/>
            <w:noWrap w:val="0"/>
            <w:vAlign w:val="center"/>
          </w:tcPr>
          <w:p w14:paraId="78CCF753">
            <w:pPr>
              <w:jc w:val="center"/>
              <w:rPr>
                <w:rFonts w:hint="eastAsia"/>
                <w:color w:val="auto"/>
                <w:kern w:val="2"/>
                <w:sz w:val="21"/>
                <w:szCs w:val="21"/>
                <w:lang w:val="en-US" w:eastAsia="zh-CN" w:bidi="ar-SA"/>
              </w:rPr>
            </w:pPr>
            <w:r>
              <w:rPr>
                <w:rFonts w:hint="eastAsia"/>
                <w:color w:val="auto"/>
                <w:szCs w:val="21"/>
                <w:lang w:val="en-US" w:eastAsia="zh-CN"/>
              </w:rPr>
              <w:t>0.3</w:t>
            </w:r>
            <w:r>
              <w:rPr>
                <w:rFonts w:hint="eastAsia"/>
                <w:snapToGrid w:val="0"/>
                <w:color w:val="auto"/>
                <w:kern w:val="21"/>
                <w:szCs w:val="21"/>
              </w:rPr>
              <w:t>t/a</w:t>
            </w:r>
          </w:p>
        </w:tc>
        <w:tc>
          <w:tcPr>
            <w:tcW w:w="1761" w:type="dxa"/>
            <w:noWrap w:val="0"/>
            <w:vAlign w:val="center"/>
          </w:tcPr>
          <w:p w14:paraId="66AACE3D">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667" w:type="dxa"/>
            <w:noWrap w:val="0"/>
            <w:vAlign w:val="center"/>
          </w:tcPr>
          <w:p w14:paraId="40C1E3C9">
            <w:pPr>
              <w:jc w:val="center"/>
              <w:rPr>
                <w:rFonts w:hint="eastAsia"/>
                <w:color w:val="auto"/>
                <w:kern w:val="2"/>
                <w:sz w:val="21"/>
                <w:szCs w:val="21"/>
                <w:lang w:val="en-US" w:eastAsia="zh-CN" w:bidi="ar-SA"/>
              </w:rPr>
            </w:pPr>
            <w:r>
              <w:rPr>
                <w:rFonts w:hint="eastAsia"/>
                <w:color w:val="auto"/>
                <w:szCs w:val="21"/>
                <w:lang w:val="en-US" w:eastAsia="zh-CN"/>
              </w:rPr>
              <w:t>0.3</w:t>
            </w:r>
            <w:r>
              <w:rPr>
                <w:rFonts w:hint="eastAsia"/>
                <w:snapToGrid w:val="0"/>
                <w:color w:val="auto"/>
                <w:kern w:val="21"/>
                <w:szCs w:val="21"/>
              </w:rPr>
              <w:t>t/a</w:t>
            </w:r>
          </w:p>
        </w:tc>
        <w:tc>
          <w:tcPr>
            <w:tcW w:w="1118" w:type="dxa"/>
            <w:noWrap w:val="0"/>
            <w:vAlign w:val="center"/>
          </w:tcPr>
          <w:p w14:paraId="42D4638A">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r>
      <w:tr w14:paraId="7F06E5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continue"/>
            <w:noWrap w:val="0"/>
            <w:vAlign w:val="center"/>
          </w:tcPr>
          <w:p w14:paraId="078290F5">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p>
        </w:tc>
        <w:tc>
          <w:tcPr>
            <w:tcW w:w="1948" w:type="dxa"/>
            <w:noWrap w:val="0"/>
            <w:vAlign w:val="center"/>
          </w:tcPr>
          <w:p w14:paraId="34873870">
            <w:pPr>
              <w:jc w:val="center"/>
              <w:rPr>
                <w:rFonts w:hint="eastAsia" w:eastAsia="宋体"/>
                <w:color w:val="auto"/>
                <w:kern w:val="2"/>
                <w:sz w:val="21"/>
                <w:szCs w:val="21"/>
                <w:lang w:val="en-US" w:eastAsia="zh-CN" w:bidi="ar-SA"/>
              </w:rPr>
            </w:pPr>
            <w:r>
              <w:rPr>
                <w:rFonts w:hint="eastAsia"/>
                <w:color w:val="auto"/>
                <w:szCs w:val="21"/>
              </w:rPr>
              <w:t>废抹布</w:t>
            </w:r>
          </w:p>
        </w:tc>
        <w:tc>
          <w:tcPr>
            <w:tcW w:w="1701" w:type="dxa"/>
            <w:noWrap w:val="0"/>
            <w:vAlign w:val="center"/>
          </w:tcPr>
          <w:p w14:paraId="19975EB5">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276" w:type="dxa"/>
            <w:noWrap w:val="0"/>
            <w:vAlign w:val="center"/>
          </w:tcPr>
          <w:p w14:paraId="67544557">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701" w:type="dxa"/>
            <w:noWrap w:val="0"/>
            <w:vAlign w:val="center"/>
          </w:tcPr>
          <w:p w14:paraId="5433E429">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559" w:type="dxa"/>
            <w:noWrap w:val="0"/>
            <w:vAlign w:val="center"/>
          </w:tcPr>
          <w:p w14:paraId="098AC354">
            <w:pPr>
              <w:jc w:val="center"/>
              <w:rPr>
                <w:rFonts w:hint="eastAsia" w:eastAsia="宋体"/>
                <w:color w:val="auto"/>
                <w:kern w:val="2"/>
                <w:sz w:val="21"/>
                <w:szCs w:val="21"/>
                <w:lang w:val="en-US" w:eastAsia="zh-CN" w:bidi="ar-SA"/>
              </w:rPr>
            </w:pPr>
            <w:r>
              <w:rPr>
                <w:rFonts w:hint="eastAsia"/>
                <w:color w:val="auto"/>
                <w:szCs w:val="21"/>
                <w:lang w:val="en-US" w:eastAsia="zh-CN"/>
              </w:rPr>
              <w:t>0.3</w:t>
            </w:r>
            <w:r>
              <w:rPr>
                <w:rFonts w:hint="eastAsia"/>
                <w:snapToGrid w:val="0"/>
                <w:color w:val="auto"/>
                <w:kern w:val="21"/>
                <w:szCs w:val="21"/>
              </w:rPr>
              <w:t>t/a</w:t>
            </w:r>
          </w:p>
        </w:tc>
        <w:tc>
          <w:tcPr>
            <w:tcW w:w="1761" w:type="dxa"/>
            <w:noWrap w:val="0"/>
            <w:vAlign w:val="center"/>
          </w:tcPr>
          <w:p w14:paraId="034AF556">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667" w:type="dxa"/>
            <w:noWrap w:val="0"/>
            <w:vAlign w:val="center"/>
          </w:tcPr>
          <w:p w14:paraId="5946369F">
            <w:pPr>
              <w:jc w:val="center"/>
              <w:rPr>
                <w:rFonts w:hint="eastAsia" w:eastAsia="宋体"/>
                <w:color w:val="auto"/>
                <w:kern w:val="2"/>
                <w:sz w:val="21"/>
                <w:szCs w:val="21"/>
                <w:lang w:val="en-US" w:eastAsia="zh-CN" w:bidi="ar-SA"/>
              </w:rPr>
            </w:pPr>
            <w:r>
              <w:rPr>
                <w:rFonts w:hint="eastAsia"/>
                <w:color w:val="auto"/>
                <w:szCs w:val="21"/>
                <w:lang w:val="en-US" w:eastAsia="zh-CN"/>
              </w:rPr>
              <w:t>0.3</w:t>
            </w:r>
            <w:r>
              <w:rPr>
                <w:rFonts w:hint="eastAsia"/>
                <w:snapToGrid w:val="0"/>
                <w:color w:val="auto"/>
                <w:kern w:val="21"/>
                <w:szCs w:val="21"/>
              </w:rPr>
              <w:t>t/a</w:t>
            </w:r>
          </w:p>
        </w:tc>
        <w:tc>
          <w:tcPr>
            <w:tcW w:w="1118" w:type="dxa"/>
            <w:noWrap w:val="0"/>
            <w:vAlign w:val="center"/>
          </w:tcPr>
          <w:p w14:paraId="205C4045">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r>
      <w:tr w14:paraId="3A66B6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continue"/>
            <w:noWrap w:val="0"/>
            <w:vAlign w:val="center"/>
          </w:tcPr>
          <w:p w14:paraId="4A4E3B36">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p>
        </w:tc>
        <w:tc>
          <w:tcPr>
            <w:tcW w:w="1948" w:type="dxa"/>
            <w:noWrap w:val="0"/>
            <w:vAlign w:val="center"/>
          </w:tcPr>
          <w:p w14:paraId="5CF9A599">
            <w:pPr>
              <w:jc w:val="center"/>
              <w:rPr>
                <w:rFonts w:hint="eastAsia"/>
                <w:color w:val="auto"/>
                <w:kern w:val="2"/>
                <w:sz w:val="21"/>
                <w:szCs w:val="21"/>
                <w:lang w:val="en-US" w:eastAsia="zh-CN" w:bidi="ar-SA"/>
              </w:rPr>
            </w:pPr>
            <w:r>
              <w:rPr>
                <w:rFonts w:hint="eastAsia"/>
                <w:color w:val="auto"/>
                <w:szCs w:val="21"/>
                <w:lang w:val="en-US" w:eastAsia="zh-CN"/>
              </w:rPr>
              <w:t>废防冻液</w:t>
            </w:r>
          </w:p>
        </w:tc>
        <w:tc>
          <w:tcPr>
            <w:tcW w:w="1701" w:type="dxa"/>
            <w:noWrap w:val="0"/>
            <w:vAlign w:val="center"/>
          </w:tcPr>
          <w:p w14:paraId="1129BDC0">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276" w:type="dxa"/>
            <w:noWrap w:val="0"/>
            <w:vAlign w:val="center"/>
          </w:tcPr>
          <w:p w14:paraId="3A7E7B15">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701" w:type="dxa"/>
            <w:noWrap w:val="0"/>
            <w:vAlign w:val="center"/>
          </w:tcPr>
          <w:p w14:paraId="535AD73E">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559" w:type="dxa"/>
            <w:noWrap w:val="0"/>
            <w:vAlign w:val="center"/>
          </w:tcPr>
          <w:p w14:paraId="278F0D6D">
            <w:pPr>
              <w:jc w:val="center"/>
              <w:rPr>
                <w:rFonts w:hint="eastAsia"/>
                <w:color w:val="auto"/>
                <w:kern w:val="2"/>
                <w:sz w:val="21"/>
                <w:szCs w:val="21"/>
                <w:lang w:val="en-US" w:eastAsia="zh-CN" w:bidi="ar-SA"/>
              </w:rPr>
            </w:pPr>
            <w:r>
              <w:rPr>
                <w:rFonts w:hint="eastAsia"/>
                <w:color w:val="auto"/>
                <w:szCs w:val="21"/>
                <w:lang w:val="en-US" w:eastAsia="zh-CN"/>
              </w:rPr>
              <w:t>0.4</w:t>
            </w:r>
            <w:r>
              <w:rPr>
                <w:rFonts w:hint="eastAsia"/>
                <w:snapToGrid w:val="0"/>
                <w:color w:val="auto"/>
                <w:kern w:val="21"/>
                <w:szCs w:val="21"/>
              </w:rPr>
              <w:t>t/a</w:t>
            </w:r>
          </w:p>
        </w:tc>
        <w:tc>
          <w:tcPr>
            <w:tcW w:w="1761" w:type="dxa"/>
            <w:noWrap w:val="0"/>
            <w:vAlign w:val="center"/>
          </w:tcPr>
          <w:p w14:paraId="3A6A0275">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667" w:type="dxa"/>
            <w:noWrap w:val="0"/>
            <w:vAlign w:val="center"/>
          </w:tcPr>
          <w:p w14:paraId="535ABD18">
            <w:pPr>
              <w:jc w:val="center"/>
              <w:rPr>
                <w:rFonts w:hint="eastAsia"/>
                <w:color w:val="auto"/>
                <w:kern w:val="2"/>
                <w:sz w:val="21"/>
                <w:szCs w:val="21"/>
                <w:lang w:val="en-US" w:eastAsia="zh-CN" w:bidi="ar-SA"/>
              </w:rPr>
            </w:pPr>
            <w:r>
              <w:rPr>
                <w:rFonts w:hint="eastAsia"/>
                <w:color w:val="auto"/>
                <w:szCs w:val="21"/>
                <w:lang w:val="en-US" w:eastAsia="zh-CN"/>
              </w:rPr>
              <w:t>0.4</w:t>
            </w:r>
            <w:r>
              <w:rPr>
                <w:rFonts w:hint="eastAsia"/>
                <w:snapToGrid w:val="0"/>
                <w:color w:val="auto"/>
                <w:kern w:val="21"/>
                <w:szCs w:val="21"/>
              </w:rPr>
              <w:t>t/a</w:t>
            </w:r>
          </w:p>
        </w:tc>
        <w:tc>
          <w:tcPr>
            <w:tcW w:w="1118" w:type="dxa"/>
            <w:noWrap w:val="0"/>
            <w:vAlign w:val="center"/>
          </w:tcPr>
          <w:p w14:paraId="34226AE7">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r>
      <w:tr w14:paraId="02A44A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continue"/>
            <w:noWrap w:val="0"/>
            <w:vAlign w:val="center"/>
          </w:tcPr>
          <w:p w14:paraId="45207140">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p>
        </w:tc>
        <w:tc>
          <w:tcPr>
            <w:tcW w:w="1948" w:type="dxa"/>
            <w:noWrap w:val="0"/>
            <w:vAlign w:val="center"/>
          </w:tcPr>
          <w:p w14:paraId="05525581">
            <w:pPr>
              <w:jc w:val="center"/>
              <w:rPr>
                <w:rFonts w:hint="eastAsia" w:eastAsia="宋体"/>
                <w:color w:val="auto"/>
                <w:kern w:val="2"/>
                <w:sz w:val="21"/>
                <w:szCs w:val="21"/>
                <w:lang w:val="en-US" w:eastAsia="zh-CN" w:bidi="ar-SA"/>
              </w:rPr>
            </w:pPr>
            <w:r>
              <w:rPr>
                <w:rFonts w:hint="eastAsia"/>
                <w:color w:val="auto"/>
                <w:szCs w:val="21"/>
              </w:rPr>
              <w:t>废</w:t>
            </w:r>
            <w:r>
              <w:rPr>
                <w:rFonts w:hint="eastAsia"/>
                <w:color w:val="auto"/>
                <w:szCs w:val="21"/>
                <w:lang w:val="en-US" w:eastAsia="zh-CN"/>
              </w:rPr>
              <w:t>矿物油</w:t>
            </w:r>
          </w:p>
        </w:tc>
        <w:tc>
          <w:tcPr>
            <w:tcW w:w="1701" w:type="dxa"/>
            <w:noWrap w:val="0"/>
            <w:vAlign w:val="center"/>
          </w:tcPr>
          <w:p w14:paraId="2AE99F2F">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276" w:type="dxa"/>
            <w:noWrap w:val="0"/>
            <w:vAlign w:val="center"/>
          </w:tcPr>
          <w:p w14:paraId="15B81DF2">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701" w:type="dxa"/>
            <w:noWrap w:val="0"/>
            <w:vAlign w:val="center"/>
          </w:tcPr>
          <w:p w14:paraId="095DA8B4">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559" w:type="dxa"/>
            <w:noWrap w:val="0"/>
            <w:vAlign w:val="center"/>
          </w:tcPr>
          <w:p w14:paraId="0CE6B069">
            <w:pPr>
              <w:jc w:val="center"/>
              <w:rPr>
                <w:rFonts w:hint="eastAsia" w:eastAsia="宋体"/>
                <w:color w:val="auto"/>
                <w:kern w:val="2"/>
                <w:sz w:val="21"/>
                <w:szCs w:val="21"/>
                <w:lang w:val="en-US" w:eastAsia="zh-CN" w:bidi="ar-SA"/>
              </w:rPr>
            </w:pPr>
            <w:r>
              <w:rPr>
                <w:rFonts w:hint="eastAsia"/>
                <w:color w:val="auto"/>
                <w:szCs w:val="21"/>
                <w:lang w:val="en-US" w:eastAsia="zh-CN"/>
              </w:rPr>
              <w:t>7.8</w:t>
            </w:r>
            <w:r>
              <w:rPr>
                <w:rFonts w:hint="eastAsia"/>
                <w:snapToGrid w:val="0"/>
                <w:color w:val="auto"/>
                <w:kern w:val="21"/>
                <w:szCs w:val="21"/>
              </w:rPr>
              <w:t>t/a</w:t>
            </w:r>
          </w:p>
        </w:tc>
        <w:tc>
          <w:tcPr>
            <w:tcW w:w="1761" w:type="dxa"/>
            <w:noWrap w:val="0"/>
            <w:vAlign w:val="center"/>
          </w:tcPr>
          <w:p w14:paraId="289F53A3">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667" w:type="dxa"/>
            <w:noWrap w:val="0"/>
            <w:vAlign w:val="center"/>
          </w:tcPr>
          <w:p w14:paraId="403F65B3">
            <w:pPr>
              <w:jc w:val="center"/>
              <w:rPr>
                <w:rFonts w:hint="eastAsia" w:eastAsia="宋体"/>
                <w:color w:val="auto"/>
                <w:kern w:val="2"/>
                <w:sz w:val="21"/>
                <w:szCs w:val="21"/>
                <w:lang w:val="en-US" w:eastAsia="zh-CN" w:bidi="ar-SA"/>
              </w:rPr>
            </w:pPr>
            <w:r>
              <w:rPr>
                <w:rFonts w:hint="eastAsia"/>
                <w:color w:val="auto"/>
                <w:szCs w:val="21"/>
                <w:lang w:val="en-US" w:eastAsia="zh-CN"/>
              </w:rPr>
              <w:t>7.8</w:t>
            </w:r>
            <w:r>
              <w:rPr>
                <w:rFonts w:hint="eastAsia"/>
                <w:snapToGrid w:val="0"/>
                <w:color w:val="auto"/>
                <w:kern w:val="21"/>
                <w:szCs w:val="21"/>
              </w:rPr>
              <w:t>t/a</w:t>
            </w:r>
          </w:p>
        </w:tc>
        <w:tc>
          <w:tcPr>
            <w:tcW w:w="1118" w:type="dxa"/>
            <w:noWrap w:val="0"/>
            <w:vAlign w:val="center"/>
          </w:tcPr>
          <w:p w14:paraId="64AA8A32">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r>
      <w:tr w14:paraId="3EA18B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continue"/>
            <w:noWrap w:val="0"/>
            <w:vAlign w:val="center"/>
          </w:tcPr>
          <w:p w14:paraId="13345B90">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p>
        </w:tc>
        <w:tc>
          <w:tcPr>
            <w:tcW w:w="1948" w:type="dxa"/>
            <w:noWrap w:val="0"/>
            <w:vAlign w:val="center"/>
          </w:tcPr>
          <w:p w14:paraId="62886EAF">
            <w:pPr>
              <w:jc w:val="center"/>
              <w:rPr>
                <w:rFonts w:hint="eastAsia"/>
                <w:color w:val="auto"/>
                <w:kern w:val="2"/>
                <w:sz w:val="21"/>
                <w:szCs w:val="21"/>
                <w:lang w:val="en-US" w:eastAsia="zh-CN" w:bidi="ar-SA"/>
              </w:rPr>
            </w:pPr>
            <w:r>
              <w:rPr>
                <w:rFonts w:hint="eastAsia"/>
                <w:color w:val="auto"/>
                <w:szCs w:val="21"/>
              </w:rPr>
              <w:t>废油桶</w:t>
            </w:r>
          </w:p>
        </w:tc>
        <w:tc>
          <w:tcPr>
            <w:tcW w:w="1701" w:type="dxa"/>
            <w:noWrap w:val="0"/>
            <w:vAlign w:val="center"/>
          </w:tcPr>
          <w:p w14:paraId="7757C9BA">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276" w:type="dxa"/>
            <w:noWrap w:val="0"/>
            <w:vAlign w:val="center"/>
          </w:tcPr>
          <w:p w14:paraId="6D2B4A75">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701" w:type="dxa"/>
            <w:noWrap w:val="0"/>
            <w:vAlign w:val="center"/>
          </w:tcPr>
          <w:p w14:paraId="445F6AEF">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559" w:type="dxa"/>
            <w:noWrap w:val="0"/>
            <w:vAlign w:val="center"/>
          </w:tcPr>
          <w:p w14:paraId="017F641D">
            <w:pPr>
              <w:jc w:val="center"/>
              <w:rPr>
                <w:rFonts w:hint="eastAsia" w:eastAsia="宋体"/>
                <w:color w:val="auto"/>
                <w:kern w:val="2"/>
                <w:sz w:val="21"/>
                <w:szCs w:val="21"/>
                <w:lang w:val="en-US" w:eastAsia="zh-CN" w:bidi="ar-SA"/>
              </w:rPr>
            </w:pPr>
            <w:r>
              <w:rPr>
                <w:rFonts w:hint="eastAsia"/>
                <w:color w:val="auto"/>
                <w:szCs w:val="21"/>
                <w:lang w:val="en-US" w:eastAsia="zh-CN"/>
              </w:rPr>
              <w:t>1.5</w:t>
            </w:r>
            <w:r>
              <w:rPr>
                <w:rFonts w:hint="eastAsia"/>
                <w:snapToGrid w:val="0"/>
                <w:color w:val="auto"/>
                <w:kern w:val="21"/>
                <w:szCs w:val="21"/>
              </w:rPr>
              <w:t>t/a</w:t>
            </w:r>
          </w:p>
        </w:tc>
        <w:tc>
          <w:tcPr>
            <w:tcW w:w="1761" w:type="dxa"/>
            <w:noWrap w:val="0"/>
            <w:vAlign w:val="center"/>
          </w:tcPr>
          <w:p w14:paraId="12A2BABB">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667" w:type="dxa"/>
            <w:noWrap w:val="0"/>
            <w:vAlign w:val="center"/>
          </w:tcPr>
          <w:p w14:paraId="66CBE3F5">
            <w:pPr>
              <w:jc w:val="center"/>
              <w:rPr>
                <w:rFonts w:hint="eastAsia" w:eastAsia="宋体"/>
                <w:color w:val="auto"/>
                <w:kern w:val="2"/>
                <w:sz w:val="21"/>
                <w:szCs w:val="21"/>
                <w:lang w:val="en-US" w:eastAsia="zh-CN" w:bidi="ar-SA"/>
              </w:rPr>
            </w:pPr>
            <w:r>
              <w:rPr>
                <w:rFonts w:hint="eastAsia"/>
                <w:color w:val="auto"/>
                <w:szCs w:val="21"/>
                <w:lang w:val="en-US" w:eastAsia="zh-CN"/>
              </w:rPr>
              <w:t>1.5</w:t>
            </w:r>
            <w:r>
              <w:rPr>
                <w:rFonts w:hint="eastAsia"/>
                <w:snapToGrid w:val="0"/>
                <w:color w:val="auto"/>
                <w:kern w:val="21"/>
                <w:szCs w:val="21"/>
              </w:rPr>
              <w:t>t/a</w:t>
            </w:r>
          </w:p>
        </w:tc>
        <w:tc>
          <w:tcPr>
            <w:tcW w:w="1118" w:type="dxa"/>
            <w:noWrap w:val="0"/>
            <w:vAlign w:val="center"/>
          </w:tcPr>
          <w:p w14:paraId="624EEA9A">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Cs w:val="21"/>
              </w:rPr>
              <w:t>/</w:t>
            </w:r>
          </w:p>
        </w:tc>
      </w:tr>
      <w:tr w14:paraId="0A9352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continue"/>
            <w:noWrap w:val="0"/>
            <w:vAlign w:val="center"/>
          </w:tcPr>
          <w:p w14:paraId="47F26FC2">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p>
        </w:tc>
        <w:tc>
          <w:tcPr>
            <w:tcW w:w="1948" w:type="dxa"/>
            <w:noWrap w:val="0"/>
            <w:vAlign w:val="center"/>
          </w:tcPr>
          <w:p w14:paraId="5653FFE8">
            <w:pPr>
              <w:jc w:val="center"/>
              <w:rPr>
                <w:rFonts w:hint="eastAsia" w:eastAsia="宋体"/>
                <w:color w:val="auto"/>
                <w:szCs w:val="21"/>
                <w:lang w:val="en-US" w:eastAsia="zh-CN"/>
              </w:rPr>
            </w:pPr>
            <w:r>
              <w:rPr>
                <w:rFonts w:hint="eastAsia" w:eastAsia="宋体"/>
                <w:color w:val="auto"/>
                <w:szCs w:val="21"/>
                <w:lang w:val="en-US" w:eastAsia="zh-CN"/>
              </w:rPr>
              <w:t>废刹车片</w:t>
            </w:r>
          </w:p>
        </w:tc>
        <w:tc>
          <w:tcPr>
            <w:tcW w:w="1701" w:type="dxa"/>
            <w:noWrap w:val="0"/>
            <w:vAlign w:val="center"/>
          </w:tcPr>
          <w:p w14:paraId="5EFE28FC">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eastAsia="宋体"/>
                <w:snapToGrid w:val="0"/>
                <w:color w:val="auto"/>
                <w:kern w:val="21"/>
                <w:szCs w:val="21"/>
                <w:lang w:val="en-US" w:eastAsia="zh-CN"/>
              </w:rPr>
            </w:pPr>
            <w:r>
              <w:rPr>
                <w:rFonts w:hint="eastAsia" w:ascii="Times New Roman"/>
                <w:snapToGrid w:val="0"/>
                <w:color w:val="auto"/>
                <w:kern w:val="21"/>
                <w:szCs w:val="21"/>
                <w:lang w:val="en-US" w:eastAsia="zh-CN"/>
              </w:rPr>
              <w:t>/</w:t>
            </w:r>
          </w:p>
        </w:tc>
        <w:tc>
          <w:tcPr>
            <w:tcW w:w="1276" w:type="dxa"/>
            <w:noWrap w:val="0"/>
            <w:vAlign w:val="center"/>
          </w:tcPr>
          <w:p w14:paraId="5A6DD29A">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eastAsia="宋体"/>
                <w:snapToGrid w:val="0"/>
                <w:color w:val="auto"/>
                <w:kern w:val="21"/>
                <w:szCs w:val="21"/>
                <w:lang w:val="en-US" w:eastAsia="zh-CN"/>
              </w:rPr>
            </w:pPr>
            <w:r>
              <w:rPr>
                <w:rFonts w:hint="eastAsia" w:ascii="Times New Roman"/>
                <w:snapToGrid w:val="0"/>
                <w:color w:val="auto"/>
                <w:kern w:val="21"/>
                <w:szCs w:val="21"/>
                <w:lang w:val="en-US" w:eastAsia="zh-CN"/>
              </w:rPr>
              <w:t>/</w:t>
            </w:r>
          </w:p>
        </w:tc>
        <w:tc>
          <w:tcPr>
            <w:tcW w:w="1701" w:type="dxa"/>
            <w:noWrap w:val="0"/>
            <w:vAlign w:val="center"/>
          </w:tcPr>
          <w:p w14:paraId="071D7236">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eastAsia="宋体"/>
                <w:snapToGrid w:val="0"/>
                <w:color w:val="auto"/>
                <w:kern w:val="21"/>
                <w:szCs w:val="21"/>
                <w:lang w:val="en-US" w:eastAsia="zh-CN"/>
              </w:rPr>
            </w:pPr>
            <w:r>
              <w:rPr>
                <w:rFonts w:hint="eastAsia" w:ascii="Times New Roman"/>
                <w:snapToGrid w:val="0"/>
                <w:color w:val="auto"/>
                <w:kern w:val="21"/>
                <w:szCs w:val="21"/>
                <w:lang w:val="en-US" w:eastAsia="zh-CN"/>
              </w:rPr>
              <w:t>/</w:t>
            </w:r>
          </w:p>
        </w:tc>
        <w:tc>
          <w:tcPr>
            <w:tcW w:w="1559" w:type="dxa"/>
            <w:noWrap w:val="0"/>
            <w:vAlign w:val="center"/>
          </w:tcPr>
          <w:p w14:paraId="4267A4F5">
            <w:pPr>
              <w:jc w:val="center"/>
              <w:rPr>
                <w:rFonts w:hint="default"/>
                <w:color w:val="auto"/>
                <w:szCs w:val="21"/>
                <w:lang w:val="en-US" w:eastAsia="zh-CN"/>
              </w:rPr>
            </w:pPr>
            <w:r>
              <w:rPr>
                <w:rFonts w:hint="eastAsia"/>
                <w:color w:val="auto"/>
                <w:szCs w:val="21"/>
                <w:lang w:val="en-US" w:eastAsia="zh-CN"/>
              </w:rPr>
              <w:t>5根/年</w:t>
            </w:r>
          </w:p>
        </w:tc>
        <w:tc>
          <w:tcPr>
            <w:tcW w:w="1761" w:type="dxa"/>
            <w:noWrap w:val="0"/>
            <w:vAlign w:val="center"/>
          </w:tcPr>
          <w:p w14:paraId="6D49A12D">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eastAsia="宋体"/>
                <w:snapToGrid w:val="0"/>
                <w:color w:val="auto"/>
                <w:kern w:val="21"/>
                <w:szCs w:val="21"/>
                <w:lang w:val="en-US" w:eastAsia="zh-CN"/>
              </w:rPr>
            </w:pPr>
            <w:r>
              <w:rPr>
                <w:rFonts w:hint="eastAsia" w:ascii="Times New Roman"/>
                <w:snapToGrid w:val="0"/>
                <w:color w:val="auto"/>
                <w:kern w:val="21"/>
                <w:szCs w:val="21"/>
                <w:lang w:val="en-US" w:eastAsia="zh-CN"/>
              </w:rPr>
              <w:t>/</w:t>
            </w:r>
          </w:p>
        </w:tc>
        <w:tc>
          <w:tcPr>
            <w:tcW w:w="1667" w:type="dxa"/>
            <w:noWrap w:val="0"/>
            <w:vAlign w:val="center"/>
          </w:tcPr>
          <w:p w14:paraId="2A24A4EC">
            <w:pPr>
              <w:jc w:val="center"/>
              <w:rPr>
                <w:rFonts w:hint="eastAsia"/>
                <w:color w:val="auto"/>
                <w:kern w:val="2"/>
                <w:sz w:val="21"/>
                <w:szCs w:val="21"/>
                <w:lang w:val="en-US" w:eastAsia="zh-CN" w:bidi="ar-SA"/>
              </w:rPr>
            </w:pPr>
            <w:r>
              <w:rPr>
                <w:rFonts w:hint="eastAsia"/>
                <w:color w:val="auto"/>
                <w:szCs w:val="21"/>
                <w:lang w:val="en-US" w:eastAsia="zh-CN"/>
              </w:rPr>
              <w:t>5根/年</w:t>
            </w:r>
          </w:p>
        </w:tc>
        <w:tc>
          <w:tcPr>
            <w:tcW w:w="1118" w:type="dxa"/>
            <w:noWrap w:val="0"/>
            <w:vAlign w:val="center"/>
          </w:tcPr>
          <w:p w14:paraId="377BE671">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eastAsia="宋体"/>
                <w:snapToGrid w:val="0"/>
                <w:color w:val="auto"/>
                <w:kern w:val="21"/>
                <w:szCs w:val="21"/>
                <w:lang w:val="en-US" w:eastAsia="zh-CN"/>
              </w:rPr>
            </w:pPr>
            <w:r>
              <w:rPr>
                <w:rFonts w:hint="eastAsia" w:ascii="Times New Roman"/>
                <w:snapToGrid w:val="0"/>
                <w:color w:val="auto"/>
                <w:kern w:val="21"/>
                <w:szCs w:val="21"/>
                <w:lang w:val="en-US" w:eastAsia="zh-CN"/>
              </w:rPr>
              <w:t>/</w:t>
            </w:r>
          </w:p>
        </w:tc>
      </w:tr>
      <w:tr w14:paraId="1AC793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continue"/>
            <w:noWrap w:val="0"/>
            <w:vAlign w:val="center"/>
          </w:tcPr>
          <w:p w14:paraId="431970ED">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p>
        </w:tc>
        <w:tc>
          <w:tcPr>
            <w:tcW w:w="1948" w:type="dxa"/>
            <w:noWrap w:val="0"/>
            <w:vAlign w:val="center"/>
          </w:tcPr>
          <w:p w14:paraId="080F3E3A">
            <w:pPr>
              <w:jc w:val="center"/>
              <w:rPr>
                <w:rFonts w:hint="eastAsia"/>
                <w:color w:val="auto"/>
                <w:kern w:val="2"/>
                <w:sz w:val="21"/>
                <w:szCs w:val="21"/>
                <w:lang w:val="en-US" w:eastAsia="zh-CN" w:bidi="ar-SA"/>
              </w:rPr>
            </w:pPr>
            <w:r>
              <w:rPr>
                <w:rFonts w:hint="eastAsia" w:eastAsia="宋体"/>
                <w:color w:val="auto"/>
                <w:szCs w:val="21"/>
                <w:lang w:val="en-US" w:eastAsia="zh-CN"/>
              </w:rPr>
              <w:t>废荧光灯管</w:t>
            </w:r>
          </w:p>
        </w:tc>
        <w:tc>
          <w:tcPr>
            <w:tcW w:w="1701" w:type="dxa"/>
            <w:noWrap w:val="0"/>
            <w:vAlign w:val="center"/>
          </w:tcPr>
          <w:p w14:paraId="4ACBE1DC">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 w:val="24"/>
                <w:szCs w:val="21"/>
                <w:lang w:val="en-US" w:eastAsia="zh-CN" w:bidi="ar-SA"/>
              </w:rPr>
              <w:t>/</w:t>
            </w:r>
          </w:p>
        </w:tc>
        <w:tc>
          <w:tcPr>
            <w:tcW w:w="1276" w:type="dxa"/>
            <w:noWrap w:val="0"/>
            <w:vAlign w:val="center"/>
          </w:tcPr>
          <w:p w14:paraId="3C82FC73">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 w:val="24"/>
                <w:szCs w:val="21"/>
                <w:lang w:val="en-US" w:eastAsia="zh-CN" w:bidi="ar-SA"/>
              </w:rPr>
              <w:t>/</w:t>
            </w:r>
          </w:p>
        </w:tc>
        <w:tc>
          <w:tcPr>
            <w:tcW w:w="1701" w:type="dxa"/>
            <w:noWrap w:val="0"/>
            <w:vAlign w:val="center"/>
          </w:tcPr>
          <w:p w14:paraId="63A62E44">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 w:val="24"/>
                <w:szCs w:val="21"/>
                <w:lang w:val="en-US" w:eastAsia="zh-CN" w:bidi="ar-SA"/>
              </w:rPr>
              <w:t>/</w:t>
            </w:r>
          </w:p>
        </w:tc>
        <w:tc>
          <w:tcPr>
            <w:tcW w:w="1559" w:type="dxa"/>
            <w:noWrap w:val="0"/>
            <w:vAlign w:val="center"/>
          </w:tcPr>
          <w:p w14:paraId="25B5CEB3">
            <w:pPr>
              <w:jc w:val="center"/>
              <w:rPr>
                <w:rFonts w:hint="eastAsia" w:eastAsia="宋体"/>
                <w:color w:val="auto"/>
                <w:kern w:val="2"/>
                <w:sz w:val="21"/>
                <w:szCs w:val="21"/>
                <w:lang w:val="en-US" w:eastAsia="zh-CN" w:bidi="ar-SA"/>
              </w:rPr>
            </w:pPr>
            <w:r>
              <w:rPr>
                <w:rFonts w:hint="eastAsia" w:eastAsia="宋体"/>
                <w:color w:val="auto"/>
                <w:kern w:val="2"/>
                <w:sz w:val="21"/>
                <w:szCs w:val="21"/>
                <w:lang w:val="en-US" w:eastAsia="zh-CN" w:bidi="ar-SA"/>
              </w:rPr>
              <w:t>5副/年</w:t>
            </w:r>
          </w:p>
        </w:tc>
        <w:tc>
          <w:tcPr>
            <w:tcW w:w="1761" w:type="dxa"/>
            <w:noWrap w:val="0"/>
            <w:vAlign w:val="center"/>
          </w:tcPr>
          <w:p w14:paraId="1E2C01F5">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 w:val="24"/>
                <w:szCs w:val="21"/>
                <w:lang w:val="en-US" w:eastAsia="zh-CN" w:bidi="ar-SA"/>
              </w:rPr>
              <w:t>/</w:t>
            </w:r>
          </w:p>
        </w:tc>
        <w:tc>
          <w:tcPr>
            <w:tcW w:w="1667" w:type="dxa"/>
            <w:noWrap w:val="0"/>
            <w:vAlign w:val="center"/>
          </w:tcPr>
          <w:p w14:paraId="7DE262A9">
            <w:pPr>
              <w:jc w:val="center"/>
              <w:rPr>
                <w:rFonts w:hint="eastAsia" w:eastAsia="宋体"/>
                <w:color w:val="auto"/>
                <w:kern w:val="2"/>
                <w:sz w:val="21"/>
                <w:szCs w:val="21"/>
                <w:lang w:val="en-US" w:eastAsia="zh-CN" w:bidi="ar-SA"/>
              </w:rPr>
            </w:pPr>
            <w:r>
              <w:rPr>
                <w:rFonts w:hint="eastAsia" w:eastAsia="宋体"/>
                <w:color w:val="auto"/>
                <w:kern w:val="2"/>
                <w:sz w:val="21"/>
                <w:szCs w:val="21"/>
                <w:lang w:val="en-US" w:eastAsia="zh-CN" w:bidi="ar-SA"/>
              </w:rPr>
              <w:t>5副/年</w:t>
            </w:r>
          </w:p>
        </w:tc>
        <w:tc>
          <w:tcPr>
            <w:tcW w:w="1118" w:type="dxa"/>
            <w:noWrap w:val="0"/>
            <w:vAlign w:val="center"/>
          </w:tcPr>
          <w:p w14:paraId="5FB55E4C">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eastAsia" w:ascii="Times New Roman"/>
                <w:snapToGrid w:val="0"/>
                <w:color w:val="auto"/>
                <w:kern w:val="21"/>
                <w:sz w:val="24"/>
                <w:szCs w:val="21"/>
                <w:lang w:val="en-US" w:eastAsia="zh-CN" w:bidi="ar-SA"/>
              </w:rPr>
            </w:pPr>
            <w:r>
              <w:rPr>
                <w:rFonts w:hint="eastAsia" w:ascii="Times New Roman"/>
                <w:snapToGrid w:val="0"/>
                <w:color w:val="auto"/>
                <w:kern w:val="21"/>
                <w:sz w:val="24"/>
                <w:szCs w:val="21"/>
                <w:lang w:val="en-US" w:eastAsia="zh-CN" w:bidi="ar-SA"/>
              </w:rPr>
              <w:t>/</w:t>
            </w:r>
          </w:p>
        </w:tc>
      </w:tr>
      <w:tr w14:paraId="64CDCD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57" w:type="dxa"/>
            <w:vMerge w:val="continue"/>
            <w:noWrap w:val="0"/>
            <w:vAlign w:val="center"/>
          </w:tcPr>
          <w:p w14:paraId="4556647F">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ascii="Times New Roman"/>
                <w:snapToGrid w:val="0"/>
                <w:color w:val="auto"/>
                <w:kern w:val="21"/>
                <w:szCs w:val="21"/>
              </w:rPr>
            </w:pPr>
          </w:p>
        </w:tc>
        <w:tc>
          <w:tcPr>
            <w:tcW w:w="1948" w:type="dxa"/>
            <w:noWrap w:val="0"/>
            <w:vAlign w:val="center"/>
          </w:tcPr>
          <w:p w14:paraId="532FBAEC">
            <w:pPr>
              <w:jc w:val="center"/>
              <w:rPr>
                <w:rFonts w:hint="eastAsia"/>
                <w:color w:val="auto"/>
                <w:kern w:val="2"/>
                <w:sz w:val="21"/>
                <w:szCs w:val="21"/>
                <w:lang w:val="en-US" w:eastAsia="zh-CN" w:bidi="ar-SA"/>
              </w:rPr>
            </w:pPr>
            <w:r>
              <w:rPr>
                <w:rFonts w:hint="eastAsia"/>
                <w:color w:val="auto"/>
                <w:szCs w:val="21"/>
              </w:rPr>
              <w:t>废机滤</w:t>
            </w:r>
          </w:p>
        </w:tc>
        <w:tc>
          <w:tcPr>
            <w:tcW w:w="1701" w:type="dxa"/>
            <w:noWrap w:val="0"/>
            <w:vAlign w:val="center"/>
          </w:tcPr>
          <w:p w14:paraId="04D494BF">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default"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276" w:type="dxa"/>
            <w:noWrap w:val="0"/>
            <w:vAlign w:val="center"/>
          </w:tcPr>
          <w:p w14:paraId="4A36B4B6">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default"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701" w:type="dxa"/>
            <w:noWrap w:val="0"/>
            <w:vAlign w:val="center"/>
          </w:tcPr>
          <w:p w14:paraId="022402BF">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default"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559" w:type="dxa"/>
            <w:noWrap w:val="0"/>
            <w:vAlign w:val="center"/>
          </w:tcPr>
          <w:p w14:paraId="041791B3">
            <w:pPr>
              <w:jc w:val="center"/>
              <w:rPr>
                <w:rFonts w:hint="default" w:eastAsia="宋体"/>
                <w:color w:val="auto"/>
                <w:kern w:val="2"/>
                <w:sz w:val="21"/>
                <w:szCs w:val="21"/>
                <w:lang w:val="en-US" w:eastAsia="zh-CN" w:bidi="ar-SA"/>
              </w:rPr>
            </w:pPr>
            <w:r>
              <w:rPr>
                <w:rFonts w:hint="eastAsia"/>
                <w:color w:val="auto"/>
                <w:szCs w:val="21"/>
                <w:lang w:val="en-US" w:eastAsia="zh-CN"/>
              </w:rPr>
              <w:t>2.6</w:t>
            </w:r>
            <w:r>
              <w:rPr>
                <w:rFonts w:hint="eastAsia"/>
                <w:snapToGrid w:val="0"/>
                <w:color w:val="auto"/>
                <w:kern w:val="21"/>
                <w:szCs w:val="21"/>
              </w:rPr>
              <w:t>t/a</w:t>
            </w:r>
          </w:p>
        </w:tc>
        <w:tc>
          <w:tcPr>
            <w:tcW w:w="1761" w:type="dxa"/>
            <w:noWrap w:val="0"/>
            <w:vAlign w:val="center"/>
          </w:tcPr>
          <w:p w14:paraId="0D8498B4">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default" w:ascii="Times New Roman"/>
                <w:snapToGrid w:val="0"/>
                <w:color w:val="auto"/>
                <w:kern w:val="21"/>
                <w:sz w:val="24"/>
                <w:szCs w:val="21"/>
                <w:lang w:val="en-US" w:eastAsia="zh-CN" w:bidi="ar-SA"/>
              </w:rPr>
            </w:pPr>
            <w:r>
              <w:rPr>
                <w:rFonts w:hint="eastAsia" w:ascii="Times New Roman"/>
                <w:snapToGrid w:val="0"/>
                <w:color w:val="auto"/>
                <w:kern w:val="21"/>
                <w:szCs w:val="21"/>
              </w:rPr>
              <w:t>/</w:t>
            </w:r>
          </w:p>
        </w:tc>
        <w:tc>
          <w:tcPr>
            <w:tcW w:w="1667" w:type="dxa"/>
            <w:noWrap w:val="0"/>
            <w:vAlign w:val="center"/>
          </w:tcPr>
          <w:p w14:paraId="791FDDEC">
            <w:pPr>
              <w:jc w:val="center"/>
              <w:rPr>
                <w:rFonts w:hint="default" w:eastAsia="宋体"/>
                <w:color w:val="auto"/>
                <w:kern w:val="2"/>
                <w:sz w:val="21"/>
                <w:szCs w:val="21"/>
                <w:lang w:val="en-US" w:eastAsia="zh-CN" w:bidi="ar-SA"/>
              </w:rPr>
            </w:pPr>
            <w:r>
              <w:rPr>
                <w:rFonts w:hint="eastAsia"/>
                <w:color w:val="auto"/>
                <w:szCs w:val="21"/>
                <w:lang w:val="en-US" w:eastAsia="zh-CN"/>
              </w:rPr>
              <w:t>2.6</w:t>
            </w:r>
            <w:r>
              <w:rPr>
                <w:rFonts w:hint="eastAsia"/>
                <w:snapToGrid w:val="0"/>
                <w:color w:val="auto"/>
                <w:kern w:val="21"/>
                <w:szCs w:val="21"/>
              </w:rPr>
              <w:t>t/a</w:t>
            </w:r>
          </w:p>
        </w:tc>
        <w:tc>
          <w:tcPr>
            <w:tcW w:w="1118" w:type="dxa"/>
            <w:noWrap w:val="0"/>
            <w:vAlign w:val="center"/>
          </w:tcPr>
          <w:p w14:paraId="1D759FC7">
            <w:pPr>
              <w:pStyle w:val="31"/>
              <w:keepNext w:val="0"/>
              <w:keepLines w:val="0"/>
              <w:pageBreakBefore w:val="0"/>
              <w:kinsoku/>
              <w:wordWrap/>
              <w:overflowPunct/>
              <w:topLinePunct w:val="0"/>
              <w:autoSpaceDE/>
              <w:autoSpaceDN/>
              <w:bidi w:val="0"/>
              <w:spacing w:beforeLines="0" w:after="0" w:afterLines="0" w:line="240" w:lineRule="auto"/>
              <w:ind w:left="0" w:leftChars="0" w:right="0" w:rightChars="0"/>
              <w:textAlignment w:val="auto"/>
              <w:rPr>
                <w:rFonts w:hint="default" w:ascii="Times New Roman"/>
                <w:snapToGrid w:val="0"/>
                <w:color w:val="auto"/>
                <w:kern w:val="21"/>
                <w:sz w:val="24"/>
                <w:szCs w:val="21"/>
                <w:lang w:val="en-US" w:eastAsia="zh-CN" w:bidi="ar-SA"/>
              </w:rPr>
            </w:pPr>
            <w:r>
              <w:rPr>
                <w:rFonts w:hint="eastAsia" w:ascii="Times New Roman"/>
                <w:snapToGrid w:val="0"/>
                <w:color w:val="auto"/>
                <w:kern w:val="21"/>
                <w:szCs w:val="21"/>
              </w:rPr>
              <w:t>/</w:t>
            </w:r>
          </w:p>
        </w:tc>
      </w:tr>
      <w:bookmarkEnd w:id="37"/>
    </w:tbl>
    <w:p w14:paraId="3BA18716">
      <w:pPr>
        <w:pStyle w:val="31"/>
        <w:spacing w:before="192" w:beforeLines="80" w:after="24"/>
        <w:jc w:val="left"/>
        <w:rPr>
          <w:rFonts w:hAnsi="宋体"/>
          <w:snapToGrid w:val="0"/>
          <w:color w:val="auto"/>
          <w:spacing w:val="-6"/>
          <w:kern w:val="21"/>
          <w:szCs w:val="21"/>
        </w:rPr>
      </w:pPr>
      <w:r>
        <w:rPr>
          <w:rFonts w:hAnsi="宋体"/>
          <w:snapToGrid w:val="0"/>
          <w:color w:val="auto"/>
          <w:kern w:val="21"/>
          <w:szCs w:val="21"/>
        </w:rPr>
        <w:t>注：</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6 \* GB3 \* MERGEFORMAT </w:instrText>
      </w:r>
      <w:r>
        <w:rPr>
          <w:rFonts w:hAnsi="宋体"/>
          <w:snapToGrid w:val="0"/>
          <w:color w:val="auto"/>
          <w:spacing w:val="-16"/>
          <w:kern w:val="21"/>
          <w:szCs w:val="21"/>
        </w:rPr>
        <w:fldChar w:fldCharType="separate"/>
      </w:r>
      <w:r>
        <w:rPr>
          <w:rFonts w:hint="eastAsia" w:hAnsi="宋体"/>
          <w:color w:val="auto"/>
          <w:szCs w:val="21"/>
        </w:rPr>
        <w:t>⑥</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1 \* GB3 \* MERGEFORMAT </w:instrText>
      </w:r>
      <w:r>
        <w:rPr>
          <w:rFonts w:hAnsi="宋体"/>
          <w:snapToGrid w:val="0"/>
          <w:color w:val="auto"/>
          <w:spacing w:val="-6"/>
          <w:kern w:val="21"/>
          <w:szCs w:val="21"/>
        </w:rPr>
        <w:fldChar w:fldCharType="separate"/>
      </w:r>
      <w:r>
        <w:rPr>
          <w:rFonts w:hint="eastAsia" w:hAnsi="宋体"/>
          <w:color w:val="auto"/>
          <w:szCs w:val="21"/>
        </w:rPr>
        <w:t>①</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3 \* GB3 \* MERGEFORMAT </w:instrText>
      </w:r>
      <w:r>
        <w:rPr>
          <w:rFonts w:hAnsi="宋体"/>
          <w:snapToGrid w:val="0"/>
          <w:color w:val="auto"/>
          <w:spacing w:val="-6"/>
          <w:kern w:val="21"/>
          <w:szCs w:val="21"/>
        </w:rPr>
        <w:fldChar w:fldCharType="separate"/>
      </w:r>
      <w:r>
        <w:rPr>
          <w:rFonts w:hint="eastAsia" w:hAnsi="宋体"/>
          <w:color w:val="auto"/>
          <w:szCs w:val="21"/>
        </w:rPr>
        <w:t>③</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4 \* GB3 \* MERGEFORMAT </w:instrText>
      </w:r>
      <w:r>
        <w:rPr>
          <w:rFonts w:hAnsi="宋体"/>
          <w:snapToGrid w:val="0"/>
          <w:color w:val="auto"/>
          <w:spacing w:val="-6"/>
          <w:kern w:val="21"/>
          <w:szCs w:val="21"/>
        </w:rPr>
        <w:fldChar w:fldCharType="separate"/>
      </w:r>
      <w:r>
        <w:rPr>
          <w:rFonts w:hint="eastAsia" w:hAnsi="宋体"/>
          <w:color w:val="auto"/>
          <w:szCs w:val="21"/>
        </w:rPr>
        <w:t>④</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5 \* GB3 \* MERGEFORMAT </w:instrText>
      </w:r>
      <w:r>
        <w:rPr>
          <w:rFonts w:hAnsi="宋体"/>
          <w:snapToGrid w:val="0"/>
          <w:color w:val="auto"/>
          <w:spacing w:val="-16"/>
          <w:kern w:val="21"/>
          <w:szCs w:val="21"/>
        </w:rPr>
        <w:fldChar w:fldCharType="separate"/>
      </w:r>
      <w:r>
        <w:rPr>
          <w:rFonts w:hint="eastAsia" w:hAnsi="宋体"/>
          <w:color w:val="auto"/>
          <w:szCs w:val="21"/>
        </w:rPr>
        <w:t>⑤</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7 \* GB3 \* MERGEFORMAT </w:instrText>
      </w:r>
      <w:r>
        <w:rPr>
          <w:rFonts w:hAnsi="宋体"/>
          <w:snapToGrid w:val="0"/>
          <w:color w:val="auto"/>
          <w:spacing w:val="-6"/>
          <w:kern w:val="21"/>
          <w:szCs w:val="21"/>
        </w:rPr>
        <w:fldChar w:fldCharType="separate"/>
      </w:r>
      <w:r>
        <w:rPr>
          <w:rFonts w:hint="eastAsia" w:hAnsi="宋体"/>
          <w:color w:val="auto"/>
          <w:szCs w:val="21"/>
        </w:rPr>
        <w:t>⑦</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6 \* GB3 \* MERGEFORMAT </w:instrText>
      </w:r>
      <w:r>
        <w:rPr>
          <w:rFonts w:hAnsi="宋体"/>
          <w:snapToGrid w:val="0"/>
          <w:color w:val="auto"/>
          <w:spacing w:val="-16"/>
          <w:kern w:val="21"/>
          <w:szCs w:val="21"/>
        </w:rPr>
        <w:fldChar w:fldCharType="separate"/>
      </w:r>
      <w:r>
        <w:rPr>
          <w:rFonts w:hint="eastAsia" w:hAnsi="宋体"/>
          <w:color w:val="auto"/>
          <w:szCs w:val="21"/>
        </w:rPr>
        <w:t>⑥</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1 \* GB3 \* MERGEFORMAT </w:instrText>
      </w:r>
      <w:r>
        <w:rPr>
          <w:rFonts w:hAnsi="宋体"/>
          <w:snapToGrid w:val="0"/>
          <w:color w:val="auto"/>
          <w:spacing w:val="-6"/>
          <w:kern w:val="21"/>
          <w:szCs w:val="21"/>
        </w:rPr>
        <w:fldChar w:fldCharType="separate"/>
      </w:r>
      <w:r>
        <w:rPr>
          <w:rFonts w:hint="eastAsia" w:hAnsi="宋体"/>
          <w:color w:val="auto"/>
          <w:szCs w:val="21"/>
        </w:rPr>
        <w:t>①</w:t>
      </w:r>
      <w:r>
        <w:rPr>
          <w:rFonts w:hAnsi="宋体"/>
          <w:snapToGrid w:val="0"/>
          <w:color w:val="auto"/>
          <w:spacing w:val="-6"/>
          <w:kern w:val="21"/>
          <w:szCs w:val="21"/>
        </w:rPr>
        <w:fldChar w:fldCharType="end"/>
      </w:r>
    </w:p>
    <w:sectPr>
      <w:footerReference r:id="rId8" w:type="default"/>
      <w:pgSz w:w="16838" w:h="11906" w:orient="landscape"/>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Gloucester MT Extra Condensed">
    <w:panose1 w:val="02030808020601010101"/>
    <w:charset w:val="00"/>
    <w:family w:val="roman"/>
    <w:pitch w:val="default"/>
    <w:sig w:usb0="00000003" w:usb1="00000000" w:usb2="00000000" w:usb3="00000000" w:csb0="20000001"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3C32D">
    <w:pPr>
      <w:pStyle w:val="1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B146EC">
    <w:pPr>
      <w:pStyle w:val="16"/>
      <w:framePr w:wrap="around" w:vAnchor="text" w:hAnchor="margin" w:xAlign="center" w:y="1"/>
      <w:rPr>
        <w:rStyle w:val="28"/>
      </w:rPr>
    </w:pPr>
    <w:r>
      <w:fldChar w:fldCharType="begin"/>
    </w:r>
    <w:r>
      <w:rPr>
        <w:rStyle w:val="28"/>
      </w:rPr>
      <w:instrText xml:space="preserve">PAGE  </w:instrText>
    </w:r>
    <w:r>
      <w:fldChar w:fldCharType="end"/>
    </w:r>
  </w:p>
  <w:p w14:paraId="34E3DE94">
    <w:pPr>
      <w:pStyle w:val="16"/>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31A316">
    <w:pPr>
      <w:pStyle w:val="16"/>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58B3C8">
    <w:pPr>
      <w:pStyle w:val="16"/>
      <w:framePr w:wrap="around" w:vAnchor="text" w:hAnchor="margin" w:xAlign="outside" w:y="1"/>
      <w:rPr>
        <w:rStyle w:val="28"/>
        <w:rFonts w:ascii="宋体" w:hAnsi="宋体"/>
        <w:sz w:val="28"/>
        <w:szCs w:val="28"/>
      </w:rPr>
    </w:pPr>
    <w:r>
      <w:rPr>
        <w:rStyle w:val="28"/>
        <w:rFonts w:hint="eastAsia" w:ascii="宋体" w:hAnsi="宋体"/>
        <w:sz w:val="28"/>
        <w:szCs w:val="28"/>
      </w:rPr>
      <w:t>—</w:t>
    </w:r>
    <w:r>
      <w:rPr>
        <w:rStyle w:val="28"/>
        <w:rFonts w:hint="eastAsia" w:ascii="宋体" w:hAnsi="宋体"/>
        <w:sz w:val="20"/>
      </w:rPr>
      <w:t xml:space="preserve">  </w:t>
    </w:r>
    <w:r>
      <w:rPr>
        <w:rFonts w:ascii="宋体" w:hAnsi="宋体"/>
        <w:sz w:val="26"/>
        <w:szCs w:val="26"/>
      </w:rPr>
      <w:fldChar w:fldCharType="begin"/>
    </w:r>
    <w:r>
      <w:rPr>
        <w:rStyle w:val="28"/>
        <w:rFonts w:ascii="宋体" w:hAnsi="宋体"/>
        <w:sz w:val="26"/>
        <w:szCs w:val="26"/>
      </w:rPr>
      <w:instrText xml:space="preserve">PAGE  </w:instrText>
    </w:r>
    <w:r>
      <w:rPr>
        <w:rFonts w:ascii="宋体" w:hAnsi="宋体"/>
        <w:sz w:val="26"/>
        <w:szCs w:val="26"/>
      </w:rPr>
      <w:fldChar w:fldCharType="separate"/>
    </w:r>
    <w:r>
      <w:rPr>
        <w:rStyle w:val="28"/>
        <w:rFonts w:ascii="宋体" w:hAnsi="宋体"/>
        <w:sz w:val="26"/>
        <w:szCs w:val="26"/>
      </w:rPr>
      <w:t>38</w:t>
    </w:r>
    <w:r>
      <w:rPr>
        <w:rFonts w:ascii="宋体" w:hAnsi="宋体"/>
        <w:sz w:val="26"/>
        <w:szCs w:val="26"/>
      </w:rPr>
      <w:fldChar w:fldCharType="end"/>
    </w:r>
    <w:r>
      <w:rPr>
        <w:rStyle w:val="28"/>
        <w:rFonts w:hint="eastAsia" w:ascii="宋体" w:hAnsi="宋体"/>
        <w:sz w:val="20"/>
      </w:rPr>
      <w:t xml:space="preserve">  </w:t>
    </w:r>
    <w:r>
      <w:rPr>
        <w:rStyle w:val="28"/>
        <w:rFonts w:hint="eastAsia" w:ascii="宋体" w:hAnsi="宋体"/>
        <w:sz w:val="28"/>
        <w:szCs w:val="28"/>
      </w:rPr>
      <w:t>—</w:t>
    </w:r>
  </w:p>
  <w:p w14:paraId="62E2A452">
    <w:pPr>
      <w:pStyle w:val="16"/>
      <w:ind w:right="360" w:firstLine="36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63E299">
    <w:pPr>
      <w:pStyle w:val="16"/>
      <w:framePr w:wrap="around" w:vAnchor="text" w:hAnchor="margin" w:xAlign="outside" w:y="1"/>
      <w:rPr>
        <w:rStyle w:val="28"/>
        <w:rFonts w:ascii="宋体" w:hAnsi="宋体"/>
        <w:sz w:val="28"/>
        <w:szCs w:val="28"/>
      </w:rPr>
    </w:pPr>
    <w:r>
      <w:rPr>
        <w:rStyle w:val="28"/>
        <w:rFonts w:hint="eastAsia" w:ascii="宋体" w:hAnsi="宋体"/>
        <w:sz w:val="28"/>
        <w:szCs w:val="28"/>
      </w:rPr>
      <w:t>—</w:t>
    </w:r>
    <w:r>
      <w:rPr>
        <w:rStyle w:val="28"/>
        <w:rFonts w:hint="eastAsia" w:ascii="宋体" w:hAnsi="宋体"/>
        <w:sz w:val="20"/>
      </w:rPr>
      <w:t xml:space="preserve">  </w:t>
    </w:r>
    <w:r>
      <w:rPr>
        <w:rFonts w:ascii="宋体" w:hAnsi="宋体"/>
        <w:sz w:val="26"/>
        <w:szCs w:val="26"/>
      </w:rPr>
      <w:fldChar w:fldCharType="begin"/>
    </w:r>
    <w:r>
      <w:rPr>
        <w:rStyle w:val="28"/>
        <w:rFonts w:ascii="宋体" w:hAnsi="宋体"/>
        <w:sz w:val="26"/>
        <w:szCs w:val="26"/>
      </w:rPr>
      <w:instrText xml:space="preserve">PAGE  </w:instrText>
    </w:r>
    <w:r>
      <w:rPr>
        <w:rFonts w:ascii="宋体" w:hAnsi="宋体"/>
        <w:sz w:val="26"/>
        <w:szCs w:val="26"/>
      </w:rPr>
      <w:fldChar w:fldCharType="separate"/>
    </w:r>
    <w:r>
      <w:rPr>
        <w:rStyle w:val="28"/>
        <w:rFonts w:ascii="宋体" w:hAnsi="宋体"/>
        <w:sz w:val="26"/>
        <w:szCs w:val="26"/>
      </w:rPr>
      <w:t>41</w:t>
    </w:r>
    <w:r>
      <w:rPr>
        <w:rFonts w:ascii="宋体" w:hAnsi="宋体"/>
        <w:sz w:val="26"/>
        <w:szCs w:val="26"/>
      </w:rPr>
      <w:fldChar w:fldCharType="end"/>
    </w:r>
    <w:r>
      <w:rPr>
        <w:rStyle w:val="28"/>
        <w:rFonts w:hint="eastAsia" w:ascii="宋体" w:hAnsi="宋体"/>
        <w:sz w:val="20"/>
      </w:rPr>
      <w:t xml:space="preserve">  </w:t>
    </w:r>
    <w:r>
      <w:rPr>
        <w:rStyle w:val="28"/>
        <w:rFonts w:hint="eastAsia" w:ascii="宋体" w:hAnsi="宋体"/>
        <w:sz w:val="28"/>
        <w:szCs w:val="28"/>
      </w:rPr>
      <w:t>—</w:t>
    </w:r>
  </w:p>
  <w:p w14:paraId="02E9E22B">
    <w:pPr>
      <w:pStyle w:val="16"/>
      <w:ind w:right="360" w:firstLine="360"/>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3CD024">
    <w:pPr>
      <w:pStyle w:val="1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hhZDYwOWJiYWRhNzExNmQ5OWM5MjU3MzJlYTc5YmEifQ=="/>
  </w:docVars>
  <w:rsids>
    <w:rsidRoot w:val="00172A27"/>
    <w:rsid w:val="000060B3"/>
    <w:rsid w:val="000102DF"/>
    <w:rsid w:val="000118A6"/>
    <w:rsid w:val="00015DC1"/>
    <w:rsid w:val="00022A7F"/>
    <w:rsid w:val="0003386A"/>
    <w:rsid w:val="00033CF2"/>
    <w:rsid w:val="00037065"/>
    <w:rsid w:val="0003746D"/>
    <w:rsid w:val="0004364B"/>
    <w:rsid w:val="000563FA"/>
    <w:rsid w:val="00060026"/>
    <w:rsid w:val="00061B1F"/>
    <w:rsid w:val="00067224"/>
    <w:rsid w:val="0006756A"/>
    <w:rsid w:val="000733C4"/>
    <w:rsid w:val="00074783"/>
    <w:rsid w:val="0007570F"/>
    <w:rsid w:val="0008070B"/>
    <w:rsid w:val="000810AC"/>
    <w:rsid w:val="00081A02"/>
    <w:rsid w:val="00082231"/>
    <w:rsid w:val="00082C65"/>
    <w:rsid w:val="000845F6"/>
    <w:rsid w:val="00092D38"/>
    <w:rsid w:val="0009377B"/>
    <w:rsid w:val="000A20C9"/>
    <w:rsid w:val="000A32F9"/>
    <w:rsid w:val="000B058F"/>
    <w:rsid w:val="000B4467"/>
    <w:rsid w:val="000B44D3"/>
    <w:rsid w:val="000B4DB9"/>
    <w:rsid w:val="000C09AC"/>
    <w:rsid w:val="000C2EA4"/>
    <w:rsid w:val="000C7191"/>
    <w:rsid w:val="000C767F"/>
    <w:rsid w:val="000D5A44"/>
    <w:rsid w:val="000D6095"/>
    <w:rsid w:val="000E3ED2"/>
    <w:rsid w:val="000E4AEC"/>
    <w:rsid w:val="000F0D6E"/>
    <w:rsid w:val="000F2B5A"/>
    <w:rsid w:val="000F448F"/>
    <w:rsid w:val="00103897"/>
    <w:rsid w:val="001139D5"/>
    <w:rsid w:val="00127627"/>
    <w:rsid w:val="00130964"/>
    <w:rsid w:val="00131F42"/>
    <w:rsid w:val="00132B13"/>
    <w:rsid w:val="0013335E"/>
    <w:rsid w:val="0013454F"/>
    <w:rsid w:val="001357F1"/>
    <w:rsid w:val="00140FA8"/>
    <w:rsid w:val="00142FEB"/>
    <w:rsid w:val="00143A2D"/>
    <w:rsid w:val="00145A41"/>
    <w:rsid w:val="00151675"/>
    <w:rsid w:val="00152EFC"/>
    <w:rsid w:val="001570FF"/>
    <w:rsid w:val="00157435"/>
    <w:rsid w:val="00160A85"/>
    <w:rsid w:val="0016253B"/>
    <w:rsid w:val="0017504D"/>
    <w:rsid w:val="0017671A"/>
    <w:rsid w:val="0017698E"/>
    <w:rsid w:val="00177422"/>
    <w:rsid w:val="00184590"/>
    <w:rsid w:val="001870D1"/>
    <w:rsid w:val="0018781E"/>
    <w:rsid w:val="0019162B"/>
    <w:rsid w:val="0019262D"/>
    <w:rsid w:val="001A1B35"/>
    <w:rsid w:val="001A48A2"/>
    <w:rsid w:val="001A49D4"/>
    <w:rsid w:val="001A5968"/>
    <w:rsid w:val="001A6F61"/>
    <w:rsid w:val="001B04DF"/>
    <w:rsid w:val="001B223C"/>
    <w:rsid w:val="001B6759"/>
    <w:rsid w:val="001B72B8"/>
    <w:rsid w:val="001C3F22"/>
    <w:rsid w:val="001C5CD1"/>
    <w:rsid w:val="001C69B3"/>
    <w:rsid w:val="001D0E9C"/>
    <w:rsid w:val="001D5595"/>
    <w:rsid w:val="001D7874"/>
    <w:rsid w:val="001D7F22"/>
    <w:rsid w:val="001E3704"/>
    <w:rsid w:val="001F0F17"/>
    <w:rsid w:val="001F2A4F"/>
    <w:rsid w:val="001F3347"/>
    <w:rsid w:val="001F3942"/>
    <w:rsid w:val="001F69E4"/>
    <w:rsid w:val="001F7103"/>
    <w:rsid w:val="00200BFC"/>
    <w:rsid w:val="00203088"/>
    <w:rsid w:val="00203E05"/>
    <w:rsid w:val="00205219"/>
    <w:rsid w:val="00207852"/>
    <w:rsid w:val="002125B4"/>
    <w:rsid w:val="002155B8"/>
    <w:rsid w:val="00221F09"/>
    <w:rsid w:val="00223766"/>
    <w:rsid w:val="00224839"/>
    <w:rsid w:val="002249B2"/>
    <w:rsid w:val="00226574"/>
    <w:rsid w:val="002278EC"/>
    <w:rsid w:val="002311AF"/>
    <w:rsid w:val="0023280E"/>
    <w:rsid w:val="002377D1"/>
    <w:rsid w:val="00240844"/>
    <w:rsid w:val="00242CD0"/>
    <w:rsid w:val="002506BC"/>
    <w:rsid w:val="00252A92"/>
    <w:rsid w:val="00254345"/>
    <w:rsid w:val="00256BF9"/>
    <w:rsid w:val="00264557"/>
    <w:rsid w:val="0026533A"/>
    <w:rsid w:val="00270EC6"/>
    <w:rsid w:val="002805AB"/>
    <w:rsid w:val="00282BDD"/>
    <w:rsid w:val="00284204"/>
    <w:rsid w:val="00291773"/>
    <w:rsid w:val="00292BAB"/>
    <w:rsid w:val="002A168C"/>
    <w:rsid w:val="002A3DC7"/>
    <w:rsid w:val="002B49E2"/>
    <w:rsid w:val="002B5CB3"/>
    <w:rsid w:val="002B7B00"/>
    <w:rsid w:val="002B7C44"/>
    <w:rsid w:val="002C0875"/>
    <w:rsid w:val="002C2B17"/>
    <w:rsid w:val="002C4789"/>
    <w:rsid w:val="002D3DD0"/>
    <w:rsid w:val="002D45FF"/>
    <w:rsid w:val="002E1F3A"/>
    <w:rsid w:val="002E234E"/>
    <w:rsid w:val="002E298A"/>
    <w:rsid w:val="002F1C66"/>
    <w:rsid w:val="002F3332"/>
    <w:rsid w:val="00301978"/>
    <w:rsid w:val="0030332C"/>
    <w:rsid w:val="003051C2"/>
    <w:rsid w:val="00312296"/>
    <w:rsid w:val="00314F0E"/>
    <w:rsid w:val="00315F11"/>
    <w:rsid w:val="00321D8E"/>
    <w:rsid w:val="00322FDC"/>
    <w:rsid w:val="0032532D"/>
    <w:rsid w:val="00325928"/>
    <w:rsid w:val="003263A1"/>
    <w:rsid w:val="00332863"/>
    <w:rsid w:val="0033684D"/>
    <w:rsid w:val="00337B42"/>
    <w:rsid w:val="00341B42"/>
    <w:rsid w:val="0034348F"/>
    <w:rsid w:val="00355CE5"/>
    <w:rsid w:val="00356653"/>
    <w:rsid w:val="00356661"/>
    <w:rsid w:val="0035743F"/>
    <w:rsid w:val="00357BE2"/>
    <w:rsid w:val="0036170C"/>
    <w:rsid w:val="00366E0F"/>
    <w:rsid w:val="0037500F"/>
    <w:rsid w:val="003750FA"/>
    <w:rsid w:val="00381A72"/>
    <w:rsid w:val="00381BD2"/>
    <w:rsid w:val="00384676"/>
    <w:rsid w:val="00390857"/>
    <w:rsid w:val="00391960"/>
    <w:rsid w:val="0039543B"/>
    <w:rsid w:val="003A0655"/>
    <w:rsid w:val="003A4BF3"/>
    <w:rsid w:val="003A64FA"/>
    <w:rsid w:val="003B2B36"/>
    <w:rsid w:val="003B420D"/>
    <w:rsid w:val="003B5A76"/>
    <w:rsid w:val="003C5670"/>
    <w:rsid w:val="003C6C16"/>
    <w:rsid w:val="003D6464"/>
    <w:rsid w:val="003D794D"/>
    <w:rsid w:val="003E3058"/>
    <w:rsid w:val="003E6F61"/>
    <w:rsid w:val="003E76A9"/>
    <w:rsid w:val="003F0809"/>
    <w:rsid w:val="003F20C8"/>
    <w:rsid w:val="003F417C"/>
    <w:rsid w:val="003F6A8C"/>
    <w:rsid w:val="003F755C"/>
    <w:rsid w:val="00406F01"/>
    <w:rsid w:val="00411CA3"/>
    <w:rsid w:val="00416D50"/>
    <w:rsid w:val="00416FD5"/>
    <w:rsid w:val="00417772"/>
    <w:rsid w:val="00420E6A"/>
    <w:rsid w:val="00425A9E"/>
    <w:rsid w:val="00426D6B"/>
    <w:rsid w:val="00427A16"/>
    <w:rsid w:val="00431556"/>
    <w:rsid w:val="00431E6C"/>
    <w:rsid w:val="00433CE7"/>
    <w:rsid w:val="00452738"/>
    <w:rsid w:val="00456091"/>
    <w:rsid w:val="0046619B"/>
    <w:rsid w:val="00466321"/>
    <w:rsid w:val="00472277"/>
    <w:rsid w:val="00473D8A"/>
    <w:rsid w:val="00484B9B"/>
    <w:rsid w:val="004855F6"/>
    <w:rsid w:val="00486203"/>
    <w:rsid w:val="0048661E"/>
    <w:rsid w:val="0049342A"/>
    <w:rsid w:val="00494670"/>
    <w:rsid w:val="004A3823"/>
    <w:rsid w:val="004E0863"/>
    <w:rsid w:val="004E124B"/>
    <w:rsid w:val="004E43BF"/>
    <w:rsid w:val="004E6946"/>
    <w:rsid w:val="004F1AD8"/>
    <w:rsid w:val="004F52A3"/>
    <w:rsid w:val="00500D82"/>
    <w:rsid w:val="005039CB"/>
    <w:rsid w:val="00503B44"/>
    <w:rsid w:val="0050558F"/>
    <w:rsid w:val="00506286"/>
    <w:rsid w:val="00507105"/>
    <w:rsid w:val="005077E6"/>
    <w:rsid w:val="00510813"/>
    <w:rsid w:val="00511990"/>
    <w:rsid w:val="00511DE0"/>
    <w:rsid w:val="00514445"/>
    <w:rsid w:val="00514870"/>
    <w:rsid w:val="00514B9B"/>
    <w:rsid w:val="0051536E"/>
    <w:rsid w:val="00517F02"/>
    <w:rsid w:val="00524303"/>
    <w:rsid w:val="005258A2"/>
    <w:rsid w:val="005316C2"/>
    <w:rsid w:val="005401AE"/>
    <w:rsid w:val="00542E07"/>
    <w:rsid w:val="00545424"/>
    <w:rsid w:val="00554A7B"/>
    <w:rsid w:val="0055572C"/>
    <w:rsid w:val="0055782B"/>
    <w:rsid w:val="0056106A"/>
    <w:rsid w:val="00566B95"/>
    <w:rsid w:val="0057114B"/>
    <w:rsid w:val="005720AE"/>
    <w:rsid w:val="005942A8"/>
    <w:rsid w:val="00594D77"/>
    <w:rsid w:val="005969E4"/>
    <w:rsid w:val="005A06B7"/>
    <w:rsid w:val="005A1759"/>
    <w:rsid w:val="005A1BE0"/>
    <w:rsid w:val="005A68A7"/>
    <w:rsid w:val="005A6ECC"/>
    <w:rsid w:val="005C0DEA"/>
    <w:rsid w:val="005C5266"/>
    <w:rsid w:val="005D36AB"/>
    <w:rsid w:val="005E57C5"/>
    <w:rsid w:val="006132D7"/>
    <w:rsid w:val="006144A9"/>
    <w:rsid w:val="00617CC3"/>
    <w:rsid w:val="00626880"/>
    <w:rsid w:val="0063194F"/>
    <w:rsid w:val="006377A6"/>
    <w:rsid w:val="00637A3D"/>
    <w:rsid w:val="006411EF"/>
    <w:rsid w:val="006570F0"/>
    <w:rsid w:val="00664178"/>
    <w:rsid w:val="0067304F"/>
    <w:rsid w:val="006748B8"/>
    <w:rsid w:val="006775C3"/>
    <w:rsid w:val="00680D99"/>
    <w:rsid w:val="00683463"/>
    <w:rsid w:val="006839F0"/>
    <w:rsid w:val="006845EF"/>
    <w:rsid w:val="0069290A"/>
    <w:rsid w:val="00696C70"/>
    <w:rsid w:val="0069775A"/>
    <w:rsid w:val="00697813"/>
    <w:rsid w:val="006A25E4"/>
    <w:rsid w:val="006A3EE8"/>
    <w:rsid w:val="006A72BF"/>
    <w:rsid w:val="006B03F2"/>
    <w:rsid w:val="006B37DC"/>
    <w:rsid w:val="006B4F68"/>
    <w:rsid w:val="006B6C44"/>
    <w:rsid w:val="006C0592"/>
    <w:rsid w:val="006C272E"/>
    <w:rsid w:val="006C49DB"/>
    <w:rsid w:val="006C5479"/>
    <w:rsid w:val="006D13B5"/>
    <w:rsid w:val="006D3659"/>
    <w:rsid w:val="006D5E93"/>
    <w:rsid w:val="006E12FF"/>
    <w:rsid w:val="006E607E"/>
    <w:rsid w:val="006F7362"/>
    <w:rsid w:val="006F7747"/>
    <w:rsid w:val="006F7EF7"/>
    <w:rsid w:val="00706C5D"/>
    <w:rsid w:val="00713F43"/>
    <w:rsid w:val="00720EA2"/>
    <w:rsid w:val="00732922"/>
    <w:rsid w:val="007467FA"/>
    <w:rsid w:val="0075162E"/>
    <w:rsid w:val="00754034"/>
    <w:rsid w:val="00756556"/>
    <w:rsid w:val="007618C4"/>
    <w:rsid w:val="0076313E"/>
    <w:rsid w:val="00765F29"/>
    <w:rsid w:val="007668C3"/>
    <w:rsid w:val="00767980"/>
    <w:rsid w:val="00770B19"/>
    <w:rsid w:val="007725B0"/>
    <w:rsid w:val="0077463F"/>
    <w:rsid w:val="007756C4"/>
    <w:rsid w:val="00777666"/>
    <w:rsid w:val="007836EA"/>
    <w:rsid w:val="00784CDA"/>
    <w:rsid w:val="0078768E"/>
    <w:rsid w:val="00787CC8"/>
    <w:rsid w:val="007906C4"/>
    <w:rsid w:val="007940EA"/>
    <w:rsid w:val="007967E8"/>
    <w:rsid w:val="007A2170"/>
    <w:rsid w:val="007A22BF"/>
    <w:rsid w:val="007A3323"/>
    <w:rsid w:val="007A6F63"/>
    <w:rsid w:val="007B1BCC"/>
    <w:rsid w:val="007B611B"/>
    <w:rsid w:val="007B72B8"/>
    <w:rsid w:val="007B7A58"/>
    <w:rsid w:val="007C1C20"/>
    <w:rsid w:val="007C21B5"/>
    <w:rsid w:val="007D457B"/>
    <w:rsid w:val="007E4BD2"/>
    <w:rsid w:val="007E53E1"/>
    <w:rsid w:val="00801393"/>
    <w:rsid w:val="00802F88"/>
    <w:rsid w:val="008059E8"/>
    <w:rsid w:val="0081293E"/>
    <w:rsid w:val="00815465"/>
    <w:rsid w:val="00817E9A"/>
    <w:rsid w:val="008306BD"/>
    <w:rsid w:val="00831A80"/>
    <w:rsid w:val="00833743"/>
    <w:rsid w:val="008340A4"/>
    <w:rsid w:val="00834883"/>
    <w:rsid w:val="008359DF"/>
    <w:rsid w:val="00835BAA"/>
    <w:rsid w:val="00835EA5"/>
    <w:rsid w:val="0083653A"/>
    <w:rsid w:val="00844285"/>
    <w:rsid w:val="008550FA"/>
    <w:rsid w:val="00863321"/>
    <w:rsid w:val="00865854"/>
    <w:rsid w:val="0086732C"/>
    <w:rsid w:val="00870CE1"/>
    <w:rsid w:val="0087135F"/>
    <w:rsid w:val="008719D4"/>
    <w:rsid w:val="00872D94"/>
    <w:rsid w:val="00875C18"/>
    <w:rsid w:val="00876B88"/>
    <w:rsid w:val="00880364"/>
    <w:rsid w:val="008852D8"/>
    <w:rsid w:val="008868DB"/>
    <w:rsid w:val="00891592"/>
    <w:rsid w:val="0089189B"/>
    <w:rsid w:val="00891E9E"/>
    <w:rsid w:val="00896172"/>
    <w:rsid w:val="008A2F68"/>
    <w:rsid w:val="008B0202"/>
    <w:rsid w:val="008B0B2C"/>
    <w:rsid w:val="008B4FA6"/>
    <w:rsid w:val="008B5282"/>
    <w:rsid w:val="008B5F81"/>
    <w:rsid w:val="008B7C17"/>
    <w:rsid w:val="008C07DB"/>
    <w:rsid w:val="008C2D01"/>
    <w:rsid w:val="008C40E6"/>
    <w:rsid w:val="008D0F7A"/>
    <w:rsid w:val="008D68E4"/>
    <w:rsid w:val="008E0506"/>
    <w:rsid w:val="008E0CFF"/>
    <w:rsid w:val="008E4764"/>
    <w:rsid w:val="008E5D6B"/>
    <w:rsid w:val="008E76F0"/>
    <w:rsid w:val="008F15FE"/>
    <w:rsid w:val="008F2D29"/>
    <w:rsid w:val="008F3843"/>
    <w:rsid w:val="008F5187"/>
    <w:rsid w:val="008F56BA"/>
    <w:rsid w:val="008F60D8"/>
    <w:rsid w:val="008F6485"/>
    <w:rsid w:val="00902727"/>
    <w:rsid w:val="0090312B"/>
    <w:rsid w:val="009045D6"/>
    <w:rsid w:val="0091225B"/>
    <w:rsid w:val="00915BE6"/>
    <w:rsid w:val="0091736D"/>
    <w:rsid w:val="0093037A"/>
    <w:rsid w:val="00940918"/>
    <w:rsid w:val="0094154D"/>
    <w:rsid w:val="00945068"/>
    <w:rsid w:val="0095155F"/>
    <w:rsid w:val="00954429"/>
    <w:rsid w:val="009563CE"/>
    <w:rsid w:val="00960271"/>
    <w:rsid w:val="00976328"/>
    <w:rsid w:val="0097680D"/>
    <w:rsid w:val="00982438"/>
    <w:rsid w:val="0098404C"/>
    <w:rsid w:val="00985283"/>
    <w:rsid w:val="00992CCB"/>
    <w:rsid w:val="00994DE7"/>
    <w:rsid w:val="00995989"/>
    <w:rsid w:val="00995992"/>
    <w:rsid w:val="009A03E5"/>
    <w:rsid w:val="009A0F3B"/>
    <w:rsid w:val="009A1BB4"/>
    <w:rsid w:val="009A2628"/>
    <w:rsid w:val="009A3200"/>
    <w:rsid w:val="009A5800"/>
    <w:rsid w:val="009B040B"/>
    <w:rsid w:val="009B0897"/>
    <w:rsid w:val="009B729B"/>
    <w:rsid w:val="009B7BD9"/>
    <w:rsid w:val="009C15CF"/>
    <w:rsid w:val="009C4955"/>
    <w:rsid w:val="009C7DD5"/>
    <w:rsid w:val="009D6FDE"/>
    <w:rsid w:val="009E227D"/>
    <w:rsid w:val="009E363F"/>
    <w:rsid w:val="009E43DA"/>
    <w:rsid w:val="009E5019"/>
    <w:rsid w:val="00A038B6"/>
    <w:rsid w:val="00A045B1"/>
    <w:rsid w:val="00A04F1B"/>
    <w:rsid w:val="00A0501B"/>
    <w:rsid w:val="00A05C08"/>
    <w:rsid w:val="00A14947"/>
    <w:rsid w:val="00A2362A"/>
    <w:rsid w:val="00A32A83"/>
    <w:rsid w:val="00A33FA6"/>
    <w:rsid w:val="00A342D3"/>
    <w:rsid w:val="00A34B51"/>
    <w:rsid w:val="00A368DB"/>
    <w:rsid w:val="00A3693E"/>
    <w:rsid w:val="00A423AA"/>
    <w:rsid w:val="00A43493"/>
    <w:rsid w:val="00A44107"/>
    <w:rsid w:val="00A45237"/>
    <w:rsid w:val="00A462EF"/>
    <w:rsid w:val="00A46EF9"/>
    <w:rsid w:val="00A47045"/>
    <w:rsid w:val="00A5008B"/>
    <w:rsid w:val="00A53051"/>
    <w:rsid w:val="00A53EC6"/>
    <w:rsid w:val="00A55C0F"/>
    <w:rsid w:val="00A604ED"/>
    <w:rsid w:val="00A61269"/>
    <w:rsid w:val="00A6244D"/>
    <w:rsid w:val="00A65587"/>
    <w:rsid w:val="00A700AF"/>
    <w:rsid w:val="00A71C5E"/>
    <w:rsid w:val="00A75DF1"/>
    <w:rsid w:val="00A8713F"/>
    <w:rsid w:val="00A90BA1"/>
    <w:rsid w:val="00A913C9"/>
    <w:rsid w:val="00A95A9A"/>
    <w:rsid w:val="00A97A9A"/>
    <w:rsid w:val="00AA0671"/>
    <w:rsid w:val="00AA2531"/>
    <w:rsid w:val="00AB1DAA"/>
    <w:rsid w:val="00AB1E09"/>
    <w:rsid w:val="00AB2C9B"/>
    <w:rsid w:val="00AB5330"/>
    <w:rsid w:val="00AB5B63"/>
    <w:rsid w:val="00AB7747"/>
    <w:rsid w:val="00AC14CE"/>
    <w:rsid w:val="00AC2A56"/>
    <w:rsid w:val="00AD055E"/>
    <w:rsid w:val="00AD47A7"/>
    <w:rsid w:val="00AF0735"/>
    <w:rsid w:val="00AF0C53"/>
    <w:rsid w:val="00AF0CBF"/>
    <w:rsid w:val="00AF1D62"/>
    <w:rsid w:val="00AF257F"/>
    <w:rsid w:val="00AF33CF"/>
    <w:rsid w:val="00AF3839"/>
    <w:rsid w:val="00AF4D50"/>
    <w:rsid w:val="00AF6179"/>
    <w:rsid w:val="00B02430"/>
    <w:rsid w:val="00B02CE6"/>
    <w:rsid w:val="00B07924"/>
    <w:rsid w:val="00B07F6C"/>
    <w:rsid w:val="00B10FBB"/>
    <w:rsid w:val="00B1111A"/>
    <w:rsid w:val="00B1295A"/>
    <w:rsid w:val="00B154A3"/>
    <w:rsid w:val="00B16AB6"/>
    <w:rsid w:val="00B178F0"/>
    <w:rsid w:val="00B20A45"/>
    <w:rsid w:val="00B2149F"/>
    <w:rsid w:val="00B22228"/>
    <w:rsid w:val="00B228FF"/>
    <w:rsid w:val="00B22C5C"/>
    <w:rsid w:val="00B22D28"/>
    <w:rsid w:val="00B23AD3"/>
    <w:rsid w:val="00B24F30"/>
    <w:rsid w:val="00B3132B"/>
    <w:rsid w:val="00B31ABF"/>
    <w:rsid w:val="00B32474"/>
    <w:rsid w:val="00B33BE3"/>
    <w:rsid w:val="00B362BC"/>
    <w:rsid w:val="00B53B5D"/>
    <w:rsid w:val="00B6055E"/>
    <w:rsid w:val="00B6317D"/>
    <w:rsid w:val="00B63B9B"/>
    <w:rsid w:val="00B7723F"/>
    <w:rsid w:val="00B77334"/>
    <w:rsid w:val="00B802AD"/>
    <w:rsid w:val="00B80534"/>
    <w:rsid w:val="00B83CBA"/>
    <w:rsid w:val="00B8433C"/>
    <w:rsid w:val="00B84D47"/>
    <w:rsid w:val="00B87491"/>
    <w:rsid w:val="00B92181"/>
    <w:rsid w:val="00B93E11"/>
    <w:rsid w:val="00B97101"/>
    <w:rsid w:val="00BA051B"/>
    <w:rsid w:val="00BA132B"/>
    <w:rsid w:val="00BA29E9"/>
    <w:rsid w:val="00BA3924"/>
    <w:rsid w:val="00BA63B9"/>
    <w:rsid w:val="00BA7142"/>
    <w:rsid w:val="00BA7963"/>
    <w:rsid w:val="00BA7E53"/>
    <w:rsid w:val="00BB237C"/>
    <w:rsid w:val="00BB41A3"/>
    <w:rsid w:val="00BC32DC"/>
    <w:rsid w:val="00BC35B6"/>
    <w:rsid w:val="00BD1B51"/>
    <w:rsid w:val="00BD4596"/>
    <w:rsid w:val="00BE1405"/>
    <w:rsid w:val="00BE312D"/>
    <w:rsid w:val="00BF1C20"/>
    <w:rsid w:val="00BF54B7"/>
    <w:rsid w:val="00C07E59"/>
    <w:rsid w:val="00C10578"/>
    <w:rsid w:val="00C10A2B"/>
    <w:rsid w:val="00C12D58"/>
    <w:rsid w:val="00C135BC"/>
    <w:rsid w:val="00C15C95"/>
    <w:rsid w:val="00C2596A"/>
    <w:rsid w:val="00C27537"/>
    <w:rsid w:val="00C311F3"/>
    <w:rsid w:val="00C328FE"/>
    <w:rsid w:val="00C33507"/>
    <w:rsid w:val="00C42D5A"/>
    <w:rsid w:val="00C4409D"/>
    <w:rsid w:val="00C44E72"/>
    <w:rsid w:val="00C45A06"/>
    <w:rsid w:val="00C47E5B"/>
    <w:rsid w:val="00C50730"/>
    <w:rsid w:val="00C528D4"/>
    <w:rsid w:val="00C61E4B"/>
    <w:rsid w:val="00C64BFF"/>
    <w:rsid w:val="00C704E9"/>
    <w:rsid w:val="00C738C0"/>
    <w:rsid w:val="00C73FE7"/>
    <w:rsid w:val="00C763C9"/>
    <w:rsid w:val="00C80057"/>
    <w:rsid w:val="00C82232"/>
    <w:rsid w:val="00C82913"/>
    <w:rsid w:val="00C85F20"/>
    <w:rsid w:val="00C87201"/>
    <w:rsid w:val="00C972B1"/>
    <w:rsid w:val="00CA2CCE"/>
    <w:rsid w:val="00CA43FD"/>
    <w:rsid w:val="00CA4555"/>
    <w:rsid w:val="00CA7EF8"/>
    <w:rsid w:val="00CB11EA"/>
    <w:rsid w:val="00CC0ACE"/>
    <w:rsid w:val="00CC3BDA"/>
    <w:rsid w:val="00CC489B"/>
    <w:rsid w:val="00CD2BCD"/>
    <w:rsid w:val="00CD3A4C"/>
    <w:rsid w:val="00CD3D21"/>
    <w:rsid w:val="00CE10E9"/>
    <w:rsid w:val="00CE13C7"/>
    <w:rsid w:val="00CE2910"/>
    <w:rsid w:val="00CE5393"/>
    <w:rsid w:val="00CE7983"/>
    <w:rsid w:val="00CF1B3A"/>
    <w:rsid w:val="00CF36BE"/>
    <w:rsid w:val="00CF501A"/>
    <w:rsid w:val="00CF6000"/>
    <w:rsid w:val="00D003F3"/>
    <w:rsid w:val="00D0364F"/>
    <w:rsid w:val="00D06834"/>
    <w:rsid w:val="00D14996"/>
    <w:rsid w:val="00D20B4D"/>
    <w:rsid w:val="00D308ED"/>
    <w:rsid w:val="00D36D86"/>
    <w:rsid w:val="00D428AA"/>
    <w:rsid w:val="00D474F2"/>
    <w:rsid w:val="00D50A34"/>
    <w:rsid w:val="00D53EFA"/>
    <w:rsid w:val="00D92F15"/>
    <w:rsid w:val="00D94A7C"/>
    <w:rsid w:val="00D94CD1"/>
    <w:rsid w:val="00D95896"/>
    <w:rsid w:val="00DB2954"/>
    <w:rsid w:val="00DB2983"/>
    <w:rsid w:val="00DB69B8"/>
    <w:rsid w:val="00DC1257"/>
    <w:rsid w:val="00DC3DC0"/>
    <w:rsid w:val="00DC5B2B"/>
    <w:rsid w:val="00DC69AE"/>
    <w:rsid w:val="00DD318D"/>
    <w:rsid w:val="00DD3B7A"/>
    <w:rsid w:val="00DE1720"/>
    <w:rsid w:val="00DE24D1"/>
    <w:rsid w:val="00DE43FF"/>
    <w:rsid w:val="00DF2E12"/>
    <w:rsid w:val="00DF514A"/>
    <w:rsid w:val="00DF6690"/>
    <w:rsid w:val="00DF6804"/>
    <w:rsid w:val="00E0358D"/>
    <w:rsid w:val="00E03AE0"/>
    <w:rsid w:val="00E04323"/>
    <w:rsid w:val="00E070A2"/>
    <w:rsid w:val="00E071F2"/>
    <w:rsid w:val="00E10C95"/>
    <w:rsid w:val="00E15234"/>
    <w:rsid w:val="00E2117A"/>
    <w:rsid w:val="00E25E42"/>
    <w:rsid w:val="00E2656A"/>
    <w:rsid w:val="00E412D0"/>
    <w:rsid w:val="00E46B2F"/>
    <w:rsid w:val="00E54838"/>
    <w:rsid w:val="00E558D9"/>
    <w:rsid w:val="00E56322"/>
    <w:rsid w:val="00E60982"/>
    <w:rsid w:val="00E62C62"/>
    <w:rsid w:val="00E654C1"/>
    <w:rsid w:val="00E65D97"/>
    <w:rsid w:val="00E72A5A"/>
    <w:rsid w:val="00E73354"/>
    <w:rsid w:val="00E82E6A"/>
    <w:rsid w:val="00E9242D"/>
    <w:rsid w:val="00EA0EA3"/>
    <w:rsid w:val="00EB5255"/>
    <w:rsid w:val="00EB5C47"/>
    <w:rsid w:val="00EB71F7"/>
    <w:rsid w:val="00ED0639"/>
    <w:rsid w:val="00ED1953"/>
    <w:rsid w:val="00ED3C94"/>
    <w:rsid w:val="00EE0C27"/>
    <w:rsid w:val="00EF4755"/>
    <w:rsid w:val="00EF550C"/>
    <w:rsid w:val="00EF6BD4"/>
    <w:rsid w:val="00EF6C3C"/>
    <w:rsid w:val="00EF7135"/>
    <w:rsid w:val="00F00428"/>
    <w:rsid w:val="00F027DB"/>
    <w:rsid w:val="00F127F3"/>
    <w:rsid w:val="00F147E5"/>
    <w:rsid w:val="00F14A7A"/>
    <w:rsid w:val="00F17E89"/>
    <w:rsid w:val="00F21A48"/>
    <w:rsid w:val="00F22985"/>
    <w:rsid w:val="00F3383E"/>
    <w:rsid w:val="00F45E43"/>
    <w:rsid w:val="00F465A7"/>
    <w:rsid w:val="00F50B7C"/>
    <w:rsid w:val="00F53393"/>
    <w:rsid w:val="00F550E6"/>
    <w:rsid w:val="00F57058"/>
    <w:rsid w:val="00F6257D"/>
    <w:rsid w:val="00F71288"/>
    <w:rsid w:val="00F74345"/>
    <w:rsid w:val="00F80A0A"/>
    <w:rsid w:val="00F82B19"/>
    <w:rsid w:val="00F8645C"/>
    <w:rsid w:val="00F9212D"/>
    <w:rsid w:val="00F965DA"/>
    <w:rsid w:val="00FA406A"/>
    <w:rsid w:val="00FA648D"/>
    <w:rsid w:val="00FB503A"/>
    <w:rsid w:val="00FB516C"/>
    <w:rsid w:val="00FB6003"/>
    <w:rsid w:val="00FC450F"/>
    <w:rsid w:val="00FD0236"/>
    <w:rsid w:val="00FD18F4"/>
    <w:rsid w:val="00FD54DB"/>
    <w:rsid w:val="00FD619F"/>
    <w:rsid w:val="00FE2EC4"/>
    <w:rsid w:val="00FF703A"/>
    <w:rsid w:val="01024FFA"/>
    <w:rsid w:val="01064C9A"/>
    <w:rsid w:val="01066ED7"/>
    <w:rsid w:val="01093E7C"/>
    <w:rsid w:val="010D7DD7"/>
    <w:rsid w:val="011078C7"/>
    <w:rsid w:val="0112363F"/>
    <w:rsid w:val="01141165"/>
    <w:rsid w:val="01203FAE"/>
    <w:rsid w:val="01290F7E"/>
    <w:rsid w:val="012A2737"/>
    <w:rsid w:val="012F2267"/>
    <w:rsid w:val="012F2F42"/>
    <w:rsid w:val="013122E4"/>
    <w:rsid w:val="01545A05"/>
    <w:rsid w:val="015D1E09"/>
    <w:rsid w:val="016E3B54"/>
    <w:rsid w:val="0179546C"/>
    <w:rsid w:val="017B11E4"/>
    <w:rsid w:val="017D4F5C"/>
    <w:rsid w:val="018A1427"/>
    <w:rsid w:val="018D0F17"/>
    <w:rsid w:val="018F2EE2"/>
    <w:rsid w:val="01964270"/>
    <w:rsid w:val="01981D96"/>
    <w:rsid w:val="01987FE8"/>
    <w:rsid w:val="01A544B3"/>
    <w:rsid w:val="01A71FD9"/>
    <w:rsid w:val="01AA1AC9"/>
    <w:rsid w:val="01AF2CB4"/>
    <w:rsid w:val="01BB5A85"/>
    <w:rsid w:val="01BB5D13"/>
    <w:rsid w:val="01BC2913"/>
    <w:rsid w:val="01C25065"/>
    <w:rsid w:val="01C60427"/>
    <w:rsid w:val="01C847F2"/>
    <w:rsid w:val="01C94D4E"/>
    <w:rsid w:val="01CA216C"/>
    <w:rsid w:val="01CC3A68"/>
    <w:rsid w:val="01D60B10"/>
    <w:rsid w:val="01DD4D72"/>
    <w:rsid w:val="01E52FAF"/>
    <w:rsid w:val="01EF12B8"/>
    <w:rsid w:val="01F33470"/>
    <w:rsid w:val="01FD42EF"/>
    <w:rsid w:val="020431C4"/>
    <w:rsid w:val="02135CA0"/>
    <w:rsid w:val="0215299B"/>
    <w:rsid w:val="021F7DC1"/>
    <w:rsid w:val="022B7969"/>
    <w:rsid w:val="022D3125"/>
    <w:rsid w:val="02331731"/>
    <w:rsid w:val="02385327"/>
    <w:rsid w:val="023B6BC5"/>
    <w:rsid w:val="02421B93"/>
    <w:rsid w:val="02431F65"/>
    <w:rsid w:val="02441F1E"/>
    <w:rsid w:val="02555ED9"/>
    <w:rsid w:val="0256755B"/>
    <w:rsid w:val="025D08EA"/>
    <w:rsid w:val="026309D8"/>
    <w:rsid w:val="02693733"/>
    <w:rsid w:val="02697903"/>
    <w:rsid w:val="026B1259"/>
    <w:rsid w:val="026C1AFB"/>
    <w:rsid w:val="026C77BD"/>
    <w:rsid w:val="026E0D49"/>
    <w:rsid w:val="026E2AF7"/>
    <w:rsid w:val="02706CB6"/>
    <w:rsid w:val="0272648B"/>
    <w:rsid w:val="0273635F"/>
    <w:rsid w:val="02774A2E"/>
    <w:rsid w:val="02781BC8"/>
    <w:rsid w:val="027A76EE"/>
    <w:rsid w:val="0288312F"/>
    <w:rsid w:val="028E13EB"/>
    <w:rsid w:val="02924A37"/>
    <w:rsid w:val="02937591"/>
    <w:rsid w:val="02960419"/>
    <w:rsid w:val="029C71D7"/>
    <w:rsid w:val="02A43418"/>
    <w:rsid w:val="02B349AE"/>
    <w:rsid w:val="02B80216"/>
    <w:rsid w:val="02BC7D06"/>
    <w:rsid w:val="02C1356F"/>
    <w:rsid w:val="02C346E0"/>
    <w:rsid w:val="02C646E1"/>
    <w:rsid w:val="02C92423"/>
    <w:rsid w:val="02D0021C"/>
    <w:rsid w:val="02D45050"/>
    <w:rsid w:val="02DC3F04"/>
    <w:rsid w:val="02DD7CB8"/>
    <w:rsid w:val="02E07E1A"/>
    <w:rsid w:val="02E11724"/>
    <w:rsid w:val="02E62FD5"/>
    <w:rsid w:val="02E917C6"/>
    <w:rsid w:val="02EA6F62"/>
    <w:rsid w:val="02EB05EB"/>
    <w:rsid w:val="02ED7EC0"/>
    <w:rsid w:val="02F05C02"/>
    <w:rsid w:val="02F2197A"/>
    <w:rsid w:val="02F56D74"/>
    <w:rsid w:val="02F96569"/>
    <w:rsid w:val="02FA082F"/>
    <w:rsid w:val="02FB439A"/>
    <w:rsid w:val="02FE3E7B"/>
    <w:rsid w:val="02FF7BF3"/>
    <w:rsid w:val="0302794D"/>
    <w:rsid w:val="030769C5"/>
    <w:rsid w:val="03092820"/>
    <w:rsid w:val="0313544C"/>
    <w:rsid w:val="031511C4"/>
    <w:rsid w:val="03174F3D"/>
    <w:rsid w:val="031C07A5"/>
    <w:rsid w:val="031E451D"/>
    <w:rsid w:val="03222B75"/>
    <w:rsid w:val="03267338"/>
    <w:rsid w:val="0328714A"/>
    <w:rsid w:val="03290669"/>
    <w:rsid w:val="032D1D37"/>
    <w:rsid w:val="032D29B2"/>
    <w:rsid w:val="03380E3C"/>
    <w:rsid w:val="033E6E0B"/>
    <w:rsid w:val="03433F84"/>
    <w:rsid w:val="03464EA5"/>
    <w:rsid w:val="0347314F"/>
    <w:rsid w:val="0348159A"/>
    <w:rsid w:val="034C72DC"/>
    <w:rsid w:val="03563CB7"/>
    <w:rsid w:val="036118B7"/>
    <w:rsid w:val="036C29D6"/>
    <w:rsid w:val="036C739C"/>
    <w:rsid w:val="03732EE0"/>
    <w:rsid w:val="0374238F"/>
    <w:rsid w:val="037E320E"/>
    <w:rsid w:val="03871C83"/>
    <w:rsid w:val="0388408C"/>
    <w:rsid w:val="038D521D"/>
    <w:rsid w:val="03942A31"/>
    <w:rsid w:val="03962305"/>
    <w:rsid w:val="039842CF"/>
    <w:rsid w:val="039B791C"/>
    <w:rsid w:val="039D7B38"/>
    <w:rsid w:val="03A42F63"/>
    <w:rsid w:val="03A53155"/>
    <w:rsid w:val="03A762C0"/>
    <w:rsid w:val="03AC6FB5"/>
    <w:rsid w:val="03B22EB7"/>
    <w:rsid w:val="03B6091A"/>
    <w:rsid w:val="03B65FF1"/>
    <w:rsid w:val="03B927E6"/>
    <w:rsid w:val="03B94246"/>
    <w:rsid w:val="03B97AEE"/>
    <w:rsid w:val="03BA19CF"/>
    <w:rsid w:val="03BC0C61"/>
    <w:rsid w:val="03C07EBE"/>
    <w:rsid w:val="03D3225C"/>
    <w:rsid w:val="03DC75B8"/>
    <w:rsid w:val="03DF6E67"/>
    <w:rsid w:val="03E33071"/>
    <w:rsid w:val="03EA7B21"/>
    <w:rsid w:val="03EB37D0"/>
    <w:rsid w:val="03EE0393"/>
    <w:rsid w:val="03EE2141"/>
    <w:rsid w:val="04022077"/>
    <w:rsid w:val="04043713"/>
    <w:rsid w:val="04051239"/>
    <w:rsid w:val="04082AD7"/>
    <w:rsid w:val="040F5BED"/>
    <w:rsid w:val="04112693"/>
    <w:rsid w:val="04194CE4"/>
    <w:rsid w:val="041D7745"/>
    <w:rsid w:val="0433224A"/>
    <w:rsid w:val="043543C3"/>
    <w:rsid w:val="04545D1C"/>
    <w:rsid w:val="04561A95"/>
    <w:rsid w:val="045F4DED"/>
    <w:rsid w:val="04620439"/>
    <w:rsid w:val="046504F3"/>
    <w:rsid w:val="04657F2A"/>
    <w:rsid w:val="04673CA2"/>
    <w:rsid w:val="0472627E"/>
    <w:rsid w:val="04787198"/>
    <w:rsid w:val="047B14FB"/>
    <w:rsid w:val="04893C18"/>
    <w:rsid w:val="049E0AF8"/>
    <w:rsid w:val="04A040B3"/>
    <w:rsid w:val="04A62A1C"/>
    <w:rsid w:val="04A84BE8"/>
    <w:rsid w:val="04A942BA"/>
    <w:rsid w:val="04B00DC4"/>
    <w:rsid w:val="04B72815"/>
    <w:rsid w:val="04B8699B"/>
    <w:rsid w:val="04C9670A"/>
    <w:rsid w:val="04CB041A"/>
    <w:rsid w:val="04CD61FB"/>
    <w:rsid w:val="04DC643E"/>
    <w:rsid w:val="04E452F2"/>
    <w:rsid w:val="04E92843"/>
    <w:rsid w:val="04F81A70"/>
    <w:rsid w:val="05065269"/>
    <w:rsid w:val="05080FE1"/>
    <w:rsid w:val="05094D59"/>
    <w:rsid w:val="05184F9C"/>
    <w:rsid w:val="05263B5D"/>
    <w:rsid w:val="05281683"/>
    <w:rsid w:val="05283431"/>
    <w:rsid w:val="052851DF"/>
    <w:rsid w:val="052A3777"/>
    <w:rsid w:val="052B23FB"/>
    <w:rsid w:val="05340028"/>
    <w:rsid w:val="05445D91"/>
    <w:rsid w:val="054466C6"/>
    <w:rsid w:val="05483AD3"/>
    <w:rsid w:val="0549010F"/>
    <w:rsid w:val="054933A7"/>
    <w:rsid w:val="054F6A7F"/>
    <w:rsid w:val="055661F0"/>
    <w:rsid w:val="0560750F"/>
    <w:rsid w:val="05665D07"/>
    <w:rsid w:val="056703FD"/>
    <w:rsid w:val="056A3A4A"/>
    <w:rsid w:val="05706B86"/>
    <w:rsid w:val="057427F5"/>
    <w:rsid w:val="0576797F"/>
    <w:rsid w:val="057B5147"/>
    <w:rsid w:val="057E371F"/>
    <w:rsid w:val="05814F14"/>
    <w:rsid w:val="05882122"/>
    <w:rsid w:val="0588600B"/>
    <w:rsid w:val="058A5E9A"/>
    <w:rsid w:val="058E660D"/>
    <w:rsid w:val="059146C9"/>
    <w:rsid w:val="05924E76"/>
    <w:rsid w:val="05926AFC"/>
    <w:rsid w:val="05A1543E"/>
    <w:rsid w:val="05A85BFA"/>
    <w:rsid w:val="05AB7BBE"/>
    <w:rsid w:val="05B64EE1"/>
    <w:rsid w:val="05BA31E4"/>
    <w:rsid w:val="05BB7FE0"/>
    <w:rsid w:val="05C0366A"/>
    <w:rsid w:val="05C07B0D"/>
    <w:rsid w:val="05C237BA"/>
    <w:rsid w:val="05CF7D50"/>
    <w:rsid w:val="05D46A64"/>
    <w:rsid w:val="05D62E8D"/>
    <w:rsid w:val="05DE61E6"/>
    <w:rsid w:val="05F45A09"/>
    <w:rsid w:val="05F83EAE"/>
    <w:rsid w:val="06043E9E"/>
    <w:rsid w:val="060968FB"/>
    <w:rsid w:val="060A6FDB"/>
    <w:rsid w:val="060C7A04"/>
    <w:rsid w:val="060E0879"/>
    <w:rsid w:val="060E6ACB"/>
    <w:rsid w:val="060F45F1"/>
    <w:rsid w:val="06185ABE"/>
    <w:rsid w:val="061C5678"/>
    <w:rsid w:val="062067FE"/>
    <w:rsid w:val="0624009C"/>
    <w:rsid w:val="062718DE"/>
    <w:rsid w:val="062C1626"/>
    <w:rsid w:val="062E0F1B"/>
    <w:rsid w:val="063127B9"/>
    <w:rsid w:val="06316BF0"/>
    <w:rsid w:val="06336531"/>
    <w:rsid w:val="063876A4"/>
    <w:rsid w:val="063D4CBA"/>
    <w:rsid w:val="063E7D85"/>
    <w:rsid w:val="064424ED"/>
    <w:rsid w:val="06452ABE"/>
    <w:rsid w:val="06486D9A"/>
    <w:rsid w:val="064A5629"/>
    <w:rsid w:val="064C13A1"/>
    <w:rsid w:val="065D710A"/>
    <w:rsid w:val="06620BC5"/>
    <w:rsid w:val="06677F89"/>
    <w:rsid w:val="066A5E6C"/>
    <w:rsid w:val="066F06E3"/>
    <w:rsid w:val="06750665"/>
    <w:rsid w:val="067D4CEA"/>
    <w:rsid w:val="067F3525"/>
    <w:rsid w:val="068776D9"/>
    <w:rsid w:val="069074E0"/>
    <w:rsid w:val="06931805"/>
    <w:rsid w:val="069845E6"/>
    <w:rsid w:val="06997E88"/>
    <w:rsid w:val="06A42F8B"/>
    <w:rsid w:val="06A44D39"/>
    <w:rsid w:val="06A50AB1"/>
    <w:rsid w:val="06A92474"/>
    <w:rsid w:val="06AB0A0E"/>
    <w:rsid w:val="06AE3E0A"/>
    <w:rsid w:val="06C62F02"/>
    <w:rsid w:val="06CE6EF4"/>
    <w:rsid w:val="06D27AF8"/>
    <w:rsid w:val="06DF2215"/>
    <w:rsid w:val="06E15F8D"/>
    <w:rsid w:val="06F061D0"/>
    <w:rsid w:val="06F20536"/>
    <w:rsid w:val="06F3181D"/>
    <w:rsid w:val="06F4336E"/>
    <w:rsid w:val="07083C84"/>
    <w:rsid w:val="07155C37"/>
    <w:rsid w:val="071A324D"/>
    <w:rsid w:val="072445B9"/>
    <w:rsid w:val="07293586"/>
    <w:rsid w:val="07295285"/>
    <w:rsid w:val="07342561"/>
    <w:rsid w:val="07442078"/>
    <w:rsid w:val="07464042"/>
    <w:rsid w:val="074D717F"/>
    <w:rsid w:val="075229E7"/>
    <w:rsid w:val="07527F38"/>
    <w:rsid w:val="0757624F"/>
    <w:rsid w:val="075C73C2"/>
    <w:rsid w:val="07634BF4"/>
    <w:rsid w:val="07636392"/>
    <w:rsid w:val="07770C56"/>
    <w:rsid w:val="077B36C0"/>
    <w:rsid w:val="077C5CB6"/>
    <w:rsid w:val="077E558A"/>
    <w:rsid w:val="078608E3"/>
    <w:rsid w:val="078801B7"/>
    <w:rsid w:val="07881D66"/>
    <w:rsid w:val="07966D78"/>
    <w:rsid w:val="079B25E0"/>
    <w:rsid w:val="07AB4606"/>
    <w:rsid w:val="07B23486"/>
    <w:rsid w:val="07B47950"/>
    <w:rsid w:val="07B74F40"/>
    <w:rsid w:val="07B76CEE"/>
    <w:rsid w:val="07BA7A68"/>
    <w:rsid w:val="07C27AF6"/>
    <w:rsid w:val="07C35693"/>
    <w:rsid w:val="07C5765D"/>
    <w:rsid w:val="07C63E4A"/>
    <w:rsid w:val="07C95AF2"/>
    <w:rsid w:val="07CF228A"/>
    <w:rsid w:val="07D17DB0"/>
    <w:rsid w:val="07D94EB6"/>
    <w:rsid w:val="07DF36D0"/>
    <w:rsid w:val="07E327C2"/>
    <w:rsid w:val="07EC4BEA"/>
    <w:rsid w:val="07F023C3"/>
    <w:rsid w:val="07F43A9E"/>
    <w:rsid w:val="07F615C4"/>
    <w:rsid w:val="0802440D"/>
    <w:rsid w:val="08057A5A"/>
    <w:rsid w:val="0808754A"/>
    <w:rsid w:val="080B79E7"/>
    <w:rsid w:val="080C0DE8"/>
    <w:rsid w:val="081622BE"/>
    <w:rsid w:val="081B70BC"/>
    <w:rsid w:val="082B4AC2"/>
    <w:rsid w:val="082C16C5"/>
    <w:rsid w:val="08346591"/>
    <w:rsid w:val="08384337"/>
    <w:rsid w:val="08470072"/>
    <w:rsid w:val="084762C4"/>
    <w:rsid w:val="08485B98"/>
    <w:rsid w:val="084A19CD"/>
    <w:rsid w:val="084A22BC"/>
    <w:rsid w:val="084E5DED"/>
    <w:rsid w:val="08510EF1"/>
    <w:rsid w:val="0854278F"/>
    <w:rsid w:val="085E53BC"/>
    <w:rsid w:val="08753B36"/>
    <w:rsid w:val="088010FF"/>
    <w:rsid w:val="08980644"/>
    <w:rsid w:val="089963F4"/>
    <w:rsid w:val="08A13584"/>
    <w:rsid w:val="08A234FA"/>
    <w:rsid w:val="08A2799E"/>
    <w:rsid w:val="08A84E85"/>
    <w:rsid w:val="08A904CA"/>
    <w:rsid w:val="08A9137D"/>
    <w:rsid w:val="08A94889"/>
    <w:rsid w:val="08AC4379"/>
    <w:rsid w:val="08AD581B"/>
    <w:rsid w:val="08AF4D90"/>
    <w:rsid w:val="08BB636A"/>
    <w:rsid w:val="08BC0A60"/>
    <w:rsid w:val="08BD6586"/>
    <w:rsid w:val="08C94F2B"/>
    <w:rsid w:val="08D33112"/>
    <w:rsid w:val="08D37B58"/>
    <w:rsid w:val="08E05092"/>
    <w:rsid w:val="08F17FDE"/>
    <w:rsid w:val="08F5187C"/>
    <w:rsid w:val="08FB7F22"/>
    <w:rsid w:val="08FD117F"/>
    <w:rsid w:val="090441B5"/>
    <w:rsid w:val="090D306A"/>
    <w:rsid w:val="0911242E"/>
    <w:rsid w:val="09134F41"/>
    <w:rsid w:val="092217DD"/>
    <w:rsid w:val="092E4D8E"/>
    <w:rsid w:val="09300B06"/>
    <w:rsid w:val="093A7294"/>
    <w:rsid w:val="0940376A"/>
    <w:rsid w:val="094273DC"/>
    <w:rsid w:val="094B3B92"/>
    <w:rsid w:val="09510CB4"/>
    <w:rsid w:val="0955056D"/>
    <w:rsid w:val="095742E5"/>
    <w:rsid w:val="095758A2"/>
    <w:rsid w:val="095A2027"/>
    <w:rsid w:val="095E521A"/>
    <w:rsid w:val="098350DA"/>
    <w:rsid w:val="098552F6"/>
    <w:rsid w:val="09913A13"/>
    <w:rsid w:val="099E0166"/>
    <w:rsid w:val="099E3CC2"/>
    <w:rsid w:val="09A245ED"/>
    <w:rsid w:val="09A7661F"/>
    <w:rsid w:val="09AD0E69"/>
    <w:rsid w:val="09AF2373"/>
    <w:rsid w:val="09B039F5"/>
    <w:rsid w:val="09BB0D18"/>
    <w:rsid w:val="09C54398"/>
    <w:rsid w:val="09CA2D09"/>
    <w:rsid w:val="09CF031F"/>
    <w:rsid w:val="09D26061"/>
    <w:rsid w:val="09D973F0"/>
    <w:rsid w:val="09DE7301"/>
    <w:rsid w:val="09E0252C"/>
    <w:rsid w:val="09E3649F"/>
    <w:rsid w:val="09F2225F"/>
    <w:rsid w:val="09F2400E"/>
    <w:rsid w:val="09F4422A"/>
    <w:rsid w:val="09F50B09"/>
    <w:rsid w:val="09F71624"/>
    <w:rsid w:val="09FE6E56"/>
    <w:rsid w:val="0A014251"/>
    <w:rsid w:val="0A067AB9"/>
    <w:rsid w:val="0A092BB9"/>
    <w:rsid w:val="0A0C6112"/>
    <w:rsid w:val="0A0D52EB"/>
    <w:rsid w:val="0A122902"/>
    <w:rsid w:val="0A12645E"/>
    <w:rsid w:val="0A19188B"/>
    <w:rsid w:val="0A193C90"/>
    <w:rsid w:val="0A1E4E03"/>
    <w:rsid w:val="0A24273B"/>
    <w:rsid w:val="0A263993"/>
    <w:rsid w:val="0A2A19F9"/>
    <w:rsid w:val="0A2A3A81"/>
    <w:rsid w:val="0A2C7FD3"/>
    <w:rsid w:val="0A2D3AC2"/>
    <w:rsid w:val="0A2E773B"/>
    <w:rsid w:val="0A2F386B"/>
    <w:rsid w:val="0A36039E"/>
    <w:rsid w:val="0A397E8E"/>
    <w:rsid w:val="0A3B3C06"/>
    <w:rsid w:val="0A3B6B8A"/>
    <w:rsid w:val="0A4106A1"/>
    <w:rsid w:val="0A432ABB"/>
    <w:rsid w:val="0A4E393A"/>
    <w:rsid w:val="0A516E0D"/>
    <w:rsid w:val="0A54037F"/>
    <w:rsid w:val="0A560A40"/>
    <w:rsid w:val="0A5A0EB0"/>
    <w:rsid w:val="0A5A709A"/>
    <w:rsid w:val="0A5D378E"/>
    <w:rsid w:val="0A621193"/>
    <w:rsid w:val="0A636CB9"/>
    <w:rsid w:val="0A64315D"/>
    <w:rsid w:val="0A652A31"/>
    <w:rsid w:val="0A6D2261"/>
    <w:rsid w:val="0A716483"/>
    <w:rsid w:val="0A747118"/>
    <w:rsid w:val="0A7B4003"/>
    <w:rsid w:val="0A7D5FCD"/>
    <w:rsid w:val="0A854E82"/>
    <w:rsid w:val="0A8D3D36"/>
    <w:rsid w:val="0A99282A"/>
    <w:rsid w:val="0A9E4B05"/>
    <w:rsid w:val="0AA755DF"/>
    <w:rsid w:val="0AB1211B"/>
    <w:rsid w:val="0AB2168A"/>
    <w:rsid w:val="0AB34339"/>
    <w:rsid w:val="0AB37C41"/>
    <w:rsid w:val="0ABC0D5D"/>
    <w:rsid w:val="0ABD286D"/>
    <w:rsid w:val="0ACF434F"/>
    <w:rsid w:val="0ACF7AE7"/>
    <w:rsid w:val="0AD876A7"/>
    <w:rsid w:val="0ADC17D3"/>
    <w:rsid w:val="0ADD6A6C"/>
    <w:rsid w:val="0AE26307"/>
    <w:rsid w:val="0AE93662"/>
    <w:rsid w:val="0AF30554"/>
    <w:rsid w:val="0AF811A4"/>
    <w:rsid w:val="0AFA5870"/>
    <w:rsid w:val="0B057E05"/>
    <w:rsid w:val="0B08250A"/>
    <w:rsid w:val="0B0C10FF"/>
    <w:rsid w:val="0B120D44"/>
    <w:rsid w:val="0B13248D"/>
    <w:rsid w:val="0B1701D1"/>
    <w:rsid w:val="0B1A7CC0"/>
    <w:rsid w:val="0B355D0C"/>
    <w:rsid w:val="0B3B5918"/>
    <w:rsid w:val="0B424B21"/>
    <w:rsid w:val="0B4B60CB"/>
    <w:rsid w:val="0B575FC8"/>
    <w:rsid w:val="0B5A00BC"/>
    <w:rsid w:val="0B5A630E"/>
    <w:rsid w:val="0B6158EF"/>
    <w:rsid w:val="0B753E53"/>
    <w:rsid w:val="0B7A42BB"/>
    <w:rsid w:val="0B84338B"/>
    <w:rsid w:val="0B927856"/>
    <w:rsid w:val="0B9463E0"/>
    <w:rsid w:val="0BA15CEB"/>
    <w:rsid w:val="0BA83BD6"/>
    <w:rsid w:val="0BAA1044"/>
    <w:rsid w:val="0BBA6DAD"/>
    <w:rsid w:val="0BC119BA"/>
    <w:rsid w:val="0BCB0FBA"/>
    <w:rsid w:val="0BCD088E"/>
    <w:rsid w:val="0BD27BF6"/>
    <w:rsid w:val="0BE5207C"/>
    <w:rsid w:val="0BF20764"/>
    <w:rsid w:val="0BF502C6"/>
    <w:rsid w:val="0BFD6B61"/>
    <w:rsid w:val="0C0250CD"/>
    <w:rsid w:val="0C192780"/>
    <w:rsid w:val="0C1B3CF0"/>
    <w:rsid w:val="0C1C7A68"/>
    <w:rsid w:val="0C20118A"/>
    <w:rsid w:val="0C201306"/>
    <w:rsid w:val="0C230DF6"/>
    <w:rsid w:val="0C274EA9"/>
    <w:rsid w:val="0C2762D9"/>
    <w:rsid w:val="0C2D757F"/>
    <w:rsid w:val="0C3B3C7D"/>
    <w:rsid w:val="0C3C5A14"/>
    <w:rsid w:val="0C3D5107"/>
    <w:rsid w:val="0C3F7BB0"/>
    <w:rsid w:val="0C474AF2"/>
    <w:rsid w:val="0C4F3999"/>
    <w:rsid w:val="0C526FE5"/>
    <w:rsid w:val="0C587959"/>
    <w:rsid w:val="0C5B215F"/>
    <w:rsid w:val="0C5D1E9D"/>
    <w:rsid w:val="0C633BE0"/>
    <w:rsid w:val="0C692CAD"/>
    <w:rsid w:val="0C747D97"/>
    <w:rsid w:val="0C790A16"/>
    <w:rsid w:val="0C7927C4"/>
    <w:rsid w:val="0C7C4062"/>
    <w:rsid w:val="0C7F6C0A"/>
    <w:rsid w:val="0C8C699B"/>
    <w:rsid w:val="0C912C5C"/>
    <w:rsid w:val="0C936D5C"/>
    <w:rsid w:val="0C99140A"/>
    <w:rsid w:val="0C994C14"/>
    <w:rsid w:val="0C9E222B"/>
    <w:rsid w:val="0CA5180B"/>
    <w:rsid w:val="0CA830A9"/>
    <w:rsid w:val="0CAA5CE1"/>
    <w:rsid w:val="0CAB2EAE"/>
    <w:rsid w:val="0CAF61E6"/>
    <w:rsid w:val="0CB63A18"/>
    <w:rsid w:val="0CBA524C"/>
    <w:rsid w:val="0CBB4B8B"/>
    <w:rsid w:val="0CCC4C4B"/>
    <w:rsid w:val="0CCE3913"/>
    <w:rsid w:val="0CCF6888"/>
    <w:rsid w:val="0CD520F0"/>
    <w:rsid w:val="0CD666EC"/>
    <w:rsid w:val="0CDA1F1F"/>
    <w:rsid w:val="0CDD71F7"/>
    <w:rsid w:val="0CDE6ACB"/>
    <w:rsid w:val="0CE75980"/>
    <w:rsid w:val="0CE9458E"/>
    <w:rsid w:val="0CEC2F96"/>
    <w:rsid w:val="0CEE1EA6"/>
    <w:rsid w:val="0CEF73D2"/>
    <w:rsid w:val="0CF81D5D"/>
    <w:rsid w:val="0CF87B8D"/>
    <w:rsid w:val="0CFB142B"/>
    <w:rsid w:val="0CFD33F5"/>
    <w:rsid w:val="0CFF54F2"/>
    <w:rsid w:val="0D044784"/>
    <w:rsid w:val="0D0E73B0"/>
    <w:rsid w:val="0D0F523E"/>
    <w:rsid w:val="0D151619"/>
    <w:rsid w:val="0D152301"/>
    <w:rsid w:val="0D1F1227"/>
    <w:rsid w:val="0D200E92"/>
    <w:rsid w:val="0D253AC7"/>
    <w:rsid w:val="0D26294C"/>
    <w:rsid w:val="0D2E1801"/>
    <w:rsid w:val="0D3517D5"/>
    <w:rsid w:val="0D3D5EE8"/>
    <w:rsid w:val="0D490C61"/>
    <w:rsid w:val="0D4C7E4E"/>
    <w:rsid w:val="0D5323DA"/>
    <w:rsid w:val="0D554FDF"/>
    <w:rsid w:val="0D58687D"/>
    <w:rsid w:val="0D5E7D23"/>
    <w:rsid w:val="0D605732"/>
    <w:rsid w:val="0D621C7D"/>
    <w:rsid w:val="0D643474"/>
    <w:rsid w:val="0D645222"/>
    <w:rsid w:val="0D676AC1"/>
    <w:rsid w:val="0D731909"/>
    <w:rsid w:val="0D7336B7"/>
    <w:rsid w:val="0D7A4A46"/>
    <w:rsid w:val="0D7C6A10"/>
    <w:rsid w:val="0D7E2E7B"/>
    <w:rsid w:val="0D814026"/>
    <w:rsid w:val="0D8238FA"/>
    <w:rsid w:val="0D870F11"/>
    <w:rsid w:val="0D874C81"/>
    <w:rsid w:val="0D8F21C5"/>
    <w:rsid w:val="0D977646"/>
    <w:rsid w:val="0D9D0E65"/>
    <w:rsid w:val="0DA10224"/>
    <w:rsid w:val="0DA675E9"/>
    <w:rsid w:val="0DAB2E51"/>
    <w:rsid w:val="0DB25F8E"/>
    <w:rsid w:val="0DB717F6"/>
    <w:rsid w:val="0DD00B0A"/>
    <w:rsid w:val="0DD62DD5"/>
    <w:rsid w:val="0DD779A6"/>
    <w:rsid w:val="0DDB093D"/>
    <w:rsid w:val="0DE34153"/>
    <w:rsid w:val="0DE34399"/>
    <w:rsid w:val="0DE5117B"/>
    <w:rsid w:val="0DE545B5"/>
    <w:rsid w:val="0DE6032D"/>
    <w:rsid w:val="0DED16BC"/>
    <w:rsid w:val="0DEF69F4"/>
    <w:rsid w:val="0DF20A80"/>
    <w:rsid w:val="0DFA5B87"/>
    <w:rsid w:val="0E0C7AFE"/>
    <w:rsid w:val="0E0D6AF2"/>
    <w:rsid w:val="0E124C7E"/>
    <w:rsid w:val="0E166FCE"/>
    <w:rsid w:val="0E1A17D5"/>
    <w:rsid w:val="0E211D74"/>
    <w:rsid w:val="0E4D215A"/>
    <w:rsid w:val="0E5378BC"/>
    <w:rsid w:val="0E5864B3"/>
    <w:rsid w:val="0E603C3C"/>
    <w:rsid w:val="0E631DF4"/>
    <w:rsid w:val="0E6B25E0"/>
    <w:rsid w:val="0E6B438E"/>
    <w:rsid w:val="0E6B45A4"/>
    <w:rsid w:val="0E73034D"/>
    <w:rsid w:val="0E744A50"/>
    <w:rsid w:val="0E7476E7"/>
    <w:rsid w:val="0E7C6834"/>
    <w:rsid w:val="0E8679EA"/>
    <w:rsid w:val="0E87566C"/>
    <w:rsid w:val="0E8E1069"/>
    <w:rsid w:val="0E8E3F75"/>
    <w:rsid w:val="0E927B6D"/>
    <w:rsid w:val="0E940E56"/>
    <w:rsid w:val="0E9644C4"/>
    <w:rsid w:val="0E9658AF"/>
    <w:rsid w:val="0E96765D"/>
    <w:rsid w:val="0E9F36E7"/>
    <w:rsid w:val="0EA948C9"/>
    <w:rsid w:val="0EBC00EE"/>
    <w:rsid w:val="0EC41493"/>
    <w:rsid w:val="0EC71F0D"/>
    <w:rsid w:val="0EC95C85"/>
    <w:rsid w:val="0ED15F25"/>
    <w:rsid w:val="0ED4462A"/>
    <w:rsid w:val="0EE44AF3"/>
    <w:rsid w:val="0EE52393"/>
    <w:rsid w:val="0EE91002"/>
    <w:rsid w:val="0EEA79A9"/>
    <w:rsid w:val="0EF56A7A"/>
    <w:rsid w:val="0F024CF3"/>
    <w:rsid w:val="0F032819"/>
    <w:rsid w:val="0F046CBD"/>
    <w:rsid w:val="0F0D0F22"/>
    <w:rsid w:val="0F13775A"/>
    <w:rsid w:val="0F182F0F"/>
    <w:rsid w:val="0F186B39"/>
    <w:rsid w:val="0F1F034D"/>
    <w:rsid w:val="0F2227A9"/>
    <w:rsid w:val="0F2F360E"/>
    <w:rsid w:val="0F386966"/>
    <w:rsid w:val="0F3D5D2B"/>
    <w:rsid w:val="0F5111A6"/>
    <w:rsid w:val="0F587009"/>
    <w:rsid w:val="0F5D461F"/>
    <w:rsid w:val="0F5F45FE"/>
    <w:rsid w:val="0F657030"/>
    <w:rsid w:val="0F657DE8"/>
    <w:rsid w:val="0F6C6610"/>
    <w:rsid w:val="0F757FCC"/>
    <w:rsid w:val="0F7D081D"/>
    <w:rsid w:val="0F7F4595"/>
    <w:rsid w:val="0F824086"/>
    <w:rsid w:val="0F826BFB"/>
    <w:rsid w:val="0F953899"/>
    <w:rsid w:val="0F985657"/>
    <w:rsid w:val="0F9A112B"/>
    <w:rsid w:val="0F9D5B71"/>
    <w:rsid w:val="0F9F0794"/>
    <w:rsid w:val="0FA933C0"/>
    <w:rsid w:val="0FAB4E34"/>
    <w:rsid w:val="0FBF4992"/>
    <w:rsid w:val="0FC316EA"/>
    <w:rsid w:val="0FC85F3C"/>
    <w:rsid w:val="0FCA37D9"/>
    <w:rsid w:val="0FD73768"/>
    <w:rsid w:val="0FD820CA"/>
    <w:rsid w:val="0FDD12BC"/>
    <w:rsid w:val="0FDE750E"/>
    <w:rsid w:val="0FE16FFE"/>
    <w:rsid w:val="0FF24D67"/>
    <w:rsid w:val="0FF7412C"/>
    <w:rsid w:val="0FF94348"/>
    <w:rsid w:val="0FFA1E6E"/>
    <w:rsid w:val="0FFC3CF9"/>
    <w:rsid w:val="10090303"/>
    <w:rsid w:val="10097D21"/>
    <w:rsid w:val="100F7D66"/>
    <w:rsid w:val="10125409"/>
    <w:rsid w:val="10143FAC"/>
    <w:rsid w:val="101A2510"/>
    <w:rsid w:val="101F4657"/>
    <w:rsid w:val="10240C99"/>
    <w:rsid w:val="102665D2"/>
    <w:rsid w:val="102F7192"/>
    <w:rsid w:val="10321608"/>
    <w:rsid w:val="10345380"/>
    <w:rsid w:val="104135F9"/>
    <w:rsid w:val="104F29C6"/>
    <w:rsid w:val="10552B1C"/>
    <w:rsid w:val="105C6554"/>
    <w:rsid w:val="105C6BC2"/>
    <w:rsid w:val="106D2F64"/>
    <w:rsid w:val="10765998"/>
    <w:rsid w:val="107C6D27"/>
    <w:rsid w:val="107F59CF"/>
    <w:rsid w:val="10806817"/>
    <w:rsid w:val="10831E63"/>
    <w:rsid w:val="10845A10"/>
    <w:rsid w:val="10857989"/>
    <w:rsid w:val="108628B1"/>
    <w:rsid w:val="108D1265"/>
    <w:rsid w:val="109127D2"/>
    <w:rsid w:val="10982F24"/>
    <w:rsid w:val="109E4EEF"/>
    <w:rsid w:val="109F048E"/>
    <w:rsid w:val="10A84707"/>
    <w:rsid w:val="10AD4B03"/>
    <w:rsid w:val="10B63710"/>
    <w:rsid w:val="10B86A16"/>
    <w:rsid w:val="10BB33AB"/>
    <w:rsid w:val="10BD451F"/>
    <w:rsid w:val="10C009C2"/>
    <w:rsid w:val="10C5422A"/>
    <w:rsid w:val="10D17D25"/>
    <w:rsid w:val="10DC6F8F"/>
    <w:rsid w:val="10E32902"/>
    <w:rsid w:val="10E3417A"/>
    <w:rsid w:val="10E723F2"/>
    <w:rsid w:val="10E87F18"/>
    <w:rsid w:val="10E943BC"/>
    <w:rsid w:val="10F10820"/>
    <w:rsid w:val="10FB5E9E"/>
    <w:rsid w:val="10FC5772"/>
    <w:rsid w:val="110A4DCF"/>
    <w:rsid w:val="110D797F"/>
    <w:rsid w:val="110E055E"/>
    <w:rsid w:val="1111121D"/>
    <w:rsid w:val="111725AC"/>
    <w:rsid w:val="111C2F7A"/>
    <w:rsid w:val="111D7BC2"/>
    <w:rsid w:val="112371A2"/>
    <w:rsid w:val="112F55F3"/>
    <w:rsid w:val="11335637"/>
    <w:rsid w:val="113B4A70"/>
    <w:rsid w:val="1140317B"/>
    <w:rsid w:val="11433A97"/>
    <w:rsid w:val="11483E0A"/>
    <w:rsid w:val="11507455"/>
    <w:rsid w:val="11587AE7"/>
    <w:rsid w:val="116003F7"/>
    <w:rsid w:val="116021A5"/>
    <w:rsid w:val="11625554"/>
    <w:rsid w:val="11665CA1"/>
    <w:rsid w:val="116B3023"/>
    <w:rsid w:val="116C0B49"/>
    <w:rsid w:val="11706F49"/>
    <w:rsid w:val="11731ED8"/>
    <w:rsid w:val="11773B24"/>
    <w:rsid w:val="117B00A3"/>
    <w:rsid w:val="117B7CBC"/>
    <w:rsid w:val="117D3195"/>
    <w:rsid w:val="118557C7"/>
    <w:rsid w:val="119114EB"/>
    <w:rsid w:val="119360D6"/>
    <w:rsid w:val="11943BFC"/>
    <w:rsid w:val="11967974"/>
    <w:rsid w:val="11971413"/>
    <w:rsid w:val="11A03203"/>
    <w:rsid w:val="11A16A45"/>
    <w:rsid w:val="11A55E09"/>
    <w:rsid w:val="11A65EF9"/>
    <w:rsid w:val="11AC53EA"/>
    <w:rsid w:val="11AC5D7A"/>
    <w:rsid w:val="11BA7B07"/>
    <w:rsid w:val="11BD3153"/>
    <w:rsid w:val="11C55E5A"/>
    <w:rsid w:val="11C80E18"/>
    <w:rsid w:val="11CC3396"/>
    <w:rsid w:val="11CE7E08"/>
    <w:rsid w:val="11D0732A"/>
    <w:rsid w:val="11D13AA6"/>
    <w:rsid w:val="11D23A1B"/>
    <w:rsid w:val="11D64215"/>
    <w:rsid w:val="11D97AE4"/>
    <w:rsid w:val="11E93F48"/>
    <w:rsid w:val="11FF551A"/>
    <w:rsid w:val="120D0BAC"/>
    <w:rsid w:val="12107727"/>
    <w:rsid w:val="12107D36"/>
    <w:rsid w:val="12162BF0"/>
    <w:rsid w:val="121675E9"/>
    <w:rsid w:val="12192A7F"/>
    <w:rsid w:val="121C256F"/>
    <w:rsid w:val="12245FAF"/>
    <w:rsid w:val="122570CD"/>
    <w:rsid w:val="12281C01"/>
    <w:rsid w:val="12301B77"/>
    <w:rsid w:val="12325830"/>
    <w:rsid w:val="123478B9"/>
    <w:rsid w:val="12386C7D"/>
    <w:rsid w:val="12456514"/>
    <w:rsid w:val="124A70DD"/>
    <w:rsid w:val="12543AB7"/>
    <w:rsid w:val="12565FAB"/>
    <w:rsid w:val="125735A8"/>
    <w:rsid w:val="125D0E86"/>
    <w:rsid w:val="12612198"/>
    <w:rsid w:val="126526E0"/>
    <w:rsid w:val="12660336"/>
    <w:rsid w:val="126A43E5"/>
    <w:rsid w:val="12706417"/>
    <w:rsid w:val="12732C0F"/>
    <w:rsid w:val="127465B7"/>
    <w:rsid w:val="12771554"/>
    <w:rsid w:val="127C300E"/>
    <w:rsid w:val="127C3DC5"/>
    <w:rsid w:val="127C6B6A"/>
    <w:rsid w:val="12850115"/>
    <w:rsid w:val="128916DA"/>
    <w:rsid w:val="128A74D9"/>
    <w:rsid w:val="128D0D77"/>
    <w:rsid w:val="128D6FC9"/>
    <w:rsid w:val="12900868"/>
    <w:rsid w:val="12922832"/>
    <w:rsid w:val="12932D2A"/>
    <w:rsid w:val="129767DB"/>
    <w:rsid w:val="12985FB5"/>
    <w:rsid w:val="12992D55"/>
    <w:rsid w:val="1299596E"/>
    <w:rsid w:val="12A760A9"/>
    <w:rsid w:val="12B46304"/>
    <w:rsid w:val="12BA34A8"/>
    <w:rsid w:val="12BB72B5"/>
    <w:rsid w:val="12BE53D5"/>
    <w:rsid w:val="12C02EFB"/>
    <w:rsid w:val="12D22C2E"/>
    <w:rsid w:val="12DF608A"/>
    <w:rsid w:val="12E05325"/>
    <w:rsid w:val="12E110C3"/>
    <w:rsid w:val="12E21EFB"/>
    <w:rsid w:val="12EA61CA"/>
    <w:rsid w:val="12EA7F14"/>
    <w:rsid w:val="12EB43C4"/>
    <w:rsid w:val="12EF37E0"/>
    <w:rsid w:val="12FA5AEA"/>
    <w:rsid w:val="130059ED"/>
    <w:rsid w:val="130318FD"/>
    <w:rsid w:val="13074598"/>
    <w:rsid w:val="130D010A"/>
    <w:rsid w:val="1316431C"/>
    <w:rsid w:val="131B45D5"/>
    <w:rsid w:val="13203999"/>
    <w:rsid w:val="13225964"/>
    <w:rsid w:val="132711CC"/>
    <w:rsid w:val="132B4976"/>
    <w:rsid w:val="132F7DF0"/>
    <w:rsid w:val="13390EFF"/>
    <w:rsid w:val="13394214"/>
    <w:rsid w:val="133A30B1"/>
    <w:rsid w:val="1340228E"/>
    <w:rsid w:val="1346119F"/>
    <w:rsid w:val="1346151B"/>
    <w:rsid w:val="134B4538"/>
    <w:rsid w:val="13531FC1"/>
    <w:rsid w:val="13534A56"/>
    <w:rsid w:val="13545D39"/>
    <w:rsid w:val="136046DE"/>
    <w:rsid w:val="13643432"/>
    <w:rsid w:val="13664FBF"/>
    <w:rsid w:val="136E0BA9"/>
    <w:rsid w:val="13765CAF"/>
    <w:rsid w:val="137766E8"/>
    <w:rsid w:val="137905F3"/>
    <w:rsid w:val="13822EA5"/>
    <w:rsid w:val="138403CC"/>
    <w:rsid w:val="138D7B40"/>
    <w:rsid w:val="13906D71"/>
    <w:rsid w:val="1393060F"/>
    <w:rsid w:val="13951726"/>
    <w:rsid w:val="13954387"/>
    <w:rsid w:val="13972729"/>
    <w:rsid w:val="13A520F1"/>
    <w:rsid w:val="13AA5959"/>
    <w:rsid w:val="13AA66C2"/>
    <w:rsid w:val="13AA7707"/>
    <w:rsid w:val="13AC16D1"/>
    <w:rsid w:val="13B16CE7"/>
    <w:rsid w:val="13C62793"/>
    <w:rsid w:val="13D9039D"/>
    <w:rsid w:val="13DA19AE"/>
    <w:rsid w:val="13E62E35"/>
    <w:rsid w:val="13EC2F66"/>
    <w:rsid w:val="13F55BB2"/>
    <w:rsid w:val="140432BB"/>
    <w:rsid w:val="140A1395"/>
    <w:rsid w:val="14192544"/>
    <w:rsid w:val="14221120"/>
    <w:rsid w:val="142B4CEC"/>
    <w:rsid w:val="14302302"/>
    <w:rsid w:val="14356B22"/>
    <w:rsid w:val="14396509"/>
    <w:rsid w:val="144052DA"/>
    <w:rsid w:val="14417417"/>
    <w:rsid w:val="14437F86"/>
    <w:rsid w:val="14496F20"/>
    <w:rsid w:val="144D69D1"/>
    <w:rsid w:val="144D6AC7"/>
    <w:rsid w:val="144E4536"/>
    <w:rsid w:val="14504752"/>
    <w:rsid w:val="14535FF1"/>
    <w:rsid w:val="14590FA4"/>
    <w:rsid w:val="146124BC"/>
    <w:rsid w:val="1461426A"/>
    <w:rsid w:val="14632AA9"/>
    <w:rsid w:val="14636A5F"/>
    <w:rsid w:val="14640F41"/>
    <w:rsid w:val="14641FAC"/>
    <w:rsid w:val="146855F8"/>
    <w:rsid w:val="146B2EDA"/>
    <w:rsid w:val="147004F2"/>
    <w:rsid w:val="14711346"/>
    <w:rsid w:val="147A357D"/>
    <w:rsid w:val="14912710"/>
    <w:rsid w:val="14971778"/>
    <w:rsid w:val="14975EDD"/>
    <w:rsid w:val="14983A03"/>
    <w:rsid w:val="14A405FA"/>
    <w:rsid w:val="14B1053D"/>
    <w:rsid w:val="14B22D17"/>
    <w:rsid w:val="14BC5944"/>
    <w:rsid w:val="14C33793"/>
    <w:rsid w:val="14C42AB2"/>
    <w:rsid w:val="14CD2F2D"/>
    <w:rsid w:val="14CF38C9"/>
    <w:rsid w:val="14D41F21"/>
    <w:rsid w:val="14D64C58"/>
    <w:rsid w:val="14DB226E"/>
    <w:rsid w:val="14DD2C3C"/>
    <w:rsid w:val="14E10B7B"/>
    <w:rsid w:val="14E37DDB"/>
    <w:rsid w:val="14EC3ED4"/>
    <w:rsid w:val="14EC5AC5"/>
    <w:rsid w:val="14EF1875"/>
    <w:rsid w:val="14F57B48"/>
    <w:rsid w:val="14F926F4"/>
    <w:rsid w:val="150C68CB"/>
    <w:rsid w:val="150F7C50"/>
    <w:rsid w:val="1510766E"/>
    <w:rsid w:val="15113B97"/>
    <w:rsid w:val="15121A08"/>
    <w:rsid w:val="151614F8"/>
    <w:rsid w:val="1517701E"/>
    <w:rsid w:val="15194B44"/>
    <w:rsid w:val="15212CE3"/>
    <w:rsid w:val="15291F27"/>
    <w:rsid w:val="152C0D1B"/>
    <w:rsid w:val="15324AE0"/>
    <w:rsid w:val="153452D1"/>
    <w:rsid w:val="15387F91"/>
    <w:rsid w:val="153933C5"/>
    <w:rsid w:val="153B2D0D"/>
    <w:rsid w:val="15406575"/>
    <w:rsid w:val="154705B5"/>
    <w:rsid w:val="154725E3"/>
    <w:rsid w:val="15547ECE"/>
    <w:rsid w:val="15581B10"/>
    <w:rsid w:val="155A57B6"/>
    <w:rsid w:val="156758B0"/>
    <w:rsid w:val="15681628"/>
    <w:rsid w:val="15743B87"/>
    <w:rsid w:val="157D4AA8"/>
    <w:rsid w:val="157F52EF"/>
    <w:rsid w:val="15847E33"/>
    <w:rsid w:val="158521DA"/>
    <w:rsid w:val="158741A4"/>
    <w:rsid w:val="158F6E23"/>
    <w:rsid w:val="1598015F"/>
    <w:rsid w:val="159F14ED"/>
    <w:rsid w:val="15A563D8"/>
    <w:rsid w:val="15BE749A"/>
    <w:rsid w:val="15BF6190"/>
    <w:rsid w:val="15C05EC8"/>
    <w:rsid w:val="15C251DC"/>
    <w:rsid w:val="15C45954"/>
    <w:rsid w:val="15D02D14"/>
    <w:rsid w:val="15D62A35"/>
    <w:rsid w:val="15E74C42"/>
    <w:rsid w:val="15E769F0"/>
    <w:rsid w:val="15EA028F"/>
    <w:rsid w:val="15EC2259"/>
    <w:rsid w:val="15EE30A9"/>
    <w:rsid w:val="15F335E7"/>
    <w:rsid w:val="15FA3362"/>
    <w:rsid w:val="15FE3F1E"/>
    <w:rsid w:val="160457F4"/>
    <w:rsid w:val="16087E1D"/>
    <w:rsid w:val="160B6B83"/>
    <w:rsid w:val="16175528"/>
    <w:rsid w:val="161B669A"/>
    <w:rsid w:val="161D0664"/>
    <w:rsid w:val="16334878"/>
    <w:rsid w:val="163559AE"/>
    <w:rsid w:val="16380936"/>
    <w:rsid w:val="164107F7"/>
    <w:rsid w:val="164112E4"/>
    <w:rsid w:val="16502ABA"/>
    <w:rsid w:val="16536716"/>
    <w:rsid w:val="165C118C"/>
    <w:rsid w:val="16646231"/>
    <w:rsid w:val="16691AFB"/>
    <w:rsid w:val="166A787D"/>
    <w:rsid w:val="166D339A"/>
    <w:rsid w:val="166F578B"/>
    <w:rsid w:val="16797F90"/>
    <w:rsid w:val="167C0DF1"/>
    <w:rsid w:val="16815ED3"/>
    <w:rsid w:val="16893020"/>
    <w:rsid w:val="169052DA"/>
    <w:rsid w:val="169E17A5"/>
    <w:rsid w:val="16A3500D"/>
    <w:rsid w:val="16AA639C"/>
    <w:rsid w:val="16AB3EC2"/>
    <w:rsid w:val="16BA0A86"/>
    <w:rsid w:val="16BA2357"/>
    <w:rsid w:val="16CB00C0"/>
    <w:rsid w:val="16CF4DE3"/>
    <w:rsid w:val="16D52119"/>
    <w:rsid w:val="16DA0303"/>
    <w:rsid w:val="16DB4356"/>
    <w:rsid w:val="16E01DBD"/>
    <w:rsid w:val="16E15C12"/>
    <w:rsid w:val="16E64EFA"/>
    <w:rsid w:val="16EA353D"/>
    <w:rsid w:val="16EF2286"/>
    <w:rsid w:val="16EF7903"/>
    <w:rsid w:val="16F5513D"/>
    <w:rsid w:val="16FC296F"/>
    <w:rsid w:val="16FF1DDB"/>
    <w:rsid w:val="16FF7D6A"/>
    <w:rsid w:val="17005FBC"/>
    <w:rsid w:val="170C0E1D"/>
    <w:rsid w:val="1716069D"/>
    <w:rsid w:val="17171557"/>
    <w:rsid w:val="1719456D"/>
    <w:rsid w:val="17235E23"/>
    <w:rsid w:val="172779EC"/>
    <w:rsid w:val="17281897"/>
    <w:rsid w:val="17285513"/>
    <w:rsid w:val="172D2B29"/>
    <w:rsid w:val="172F68A1"/>
    <w:rsid w:val="17301CC8"/>
    <w:rsid w:val="173043C7"/>
    <w:rsid w:val="173B5475"/>
    <w:rsid w:val="173C7F33"/>
    <w:rsid w:val="173D7210"/>
    <w:rsid w:val="173E4F6B"/>
    <w:rsid w:val="174A7237"/>
    <w:rsid w:val="175005C5"/>
    <w:rsid w:val="175400B6"/>
    <w:rsid w:val="17544559"/>
    <w:rsid w:val="175A078B"/>
    <w:rsid w:val="175B7696"/>
    <w:rsid w:val="175E0F34"/>
    <w:rsid w:val="17646B09"/>
    <w:rsid w:val="17701D14"/>
    <w:rsid w:val="17735226"/>
    <w:rsid w:val="17793FC0"/>
    <w:rsid w:val="177D585E"/>
    <w:rsid w:val="177F297E"/>
    <w:rsid w:val="17827DAF"/>
    <w:rsid w:val="17836BED"/>
    <w:rsid w:val="1788011D"/>
    <w:rsid w:val="17966920"/>
    <w:rsid w:val="179C36A9"/>
    <w:rsid w:val="179F2F2B"/>
    <w:rsid w:val="17A2667B"/>
    <w:rsid w:val="17A463C7"/>
    <w:rsid w:val="17A728DB"/>
    <w:rsid w:val="17B40D82"/>
    <w:rsid w:val="17B46DA6"/>
    <w:rsid w:val="17B60D70"/>
    <w:rsid w:val="17B629B5"/>
    <w:rsid w:val="17BA0860"/>
    <w:rsid w:val="17C074F9"/>
    <w:rsid w:val="17C31A82"/>
    <w:rsid w:val="17D15BAA"/>
    <w:rsid w:val="17D252BA"/>
    <w:rsid w:val="17D44911"/>
    <w:rsid w:val="17D81EA9"/>
    <w:rsid w:val="17E01949"/>
    <w:rsid w:val="17E05CA2"/>
    <w:rsid w:val="17E05DED"/>
    <w:rsid w:val="17F65611"/>
    <w:rsid w:val="18047D2E"/>
    <w:rsid w:val="180715CC"/>
    <w:rsid w:val="18076390"/>
    <w:rsid w:val="180A1D0F"/>
    <w:rsid w:val="180C4344"/>
    <w:rsid w:val="18117D55"/>
    <w:rsid w:val="1817268D"/>
    <w:rsid w:val="181C16C5"/>
    <w:rsid w:val="181D0DEF"/>
    <w:rsid w:val="18216F55"/>
    <w:rsid w:val="18221F62"/>
    <w:rsid w:val="18240ACE"/>
    <w:rsid w:val="1824217E"/>
    <w:rsid w:val="18251383"/>
    <w:rsid w:val="182577AE"/>
    <w:rsid w:val="182A0384"/>
    <w:rsid w:val="182A1589"/>
    <w:rsid w:val="183121A5"/>
    <w:rsid w:val="18335BB8"/>
    <w:rsid w:val="18351C95"/>
    <w:rsid w:val="18453379"/>
    <w:rsid w:val="184974FD"/>
    <w:rsid w:val="184B0274"/>
    <w:rsid w:val="184C0003"/>
    <w:rsid w:val="18513D70"/>
    <w:rsid w:val="18585984"/>
    <w:rsid w:val="185F31B6"/>
    <w:rsid w:val="18626802"/>
    <w:rsid w:val="187622AE"/>
    <w:rsid w:val="18784278"/>
    <w:rsid w:val="18860D7D"/>
    <w:rsid w:val="1890511D"/>
    <w:rsid w:val="18925339"/>
    <w:rsid w:val="18952734"/>
    <w:rsid w:val="18963BFB"/>
    <w:rsid w:val="189F624C"/>
    <w:rsid w:val="189F7A56"/>
    <w:rsid w:val="18A05D08"/>
    <w:rsid w:val="18A4506D"/>
    <w:rsid w:val="18A47F3B"/>
    <w:rsid w:val="18A70A60"/>
    <w:rsid w:val="18AC1F77"/>
    <w:rsid w:val="18AC5CCF"/>
    <w:rsid w:val="18AD2FE2"/>
    <w:rsid w:val="18BA03EC"/>
    <w:rsid w:val="18C354F3"/>
    <w:rsid w:val="18CB39A2"/>
    <w:rsid w:val="18DA0A8E"/>
    <w:rsid w:val="18E0247C"/>
    <w:rsid w:val="18E82296"/>
    <w:rsid w:val="18EC1E75"/>
    <w:rsid w:val="18F31882"/>
    <w:rsid w:val="18F774CF"/>
    <w:rsid w:val="18FD1CA1"/>
    <w:rsid w:val="18FE5C33"/>
    <w:rsid w:val="19081158"/>
    <w:rsid w:val="190B6E9A"/>
    <w:rsid w:val="190C6F25"/>
    <w:rsid w:val="190D0C78"/>
    <w:rsid w:val="191C10A7"/>
    <w:rsid w:val="192F2B88"/>
    <w:rsid w:val="194404DD"/>
    <w:rsid w:val="194B373A"/>
    <w:rsid w:val="194B54E8"/>
    <w:rsid w:val="194D1260"/>
    <w:rsid w:val="19502AFF"/>
    <w:rsid w:val="19566367"/>
    <w:rsid w:val="195B1BCF"/>
    <w:rsid w:val="196565AA"/>
    <w:rsid w:val="196719E6"/>
    <w:rsid w:val="196A3626"/>
    <w:rsid w:val="19721C8F"/>
    <w:rsid w:val="19742D44"/>
    <w:rsid w:val="197902A7"/>
    <w:rsid w:val="197B7B7C"/>
    <w:rsid w:val="198033E4"/>
    <w:rsid w:val="19834C82"/>
    <w:rsid w:val="19882AEE"/>
    <w:rsid w:val="198A6011"/>
    <w:rsid w:val="19960E59"/>
    <w:rsid w:val="1997072D"/>
    <w:rsid w:val="199C3B09"/>
    <w:rsid w:val="19AB4380"/>
    <w:rsid w:val="19AC41D9"/>
    <w:rsid w:val="19B92850"/>
    <w:rsid w:val="19BE3F0C"/>
    <w:rsid w:val="19D227B1"/>
    <w:rsid w:val="19D41982"/>
    <w:rsid w:val="19D64527"/>
    <w:rsid w:val="19D674A8"/>
    <w:rsid w:val="19DF45AE"/>
    <w:rsid w:val="19EA2F53"/>
    <w:rsid w:val="19EE2A43"/>
    <w:rsid w:val="19F456F9"/>
    <w:rsid w:val="19F618F8"/>
    <w:rsid w:val="19F93196"/>
    <w:rsid w:val="19FA34BA"/>
    <w:rsid w:val="1A045DC3"/>
    <w:rsid w:val="1A091263"/>
    <w:rsid w:val="1A0933D0"/>
    <w:rsid w:val="1A0E067E"/>
    <w:rsid w:val="1A143B2C"/>
    <w:rsid w:val="1A1A3838"/>
    <w:rsid w:val="1A1B7FD5"/>
    <w:rsid w:val="1A1C66C0"/>
    <w:rsid w:val="1A236924"/>
    <w:rsid w:val="1A271AB1"/>
    <w:rsid w:val="1A277D03"/>
    <w:rsid w:val="1A2A15A2"/>
    <w:rsid w:val="1A2A6FF8"/>
    <w:rsid w:val="1A2E1092"/>
    <w:rsid w:val="1A2E2E40"/>
    <w:rsid w:val="1A332204"/>
    <w:rsid w:val="1A36016C"/>
    <w:rsid w:val="1A366198"/>
    <w:rsid w:val="1A42393B"/>
    <w:rsid w:val="1A4276AF"/>
    <w:rsid w:val="1A450D00"/>
    <w:rsid w:val="1A4C1518"/>
    <w:rsid w:val="1A4C59BC"/>
    <w:rsid w:val="1A5658F8"/>
    <w:rsid w:val="1A587EBD"/>
    <w:rsid w:val="1A5E3B6D"/>
    <w:rsid w:val="1A607EA5"/>
    <w:rsid w:val="1A66082C"/>
    <w:rsid w:val="1A6D6992"/>
    <w:rsid w:val="1A73397C"/>
    <w:rsid w:val="1A7A42D7"/>
    <w:rsid w:val="1A807414"/>
    <w:rsid w:val="1AA66E7A"/>
    <w:rsid w:val="1AA67F85"/>
    <w:rsid w:val="1AAD45DE"/>
    <w:rsid w:val="1AB80B05"/>
    <w:rsid w:val="1ABA0B77"/>
    <w:rsid w:val="1ABB4342"/>
    <w:rsid w:val="1ABB6D6B"/>
    <w:rsid w:val="1ABC48F0"/>
    <w:rsid w:val="1ABD5F72"/>
    <w:rsid w:val="1AC47300"/>
    <w:rsid w:val="1AC90DBB"/>
    <w:rsid w:val="1AD24661"/>
    <w:rsid w:val="1AD5150D"/>
    <w:rsid w:val="1ADC051E"/>
    <w:rsid w:val="1ADF238C"/>
    <w:rsid w:val="1ADF413A"/>
    <w:rsid w:val="1AE17EB2"/>
    <w:rsid w:val="1AE6196C"/>
    <w:rsid w:val="1AEC3646"/>
    <w:rsid w:val="1AEE25CF"/>
    <w:rsid w:val="1AF37BE5"/>
    <w:rsid w:val="1AF57E02"/>
    <w:rsid w:val="1AFA0F74"/>
    <w:rsid w:val="1AFD2812"/>
    <w:rsid w:val="1AFF47DC"/>
    <w:rsid w:val="1AFF658A"/>
    <w:rsid w:val="1B046F80"/>
    <w:rsid w:val="1B087B35"/>
    <w:rsid w:val="1B0B13D3"/>
    <w:rsid w:val="1B0D6EF9"/>
    <w:rsid w:val="1B174574"/>
    <w:rsid w:val="1B177D78"/>
    <w:rsid w:val="1B1D66B9"/>
    <w:rsid w:val="1B2270BF"/>
    <w:rsid w:val="1B267FBB"/>
    <w:rsid w:val="1B2B3823"/>
    <w:rsid w:val="1B2D6FD2"/>
    <w:rsid w:val="1B3267B5"/>
    <w:rsid w:val="1B334486"/>
    <w:rsid w:val="1B3721C8"/>
    <w:rsid w:val="1B3E3557"/>
    <w:rsid w:val="1B3F2E2B"/>
    <w:rsid w:val="1B40161D"/>
    <w:rsid w:val="1B441859"/>
    <w:rsid w:val="1B483E67"/>
    <w:rsid w:val="1B4F7512"/>
    <w:rsid w:val="1B5468D6"/>
    <w:rsid w:val="1B5C48BD"/>
    <w:rsid w:val="1B5C52F5"/>
    <w:rsid w:val="1B5C578B"/>
    <w:rsid w:val="1B5D67A3"/>
    <w:rsid w:val="1B5E19CF"/>
    <w:rsid w:val="1B5F448C"/>
    <w:rsid w:val="1B6606B1"/>
    <w:rsid w:val="1B6B4041"/>
    <w:rsid w:val="1B6D5BEA"/>
    <w:rsid w:val="1B6F3710"/>
    <w:rsid w:val="1B746F78"/>
    <w:rsid w:val="1B754A9E"/>
    <w:rsid w:val="1B7725C5"/>
    <w:rsid w:val="1B774D45"/>
    <w:rsid w:val="1B7C5A23"/>
    <w:rsid w:val="1B854CE1"/>
    <w:rsid w:val="1B977D90"/>
    <w:rsid w:val="1B9D5DED"/>
    <w:rsid w:val="1BA27D36"/>
    <w:rsid w:val="1BA33FC4"/>
    <w:rsid w:val="1BA809D0"/>
    <w:rsid w:val="1BAB226E"/>
    <w:rsid w:val="1BB43819"/>
    <w:rsid w:val="1BB5686B"/>
    <w:rsid w:val="1BB9498B"/>
    <w:rsid w:val="1BC05D1A"/>
    <w:rsid w:val="1BC31CAE"/>
    <w:rsid w:val="1BCC11CE"/>
    <w:rsid w:val="1BE63742"/>
    <w:rsid w:val="1BEC38FA"/>
    <w:rsid w:val="1BF260EF"/>
    <w:rsid w:val="1C0227D6"/>
    <w:rsid w:val="1C0A0989"/>
    <w:rsid w:val="1C13053F"/>
    <w:rsid w:val="1C1846B4"/>
    <w:rsid w:val="1C1B5646"/>
    <w:rsid w:val="1C1E0C92"/>
    <w:rsid w:val="1C210118"/>
    <w:rsid w:val="1C284AF5"/>
    <w:rsid w:val="1C2A5889"/>
    <w:rsid w:val="1C3A1F70"/>
    <w:rsid w:val="1C3B1844"/>
    <w:rsid w:val="1C3E30E2"/>
    <w:rsid w:val="1C46380A"/>
    <w:rsid w:val="1C4C3A51"/>
    <w:rsid w:val="1C4E71BE"/>
    <w:rsid w:val="1C5016D6"/>
    <w:rsid w:val="1C5126B8"/>
    <w:rsid w:val="1C5617FA"/>
    <w:rsid w:val="1C5E7925"/>
    <w:rsid w:val="1C64085A"/>
    <w:rsid w:val="1C69015F"/>
    <w:rsid w:val="1C6917AC"/>
    <w:rsid w:val="1C6B037B"/>
    <w:rsid w:val="1C6E1C1A"/>
    <w:rsid w:val="1C7654F3"/>
    <w:rsid w:val="1C7D1E5D"/>
    <w:rsid w:val="1C7D71C4"/>
    <w:rsid w:val="1C7F3E27"/>
    <w:rsid w:val="1C821221"/>
    <w:rsid w:val="1C847C8D"/>
    <w:rsid w:val="1C850D11"/>
    <w:rsid w:val="1C864762"/>
    <w:rsid w:val="1C876837"/>
    <w:rsid w:val="1C8943F6"/>
    <w:rsid w:val="1C8C6544"/>
    <w:rsid w:val="1C8E5E18"/>
    <w:rsid w:val="1C906820"/>
    <w:rsid w:val="1C934695"/>
    <w:rsid w:val="1C962F1E"/>
    <w:rsid w:val="1C967D41"/>
    <w:rsid w:val="1CA150CB"/>
    <w:rsid w:val="1CA473E9"/>
    <w:rsid w:val="1CA64748"/>
    <w:rsid w:val="1CAE2016"/>
    <w:rsid w:val="1CB03FE0"/>
    <w:rsid w:val="1CB16FFC"/>
    <w:rsid w:val="1CB25FAA"/>
    <w:rsid w:val="1CC61A56"/>
    <w:rsid w:val="1CCB1BEA"/>
    <w:rsid w:val="1CCF6B59"/>
    <w:rsid w:val="1CD13F56"/>
    <w:rsid w:val="1CD72FDB"/>
    <w:rsid w:val="1CDB4B7F"/>
    <w:rsid w:val="1CDD6D9F"/>
    <w:rsid w:val="1CE32A5E"/>
    <w:rsid w:val="1CEB14BC"/>
    <w:rsid w:val="1CEE0AE4"/>
    <w:rsid w:val="1CEF6506"/>
    <w:rsid w:val="1CF245F9"/>
    <w:rsid w:val="1CF3211F"/>
    <w:rsid w:val="1CF616E5"/>
    <w:rsid w:val="1CFA525B"/>
    <w:rsid w:val="1CFD070F"/>
    <w:rsid w:val="1D036806"/>
    <w:rsid w:val="1D0600A4"/>
    <w:rsid w:val="1D11539C"/>
    <w:rsid w:val="1D117452"/>
    <w:rsid w:val="1D1722B1"/>
    <w:rsid w:val="1D17405F"/>
    <w:rsid w:val="1D2247B2"/>
    <w:rsid w:val="1D28001A"/>
    <w:rsid w:val="1D305121"/>
    <w:rsid w:val="1D306ECF"/>
    <w:rsid w:val="1D43117C"/>
    <w:rsid w:val="1D4B1F5B"/>
    <w:rsid w:val="1D4B5AB7"/>
    <w:rsid w:val="1D4D7A81"/>
    <w:rsid w:val="1D547F1B"/>
    <w:rsid w:val="1D5801D4"/>
    <w:rsid w:val="1D5F6196"/>
    <w:rsid w:val="1D60233E"/>
    <w:rsid w:val="1D6132A5"/>
    <w:rsid w:val="1D785CC2"/>
    <w:rsid w:val="1D8611E5"/>
    <w:rsid w:val="1D8E56D5"/>
    <w:rsid w:val="1D901B97"/>
    <w:rsid w:val="1D9B4C90"/>
    <w:rsid w:val="1D9D3ED0"/>
    <w:rsid w:val="1DA43419"/>
    <w:rsid w:val="1DAB6D83"/>
    <w:rsid w:val="1DB45B06"/>
    <w:rsid w:val="1DB56858"/>
    <w:rsid w:val="1DB57D82"/>
    <w:rsid w:val="1DBE1A03"/>
    <w:rsid w:val="1DBE272D"/>
    <w:rsid w:val="1DBF7253"/>
    <w:rsid w:val="1DC15D79"/>
    <w:rsid w:val="1DC55869"/>
    <w:rsid w:val="1DC75A85"/>
    <w:rsid w:val="1DD17E23"/>
    <w:rsid w:val="1DE2466D"/>
    <w:rsid w:val="1DE45D04"/>
    <w:rsid w:val="1DE83C3F"/>
    <w:rsid w:val="1DEC54EC"/>
    <w:rsid w:val="1DEC706D"/>
    <w:rsid w:val="1DEF6D8A"/>
    <w:rsid w:val="1DF26F3D"/>
    <w:rsid w:val="1DF47EFC"/>
    <w:rsid w:val="1E0335B9"/>
    <w:rsid w:val="1E0740D4"/>
    <w:rsid w:val="1E0A5C67"/>
    <w:rsid w:val="1E0B5246"/>
    <w:rsid w:val="1E0C4801"/>
    <w:rsid w:val="1E0E450A"/>
    <w:rsid w:val="1E124827"/>
    <w:rsid w:val="1E1467F1"/>
    <w:rsid w:val="1E162569"/>
    <w:rsid w:val="1E1B7B7F"/>
    <w:rsid w:val="1E2A5D43"/>
    <w:rsid w:val="1E2B7E0D"/>
    <w:rsid w:val="1E2E2CDE"/>
    <w:rsid w:val="1E31059F"/>
    <w:rsid w:val="1E326C77"/>
    <w:rsid w:val="1E432C32"/>
    <w:rsid w:val="1E491296"/>
    <w:rsid w:val="1E4D538F"/>
    <w:rsid w:val="1E5D0198"/>
    <w:rsid w:val="1E6257AE"/>
    <w:rsid w:val="1E64093C"/>
    <w:rsid w:val="1E7A2AF8"/>
    <w:rsid w:val="1E7A43DA"/>
    <w:rsid w:val="1E861030"/>
    <w:rsid w:val="1E8A6C52"/>
    <w:rsid w:val="1E923683"/>
    <w:rsid w:val="1E933AF2"/>
    <w:rsid w:val="1E982F7E"/>
    <w:rsid w:val="1EA01E32"/>
    <w:rsid w:val="1EAA2CB1"/>
    <w:rsid w:val="1EAE0073"/>
    <w:rsid w:val="1EB52427"/>
    <w:rsid w:val="1EB633D3"/>
    <w:rsid w:val="1EBC7552"/>
    <w:rsid w:val="1EBF6312"/>
    <w:rsid w:val="1ECB1201"/>
    <w:rsid w:val="1ECB3353"/>
    <w:rsid w:val="1ECE2E43"/>
    <w:rsid w:val="1ED4373A"/>
    <w:rsid w:val="1ED97CE5"/>
    <w:rsid w:val="1EDC2CC2"/>
    <w:rsid w:val="1EE066D3"/>
    <w:rsid w:val="1EE7180F"/>
    <w:rsid w:val="1EE73F05"/>
    <w:rsid w:val="1EF33837"/>
    <w:rsid w:val="1F040613"/>
    <w:rsid w:val="1F0B7A54"/>
    <w:rsid w:val="1F130856"/>
    <w:rsid w:val="1F170A41"/>
    <w:rsid w:val="1F1A3993"/>
    <w:rsid w:val="1F1A4B11"/>
    <w:rsid w:val="1F1D7927"/>
    <w:rsid w:val="1F1E7C64"/>
    <w:rsid w:val="1F200CB6"/>
    <w:rsid w:val="1F26058A"/>
    <w:rsid w:val="1F262338"/>
    <w:rsid w:val="1F2B5BA0"/>
    <w:rsid w:val="1F3225AD"/>
    <w:rsid w:val="1F330F4D"/>
    <w:rsid w:val="1F332147"/>
    <w:rsid w:val="1F3507CD"/>
    <w:rsid w:val="1F394761"/>
    <w:rsid w:val="1F4B7FF0"/>
    <w:rsid w:val="1F5844BB"/>
    <w:rsid w:val="1F5B4E40"/>
    <w:rsid w:val="1F5C044F"/>
    <w:rsid w:val="1F666BD8"/>
    <w:rsid w:val="1F6F0182"/>
    <w:rsid w:val="1F707A57"/>
    <w:rsid w:val="1F780608"/>
    <w:rsid w:val="1F78690B"/>
    <w:rsid w:val="1F811C64"/>
    <w:rsid w:val="1F874453"/>
    <w:rsid w:val="1F8D0A6D"/>
    <w:rsid w:val="1F903C55"/>
    <w:rsid w:val="1F915D98"/>
    <w:rsid w:val="1F925C1F"/>
    <w:rsid w:val="1F971487"/>
    <w:rsid w:val="1F974FE3"/>
    <w:rsid w:val="1F9768A6"/>
    <w:rsid w:val="1FA91429"/>
    <w:rsid w:val="1FAA740D"/>
    <w:rsid w:val="1FB07AC3"/>
    <w:rsid w:val="1FB355EB"/>
    <w:rsid w:val="1FB40B92"/>
    <w:rsid w:val="1FB77434"/>
    <w:rsid w:val="1FBA6F24"/>
    <w:rsid w:val="1FBD5916"/>
    <w:rsid w:val="1FC13134"/>
    <w:rsid w:val="1FC57DA2"/>
    <w:rsid w:val="1FCA360B"/>
    <w:rsid w:val="1FD16DFB"/>
    <w:rsid w:val="1FD46237"/>
    <w:rsid w:val="1FD55B0C"/>
    <w:rsid w:val="1FDC50EC"/>
    <w:rsid w:val="1FE12702"/>
    <w:rsid w:val="1FE3647B"/>
    <w:rsid w:val="1FE47FFE"/>
    <w:rsid w:val="1FE7539E"/>
    <w:rsid w:val="1FE81CE3"/>
    <w:rsid w:val="1FEB532F"/>
    <w:rsid w:val="1FF227DB"/>
    <w:rsid w:val="1FF64400"/>
    <w:rsid w:val="1FF86BEF"/>
    <w:rsid w:val="20036B1D"/>
    <w:rsid w:val="20036C4E"/>
    <w:rsid w:val="20085EE1"/>
    <w:rsid w:val="200C1136"/>
    <w:rsid w:val="200D2F2F"/>
    <w:rsid w:val="200F455B"/>
    <w:rsid w:val="20162293"/>
    <w:rsid w:val="20190771"/>
    <w:rsid w:val="201A112B"/>
    <w:rsid w:val="2020322B"/>
    <w:rsid w:val="202D3B9A"/>
    <w:rsid w:val="204038CD"/>
    <w:rsid w:val="20421A6C"/>
    <w:rsid w:val="20452A2B"/>
    <w:rsid w:val="20470D0B"/>
    <w:rsid w:val="20476E39"/>
    <w:rsid w:val="20541126"/>
    <w:rsid w:val="2057365A"/>
    <w:rsid w:val="20586E69"/>
    <w:rsid w:val="20647389"/>
    <w:rsid w:val="20651585"/>
    <w:rsid w:val="20671BE0"/>
    <w:rsid w:val="206770AC"/>
    <w:rsid w:val="207806E2"/>
    <w:rsid w:val="20783067"/>
    <w:rsid w:val="207922E0"/>
    <w:rsid w:val="207B35E0"/>
    <w:rsid w:val="2080016D"/>
    <w:rsid w:val="2081016A"/>
    <w:rsid w:val="208337BA"/>
    <w:rsid w:val="20867C82"/>
    <w:rsid w:val="208A2733"/>
    <w:rsid w:val="208B2E53"/>
    <w:rsid w:val="208D58E4"/>
    <w:rsid w:val="20903634"/>
    <w:rsid w:val="20961159"/>
    <w:rsid w:val="2096173F"/>
    <w:rsid w:val="20963CB8"/>
    <w:rsid w:val="20971013"/>
    <w:rsid w:val="20994D8B"/>
    <w:rsid w:val="20A81A1B"/>
    <w:rsid w:val="20A94CEF"/>
    <w:rsid w:val="20AC0F62"/>
    <w:rsid w:val="20AC4ABE"/>
    <w:rsid w:val="20AF2801"/>
    <w:rsid w:val="20B07FB6"/>
    <w:rsid w:val="20B366A3"/>
    <w:rsid w:val="20B61DE1"/>
    <w:rsid w:val="20B646FB"/>
    <w:rsid w:val="20BA2413"/>
    <w:rsid w:val="20BD0520"/>
    <w:rsid w:val="20BD124F"/>
    <w:rsid w:val="20BE47F2"/>
    <w:rsid w:val="20BE5BD1"/>
    <w:rsid w:val="20CC08EC"/>
    <w:rsid w:val="20CC6F0F"/>
    <w:rsid w:val="20D14525"/>
    <w:rsid w:val="20D32E33"/>
    <w:rsid w:val="20D65FDF"/>
    <w:rsid w:val="20DD55C0"/>
    <w:rsid w:val="20E17005"/>
    <w:rsid w:val="20E223FB"/>
    <w:rsid w:val="20E26732"/>
    <w:rsid w:val="20E73D48"/>
    <w:rsid w:val="20EA55E7"/>
    <w:rsid w:val="20F46465"/>
    <w:rsid w:val="20FB5A46"/>
    <w:rsid w:val="20FB77F4"/>
    <w:rsid w:val="21015009"/>
    <w:rsid w:val="21026DD4"/>
    <w:rsid w:val="21050673"/>
    <w:rsid w:val="21091F11"/>
    <w:rsid w:val="2110329F"/>
    <w:rsid w:val="21184954"/>
    <w:rsid w:val="211A2370"/>
    <w:rsid w:val="21254871"/>
    <w:rsid w:val="212A1E87"/>
    <w:rsid w:val="21333432"/>
    <w:rsid w:val="213B74B1"/>
    <w:rsid w:val="214011AE"/>
    <w:rsid w:val="214178FD"/>
    <w:rsid w:val="214210C5"/>
    <w:rsid w:val="2145768F"/>
    <w:rsid w:val="2146548E"/>
    <w:rsid w:val="21486EDD"/>
    <w:rsid w:val="21493266"/>
    <w:rsid w:val="21500A96"/>
    <w:rsid w:val="215104A1"/>
    <w:rsid w:val="21597E73"/>
    <w:rsid w:val="215A1B85"/>
    <w:rsid w:val="215A2310"/>
    <w:rsid w:val="21645399"/>
    <w:rsid w:val="216B17B1"/>
    <w:rsid w:val="217001E2"/>
    <w:rsid w:val="21731A80"/>
    <w:rsid w:val="21747CD2"/>
    <w:rsid w:val="21756DFF"/>
    <w:rsid w:val="217575A6"/>
    <w:rsid w:val="217A6BD0"/>
    <w:rsid w:val="217C26E3"/>
    <w:rsid w:val="217C34DD"/>
    <w:rsid w:val="217D645B"/>
    <w:rsid w:val="217E3D2F"/>
    <w:rsid w:val="217F0425"/>
    <w:rsid w:val="217F7202"/>
    <w:rsid w:val="218617B3"/>
    <w:rsid w:val="218A6FE3"/>
    <w:rsid w:val="218B6DCA"/>
    <w:rsid w:val="218D2B42"/>
    <w:rsid w:val="218D48F0"/>
    <w:rsid w:val="21933ED0"/>
    <w:rsid w:val="219C0FD7"/>
    <w:rsid w:val="21A25EC1"/>
    <w:rsid w:val="21A30EF9"/>
    <w:rsid w:val="21AB736B"/>
    <w:rsid w:val="21AE4D4A"/>
    <w:rsid w:val="21B207FA"/>
    <w:rsid w:val="21B225A8"/>
    <w:rsid w:val="21B300CF"/>
    <w:rsid w:val="21B52099"/>
    <w:rsid w:val="21BA36BB"/>
    <w:rsid w:val="21BC3427"/>
    <w:rsid w:val="21C61BB0"/>
    <w:rsid w:val="21CC5A37"/>
    <w:rsid w:val="21DB2BAA"/>
    <w:rsid w:val="21DC7625"/>
    <w:rsid w:val="21DE318A"/>
    <w:rsid w:val="21DF66D2"/>
    <w:rsid w:val="21E12E8E"/>
    <w:rsid w:val="21E7078F"/>
    <w:rsid w:val="21E707D6"/>
    <w:rsid w:val="21EF5B80"/>
    <w:rsid w:val="21F229A5"/>
    <w:rsid w:val="21F66BB3"/>
    <w:rsid w:val="220936AA"/>
    <w:rsid w:val="220B1CB9"/>
    <w:rsid w:val="220D3C83"/>
    <w:rsid w:val="22162B37"/>
    <w:rsid w:val="222C5DDA"/>
    <w:rsid w:val="222F59A7"/>
    <w:rsid w:val="22310B3B"/>
    <w:rsid w:val="22324DB9"/>
    <w:rsid w:val="223261EB"/>
    <w:rsid w:val="22330BA6"/>
    <w:rsid w:val="22344E21"/>
    <w:rsid w:val="22350AE4"/>
    <w:rsid w:val="223E208E"/>
    <w:rsid w:val="2245341D"/>
    <w:rsid w:val="224F1BA5"/>
    <w:rsid w:val="22511DC1"/>
    <w:rsid w:val="22576990"/>
    <w:rsid w:val="22590C76"/>
    <w:rsid w:val="225C42C2"/>
    <w:rsid w:val="2261736A"/>
    <w:rsid w:val="22695B2D"/>
    <w:rsid w:val="226D1E71"/>
    <w:rsid w:val="2274785E"/>
    <w:rsid w:val="227B5090"/>
    <w:rsid w:val="22847ED9"/>
    <w:rsid w:val="228D0920"/>
    <w:rsid w:val="229920C2"/>
    <w:rsid w:val="229A6618"/>
    <w:rsid w:val="22A31868"/>
    <w:rsid w:val="22A939AC"/>
    <w:rsid w:val="22B81E40"/>
    <w:rsid w:val="22B97967"/>
    <w:rsid w:val="22C40CFD"/>
    <w:rsid w:val="22CD6F6E"/>
    <w:rsid w:val="22CF0F38"/>
    <w:rsid w:val="22D4654E"/>
    <w:rsid w:val="22D65567"/>
    <w:rsid w:val="22DB78DD"/>
    <w:rsid w:val="22E838FB"/>
    <w:rsid w:val="22EE5862"/>
    <w:rsid w:val="22F32E79"/>
    <w:rsid w:val="22F47480"/>
    <w:rsid w:val="230230BC"/>
    <w:rsid w:val="230A01C2"/>
    <w:rsid w:val="23152DEF"/>
    <w:rsid w:val="231D7EF5"/>
    <w:rsid w:val="23235910"/>
    <w:rsid w:val="2329689A"/>
    <w:rsid w:val="23307C29"/>
    <w:rsid w:val="23492A98"/>
    <w:rsid w:val="2351194D"/>
    <w:rsid w:val="23575EA4"/>
    <w:rsid w:val="235E66B3"/>
    <w:rsid w:val="23645B24"/>
    <w:rsid w:val="23663BE5"/>
    <w:rsid w:val="23675615"/>
    <w:rsid w:val="236B2A0F"/>
    <w:rsid w:val="236D2C2B"/>
    <w:rsid w:val="23795A60"/>
    <w:rsid w:val="237B68CE"/>
    <w:rsid w:val="237B69CA"/>
    <w:rsid w:val="237C03D1"/>
    <w:rsid w:val="237F295E"/>
    <w:rsid w:val="23807B6F"/>
    <w:rsid w:val="23816F6B"/>
    <w:rsid w:val="238735C1"/>
    <w:rsid w:val="238C0BD7"/>
    <w:rsid w:val="23B51EDC"/>
    <w:rsid w:val="23B819CC"/>
    <w:rsid w:val="23B9280E"/>
    <w:rsid w:val="23B947F2"/>
    <w:rsid w:val="23C6233B"/>
    <w:rsid w:val="23CA4E29"/>
    <w:rsid w:val="23D031BA"/>
    <w:rsid w:val="23D245E4"/>
    <w:rsid w:val="23DC3749"/>
    <w:rsid w:val="23DE1C48"/>
    <w:rsid w:val="23F724F4"/>
    <w:rsid w:val="23FC7B0B"/>
    <w:rsid w:val="23FF13A9"/>
    <w:rsid w:val="240210CD"/>
    <w:rsid w:val="24022A5E"/>
    <w:rsid w:val="240370EB"/>
    <w:rsid w:val="240B2444"/>
    <w:rsid w:val="2418292E"/>
    <w:rsid w:val="2419690F"/>
    <w:rsid w:val="241B4109"/>
    <w:rsid w:val="242670A6"/>
    <w:rsid w:val="2432749A"/>
    <w:rsid w:val="24354CFE"/>
    <w:rsid w:val="243D2C55"/>
    <w:rsid w:val="243D5AF5"/>
    <w:rsid w:val="243E45C7"/>
    <w:rsid w:val="243F7B71"/>
    <w:rsid w:val="24401886"/>
    <w:rsid w:val="2443573A"/>
    <w:rsid w:val="24443260"/>
    <w:rsid w:val="244517FB"/>
    <w:rsid w:val="244A1193"/>
    <w:rsid w:val="24561911"/>
    <w:rsid w:val="245711E5"/>
    <w:rsid w:val="245979BA"/>
    <w:rsid w:val="245C67FB"/>
    <w:rsid w:val="245E2E7B"/>
    <w:rsid w:val="24681EC0"/>
    <w:rsid w:val="246D27B7"/>
    <w:rsid w:val="247B1137"/>
    <w:rsid w:val="247D50F0"/>
    <w:rsid w:val="247E2C16"/>
    <w:rsid w:val="24855D52"/>
    <w:rsid w:val="24857B00"/>
    <w:rsid w:val="248829BB"/>
    <w:rsid w:val="24883A94"/>
    <w:rsid w:val="248A15BB"/>
    <w:rsid w:val="248D4C07"/>
    <w:rsid w:val="24912949"/>
    <w:rsid w:val="2492046F"/>
    <w:rsid w:val="24973CD7"/>
    <w:rsid w:val="249964C7"/>
    <w:rsid w:val="249B7324"/>
    <w:rsid w:val="24A3214B"/>
    <w:rsid w:val="24A3442A"/>
    <w:rsid w:val="24A472A2"/>
    <w:rsid w:val="24A70ECC"/>
    <w:rsid w:val="24B108F5"/>
    <w:rsid w:val="24BF09F7"/>
    <w:rsid w:val="24C22B02"/>
    <w:rsid w:val="24C50845"/>
    <w:rsid w:val="24C543A1"/>
    <w:rsid w:val="24C85C3F"/>
    <w:rsid w:val="24D665AE"/>
    <w:rsid w:val="24DE4DFC"/>
    <w:rsid w:val="24DF2007"/>
    <w:rsid w:val="24E55B1F"/>
    <w:rsid w:val="24EC120C"/>
    <w:rsid w:val="24FB22EB"/>
    <w:rsid w:val="24FE5B05"/>
    <w:rsid w:val="250255F5"/>
    <w:rsid w:val="25070E5D"/>
    <w:rsid w:val="250B2CAC"/>
    <w:rsid w:val="251130A9"/>
    <w:rsid w:val="25113A8A"/>
    <w:rsid w:val="25115838"/>
    <w:rsid w:val="251B0465"/>
    <w:rsid w:val="25205A7B"/>
    <w:rsid w:val="252217F3"/>
    <w:rsid w:val="252512E3"/>
    <w:rsid w:val="252B36FA"/>
    <w:rsid w:val="252C08C4"/>
    <w:rsid w:val="252C3AF3"/>
    <w:rsid w:val="252D53FE"/>
    <w:rsid w:val="252F2DF5"/>
    <w:rsid w:val="253F55D6"/>
    <w:rsid w:val="254016A1"/>
    <w:rsid w:val="2540611D"/>
    <w:rsid w:val="25464C90"/>
    <w:rsid w:val="254E25E8"/>
    <w:rsid w:val="25513E86"/>
    <w:rsid w:val="255319AC"/>
    <w:rsid w:val="255D6CCF"/>
    <w:rsid w:val="25691020"/>
    <w:rsid w:val="256E7B72"/>
    <w:rsid w:val="257066B4"/>
    <w:rsid w:val="25710DD0"/>
    <w:rsid w:val="257954FC"/>
    <w:rsid w:val="257F05A8"/>
    <w:rsid w:val="258C4EBE"/>
    <w:rsid w:val="259E35AA"/>
    <w:rsid w:val="25AA05B3"/>
    <w:rsid w:val="25B52667"/>
    <w:rsid w:val="25B53E66"/>
    <w:rsid w:val="25C4538A"/>
    <w:rsid w:val="25C7239A"/>
    <w:rsid w:val="25CB59E7"/>
    <w:rsid w:val="25D223DA"/>
    <w:rsid w:val="25D95944"/>
    <w:rsid w:val="25EC2D81"/>
    <w:rsid w:val="25F926A0"/>
    <w:rsid w:val="25F96315"/>
    <w:rsid w:val="260845C9"/>
    <w:rsid w:val="26121868"/>
    <w:rsid w:val="26175287"/>
    <w:rsid w:val="26183390"/>
    <w:rsid w:val="261A76E2"/>
    <w:rsid w:val="262B35AA"/>
    <w:rsid w:val="26306192"/>
    <w:rsid w:val="263C18BA"/>
    <w:rsid w:val="263C4B36"/>
    <w:rsid w:val="263C7F80"/>
    <w:rsid w:val="26554B29"/>
    <w:rsid w:val="26557651"/>
    <w:rsid w:val="265D11E3"/>
    <w:rsid w:val="2661459D"/>
    <w:rsid w:val="2668592C"/>
    <w:rsid w:val="266876DA"/>
    <w:rsid w:val="266D4CF0"/>
    <w:rsid w:val="266F0A68"/>
    <w:rsid w:val="26740258"/>
    <w:rsid w:val="267B565F"/>
    <w:rsid w:val="267C13D7"/>
    <w:rsid w:val="267F67D1"/>
    <w:rsid w:val="26877A00"/>
    <w:rsid w:val="26887CDD"/>
    <w:rsid w:val="268A0D1E"/>
    <w:rsid w:val="268B33C8"/>
    <w:rsid w:val="269009DE"/>
    <w:rsid w:val="26993D37"/>
    <w:rsid w:val="269E30FB"/>
    <w:rsid w:val="26A10E3D"/>
    <w:rsid w:val="26AD716D"/>
    <w:rsid w:val="26AF5308"/>
    <w:rsid w:val="26B26BA7"/>
    <w:rsid w:val="26B532BF"/>
    <w:rsid w:val="26B53AC2"/>
    <w:rsid w:val="26BB16C9"/>
    <w:rsid w:val="26BB5EEA"/>
    <w:rsid w:val="26BC3919"/>
    <w:rsid w:val="26BF0015"/>
    <w:rsid w:val="26C8461C"/>
    <w:rsid w:val="26C95EE2"/>
    <w:rsid w:val="26D42FC1"/>
    <w:rsid w:val="26D62895"/>
    <w:rsid w:val="26DA72D5"/>
    <w:rsid w:val="26E256DE"/>
    <w:rsid w:val="26E34FB2"/>
    <w:rsid w:val="26E36D60"/>
    <w:rsid w:val="26E71D38"/>
    <w:rsid w:val="26EB0CFF"/>
    <w:rsid w:val="26EC030B"/>
    <w:rsid w:val="26ED5E31"/>
    <w:rsid w:val="26EE4083"/>
    <w:rsid w:val="26EF5362"/>
    <w:rsid w:val="26FE1DEC"/>
    <w:rsid w:val="26FE72C7"/>
    <w:rsid w:val="27057925"/>
    <w:rsid w:val="271433BD"/>
    <w:rsid w:val="27165388"/>
    <w:rsid w:val="271D1426"/>
    <w:rsid w:val="272730F1"/>
    <w:rsid w:val="27295433"/>
    <w:rsid w:val="272F6AF6"/>
    <w:rsid w:val="2735156F"/>
    <w:rsid w:val="27383550"/>
    <w:rsid w:val="274C2B57"/>
    <w:rsid w:val="274E51A4"/>
    <w:rsid w:val="276205CD"/>
    <w:rsid w:val="27624129"/>
    <w:rsid w:val="27684CFA"/>
    <w:rsid w:val="276A50FE"/>
    <w:rsid w:val="276F6228"/>
    <w:rsid w:val="277057A2"/>
    <w:rsid w:val="27710810"/>
    <w:rsid w:val="27731DE8"/>
    <w:rsid w:val="27790766"/>
    <w:rsid w:val="278247CB"/>
    <w:rsid w:val="2788080E"/>
    <w:rsid w:val="278B7B24"/>
    <w:rsid w:val="278E3170"/>
    <w:rsid w:val="279544FE"/>
    <w:rsid w:val="27AB5454"/>
    <w:rsid w:val="27AC335A"/>
    <w:rsid w:val="27AE736E"/>
    <w:rsid w:val="27B92B32"/>
    <w:rsid w:val="27BB3DDD"/>
    <w:rsid w:val="27BE4B1D"/>
    <w:rsid w:val="27C923FA"/>
    <w:rsid w:val="27C941A8"/>
    <w:rsid w:val="27CA7BEF"/>
    <w:rsid w:val="27CC3C98"/>
    <w:rsid w:val="27CC5A46"/>
    <w:rsid w:val="27D364F8"/>
    <w:rsid w:val="27DF7940"/>
    <w:rsid w:val="27E234BC"/>
    <w:rsid w:val="27E56B08"/>
    <w:rsid w:val="27F54F9D"/>
    <w:rsid w:val="27FC457D"/>
    <w:rsid w:val="28043432"/>
    <w:rsid w:val="28096EB3"/>
    <w:rsid w:val="280B656E"/>
    <w:rsid w:val="280E2503"/>
    <w:rsid w:val="2811359A"/>
    <w:rsid w:val="281D6811"/>
    <w:rsid w:val="281E204D"/>
    <w:rsid w:val="28215D92"/>
    <w:rsid w:val="282619A3"/>
    <w:rsid w:val="2832687D"/>
    <w:rsid w:val="283828E8"/>
    <w:rsid w:val="283A50A6"/>
    <w:rsid w:val="28414686"/>
    <w:rsid w:val="28445F24"/>
    <w:rsid w:val="284A110F"/>
    <w:rsid w:val="28506677"/>
    <w:rsid w:val="28522822"/>
    <w:rsid w:val="28553C8E"/>
    <w:rsid w:val="2859257E"/>
    <w:rsid w:val="28601FDB"/>
    <w:rsid w:val="28602B64"/>
    <w:rsid w:val="28605180"/>
    <w:rsid w:val="286B75ED"/>
    <w:rsid w:val="286E6AFD"/>
    <w:rsid w:val="286E6B3B"/>
    <w:rsid w:val="28777EEE"/>
    <w:rsid w:val="288310E2"/>
    <w:rsid w:val="288759BA"/>
    <w:rsid w:val="288A7DDB"/>
    <w:rsid w:val="288B76AF"/>
    <w:rsid w:val="288D78CB"/>
    <w:rsid w:val="289522DC"/>
    <w:rsid w:val="289C1AC0"/>
    <w:rsid w:val="28A168D1"/>
    <w:rsid w:val="28A40771"/>
    <w:rsid w:val="28B46C06"/>
    <w:rsid w:val="28BE0636"/>
    <w:rsid w:val="28BE5C95"/>
    <w:rsid w:val="28C8445F"/>
    <w:rsid w:val="28D40A96"/>
    <w:rsid w:val="28D76D98"/>
    <w:rsid w:val="28DF17A9"/>
    <w:rsid w:val="28E219C5"/>
    <w:rsid w:val="28E61253"/>
    <w:rsid w:val="28EA6ACC"/>
    <w:rsid w:val="28F8625F"/>
    <w:rsid w:val="28F9286B"/>
    <w:rsid w:val="28FB0D3B"/>
    <w:rsid w:val="28FC05AD"/>
    <w:rsid w:val="29022065"/>
    <w:rsid w:val="290A06F0"/>
    <w:rsid w:val="291229A2"/>
    <w:rsid w:val="29147C8F"/>
    <w:rsid w:val="29192F0D"/>
    <w:rsid w:val="291E72D3"/>
    <w:rsid w:val="29206EB8"/>
    <w:rsid w:val="292813A2"/>
    <w:rsid w:val="292C49EE"/>
    <w:rsid w:val="292D0766"/>
    <w:rsid w:val="292E22DB"/>
    <w:rsid w:val="292E7C8A"/>
    <w:rsid w:val="29310257"/>
    <w:rsid w:val="29361D11"/>
    <w:rsid w:val="29417F3D"/>
    <w:rsid w:val="29595666"/>
    <w:rsid w:val="295B52D4"/>
    <w:rsid w:val="295E3016"/>
    <w:rsid w:val="296168BE"/>
    <w:rsid w:val="296B7852"/>
    <w:rsid w:val="29744DF6"/>
    <w:rsid w:val="29752839"/>
    <w:rsid w:val="297D349C"/>
    <w:rsid w:val="297E0FC2"/>
    <w:rsid w:val="297E7214"/>
    <w:rsid w:val="29847B4F"/>
    <w:rsid w:val="29874881"/>
    <w:rsid w:val="298A36D3"/>
    <w:rsid w:val="298A5BB9"/>
    <w:rsid w:val="298E56A9"/>
    <w:rsid w:val="298F711A"/>
    <w:rsid w:val="299046D4"/>
    <w:rsid w:val="29915E31"/>
    <w:rsid w:val="29984596"/>
    <w:rsid w:val="299A22A0"/>
    <w:rsid w:val="29A61117"/>
    <w:rsid w:val="29A7676B"/>
    <w:rsid w:val="29AF3D4D"/>
    <w:rsid w:val="29AF561F"/>
    <w:rsid w:val="29B669AE"/>
    <w:rsid w:val="29BF5862"/>
    <w:rsid w:val="29D02E18"/>
    <w:rsid w:val="29DE0731"/>
    <w:rsid w:val="29E325E0"/>
    <w:rsid w:val="29EC23D0"/>
    <w:rsid w:val="29EF3D8C"/>
    <w:rsid w:val="29FB79AB"/>
    <w:rsid w:val="29FF0355"/>
    <w:rsid w:val="2A0239A1"/>
    <w:rsid w:val="2A032407"/>
    <w:rsid w:val="2A0616E3"/>
    <w:rsid w:val="2A077209"/>
    <w:rsid w:val="2A111E36"/>
    <w:rsid w:val="2A1273FB"/>
    <w:rsid w:val="2A1E522B"/>
    <w:rsid w:val="2A1F27A5"/>
    <w:rsid w:val="2A224043"/>
    <w:rsid w:val="2A297180"/>
    <w:rsid w:val="2A363D2E"/>
    <w:rsid w:val="2A443FBA"/>
    <w:rsid w:val="2A447531"/>
    <w:rsid w:val="2A452503"/>
    <w:rsid w:val="2A453DA4"/>
    <w:rsid w:val="2A46319B"/>
    <w:rsid w:val="2A4E308A"/>
    <w:rsid w:val="2A585CB7"/>
    <w:rsid w:val="2A596F1F"/>
    <w:rsid w:val="2A5C08DB"/>
    <w:rsid w:val="2A634428"/>
    <w:rsid w:val="2A6B59EA"/>
    <w:rsid w:val="2A7228D5"/>
    <w:rsid w:val="2A781EB5"/>
    <w:rsid w:val="2A7D127A"/>
    <w:rsid w:val="2A7F3244"/>
    <w:rsid w:val="2A816FBC"/>
    <w:rsid w:val="2A830F86"/>
    <w:rsid w:val="2A836E9F"/>
    <w:rsid w:val="2A862824"/>
    <w:rsid w:val="2A8820F8"/>
    <w:rsid w:val="2A8E16D9"/>
    <w:rsid w:val="2A967095"/>
    <w:rsid w:val="2A9860B3"/>
    <w:rsid w:val="2A9D383D"/>
    <w:rsid w:val="2AA01927"/>
    <w:rsid w:val="2AA060CC"/>
    <w:rsid w:val="2AA5385F"/>
    <w:rsid w:val="2AAE128C"/>
    <w:rsid w:val="2AAE4B78"/>
    <w:rsid w:val="2AAE69E0"/>
    <w:rsid w:val="2AB033FD"/>
    <w:rsid w:val="2ABA760D"/>
    <w:rsid w:val="2ABB0720"/>
    <w:rsid w:val="2ABF1892"/>
    <w:rsid w:val="2AC24226"/>
    <w:rsid w:val="2AC375D4"/>
    <w:rsid w:val="2ACB1B5C"/>
    <w:rsid w:val="2ACD3758"/>
    <w:rsid w:val="2ACD7E07"/>
    <w:rsid w:val="2AD73080"/>
    <w:rsid w:val="2ADE4C65"/>
    <w:rsid w:val="2AE00186"/>
    <w:rsid w:val="2AE8703B"/>
    <w:rsid w:val="2AEA4B61"/>
    <w:rsid w:val="2AEA6272"/>
    <w:rsid w:val="2AED6E40"/>
    <w:rsid w:val="2AF75775"/>
    <w:rsid w:val="2B05199B"/>
    <w:rsid w:val="2B053D5F"/>
    <w:rsid w:val="2B0B4AD7"/>
    <w:rsid w:val="2B14398C"/>
    <w:rsid w:val="2B2303E8"/>
    <w:rsid w:val="2B2B6F28"/>
    <w:rsid w:val="2B31027F"/>
    <w:rsid w:val="2B361B54"/>
    <w:rsid w:val="2B365FF8"/>
    <w:rsid w:val="2B406E77"/>
    <w:rsid w:val="2B430715"/>
    <w:rsid w:val="2B550B72"/>
    <w:rsid w:val="2B5B15BB"/>
    <w:rsid w:val="2B5E72FD"/>
    <w:rsid w:val="2B626DED"/>
    <w:rsid w:val="2B6C5721"/>
    <w:rsid w:val="2B6C7A10"/>
    <w:rsid w:val="2B6E5792"/>
    <w:rsid w:val="2B6F4038"/>
    <w:rsid w:val="2B705804"/>
    <w:rsid w:val="2B715282"/>
    <w:rsid w:val="2B716C91"/>
    <w:rsid w:val="2B7663F5"/>
    <w:rsid w:val="2B797443"/>
    <w:rsid w:val="2B7D5129"/>
    <w:rsid w:val="2B7D7783"/>
    <w:rsid w:val="2B7E56FB"/>
    <w:rsid w:val="2B7E67D4"/>
    <w:rsid w:val="2B8054C5"/>
    <w:rsid w:val="2B856638"/>
    <w:rsid w:val="2B8A6344"/>
    <w:rsid w:val="2B8D373E"/>
    <w:rsid w:val="2B8E1990"/>
    <w:rsid w:val="2B9351F9"/>
    <w:rsid w:val="2B94005B"/>
    <w:rsid w:val="2B97729C"/>
    <w:rsid w:val="2B9975D1"/>
    <w:rsid w:val="2BA411B4"/>
    <w:rsid w:val="2BA4617C"/>
    <w:rsid w:val="2BA47F0E"/>
    <w:rsid w:val="2BA936A8"/>
    <w:rsid w:val="2BAF4E76"/>
    <w:rsid w:val="2BB313F7"/>
    <w:rsid w:val="2BB3210D"/>
    <w:rsid w:val="2BB84C5F"/>
    <w:rsid w:val="2BC9034B"/>
    <w:rsid w:val="2BD4136D"/>
    <w:rsid w:val="2BD80E5D"/>
    <w:rsid w:val="2BD96984"/>
    <w:rsid w:val="2BDF21EC"/>
    <w:rsid w:val="2BE56DE3"/>
    <w:rsid w:val="2BEE68D3"/>
    <w:rsid w:val="2BEF7F55"/>
    <w:rsid w:val="2BF832AE"/>
    <w:rsid w:val="2BFC0FF0"/>
    <w:rsid w:val="2BFC4B0F"/>
    <w:rsid w:val="2C027C88"/>
    <w:rsid w:val="2C0C0B07"/>
    <w:rsid w:val="2C155C0E"/>
    <w:rsid w:val="2C1F4CDE"/>
    <w:rsid w:val="2C1F6A8C"/>
    <w:rsid w:val="2C2045B2"/>
    <w:rsid w:val="2C22657D"/>
    <w:rsid w:val="2C29790B"/>
    <w:rsid w:val="2C2D7EEF"/>
    <w:rsid w:val="2C315A5A"/>
    <w:rsid w:val="2C365B84"/>
    <w:rsid w:val="2C3A38C6"/>
    <w:rsid w:val="2C3B319A"/>
    <w:rsid w:val="2C3C2D18"/>
    <w:rsid w:val="2C421A4F"/>
    <w:rsid w:val="2C464019"/>
    <w:rsid w:val="2C4B1C25"/>
    <w:rsid w:val="2C57491F"/>
    <w:rsid w:val="2C5C49F7"/>
    <w:rsid w:val="2C5D5807"/>
    <w:rsid w:val="2C6F0A0B"/>
    <w:rsid w:val="2C707240"/>
    <w:rsid w:val="2C7D37B3"/>
    <w:rsid w:val="2C866B0B"/>
    <w:rsid w:val="2C8B4122"/>
    <w:rsid w:val="2C923702"/>
    <w:rsid w:val="2C97336C"/>
    <w:rsid w:val="2C98683F"/>
    <w:rsid w:val="2C9A25B7"/>
    <w:rsid w:val="2CA62D0A"/>
    <w:rsid w:val="2CA71209"/>
    <w:rsid w:val="2CAF7012"/>
    <w:rsid w:val="2CB61A5F"/>
    <w:rsid w:val="2CB660D6"/>
    <w:rsid w:val="2CBC307A"/>
    <w:rsid w:val="2CC56979"/>
    <w:rsid w:val="2CC6186D"/>
    <w:rsid w:val="2CCB09C2"/>
    <w:rsid w:val="2CD21D51"/>
    <w:rsid w:val="2CD53F28"/>
    <w:rsid w:val="2CD5539D"/>
    <w:rsid w:val="2CD63AAE"/>
    <w:rsid w:val="2CD66D68"/>
    <w:rsid w:val="2CD930DF"/>
    <w:rsid w:val="2CDA1BE8"/>
    <w:rsid w:val="2CE470F2"/>
    <w:rsid w:val="2CE61358"/>
    <w:rsid w:val="2CE657FC"/>
    <w:rsid w:val="2CE83322"/>
    <w:rsid w:val="2CF9552F"/>
    <w:rsid w:val="2CFB6F8F"/>
    <w:rsid w:val="2CFC41F4"/>
    <w:rsid w:val="2D0068BE"/>
    <w:rsid w:val="2D0143E4"/>
    <w:rsid w:val="2D062840"/>
    <w:rsid w:val="2D087520"/>
    <w:rsid w:val="2D095047"/>
    <w:rsid w:val="2D0F4D53"/>
    <w:rsid w:val="2D110FC4"/>
    <w:rsid w:val="2D1C121E"/>
    <w:rsid w:val="2D1C7470"/>
    <w:rsid w:val="2D25724E"/>
    <w:rsid w:val="2D2B33A6"/>
    <w:rsid w:val="2D2F71A3"/>
    <w:rsid w:val="2D3E2F42"/>
    <w:rsid w:val="2D3F0BD9"/>
    <w:rsid w:val="2D430559"/>
    <w:rsid w:val="2D460049"/>
    <w:rsid w:val="2D480265"/>
    <w:rsid w:val="2D4B565F"/>
    <w:rsid w:val="2D4E5E92"/>
    <w:rsid w:val="2D572256"/>
    <w:rsid w:val="2D595FCE"/>
    <w:rsid w:val="2D5C786C"/>
    <w:rsid w:val="2D614EEF"/>
    <w:rsid w:val="2D616C31"/>
    <w:rsid w:val="2D652BC5"/>
    <w:rsid w:val="2D796670"/>
    <w:rsid w:val="2D83129D"/>
    <w:rsid w:val="2D8813F3"/>
    <w:rsid w:val="2D8B7F3A"/>
    <w:rsid w:val="2D8C49DC"/>
    <w:rsid w:val="2D8F7C42"/>
    <w:rsid w:val="2D940DB4"/>
    <w:rsid w:val="2D990AC0"/>
    <w:rsid w:val="2D9E56F5"/>
    <w:rsid w:val="2DA74F8B"/>
    <w:rsid w:val="2DA800FA"/>
    <w:rsid w:val="2DB60670"/>
    <w:rsid w:val="2DB651CE"/>
    <w:rsid w:val="2DB73D70"/>
    <w:rsid w:val="2DB94CBF"/>
    <w:rsid w:val="2DD92044"/>
    <w:rsid w:val="2DDA15BD"/>
    <w:rsid w:val="2DDE64D3"/>
    <w:rsid w:val="2DE24215"/>
    <w:rsid w:val="2DE41D3C"/>
    <w:rsid w:val="2DE7182C"/>
    <w:rsid w:val="2DE955A4"/>
    <w:rsid w:val="2DEC308B"/>
    <w:rsid w:val="2DF126AA"/>
    <w:rsid w:val="2DF950BB"/>
    <w:rsid w:val="2E0979F4"/>
    <w:rsid w:val="2E0E4BBE"/>
    <w:rsid w:val="2E132621"/>
    <w:rsid w:val="2E1343CF"/>
    <w:rsid w:val="2E1F6373"/>
    <w:rsid w:val="2E267445"/>
    <w:rsid w:val="2E2B796A"/>
    <w:rsid w:val="2E2D6DDD"/>
    <w:rsid w:val="2E3108A3"/>
    <w:rsid w:val="2E340DCB"/>
    <w:rsid w:val="2E3658B9"/>
    <w:rsid w:val="2E3B3926"/>
    <w:rsid w:val="2E3B743A"/>
    <w:rsid w:val="2E3F6F72"/>
    <w:rsid w:val="2E462D64"/>
    <w:rsid w:val="2E4C5B33"/>
    <w:rsid w:val="2E50117F"/>
    <w:rsid w:val="2E541E94"/>
    <w:rsid w:val="2E596304"/>
    <w:rsid w:val="2E5C7A80"/>
    <w:rsid w:val="2E625356"/>
    <w:rsid w:val="2E642E7C"/>
    <w:rsid w:val="2E667F96"/>
    <w:rsid w:val="2E6D5A02"/>
    <w:rsid w:val="2E731311"/>
    <w:rsid w:val="2E732CBC"/>
    <w:rsid w:val="2E734E6D"/>
    <w:rsid w:val="2E762651"/>
    <w:rsid w:val="2E7A26A0"/>
    <w:rsid w:val="2E7B1F74"/>
    <w:rsid w:val="2E7C5ADB"/>
    <w:rsid w:val="2E8005CC"/>
    <w:rsid w:val="2E8226AB"/>
    <w:rsid w:val="2E8452CD"/>
    <w:rsid w:val="2E882AA2"/>
    <w:rsid w:val="2E884DBD"/>
    <w:rsid w:val="2E894691"/>
    <w:rsid w:val="2E8E7EF9"/>
    <w:rsid w:val="2E953036"/>
    <w:rsid w:val="2E9865E3"/>
    <w:rsid w:val="2E9A4AF0"/>
    <w:rsid w:val="2E9C2616"/>
    <w:rsid w:val="2E9E6274"/>
    <w:rsid w:val="2EAB2859"/>
    <w:rsid w:val="2EB23BE8"/>
    <w:rsid w:val="2EB4358B"/>
    <w:rsid w:val="2EBD1794"/>
    <w:rsid w:val="2EBD3C1D"/>
    <w:rsid w:val="2EC76F67"/>
    <w:rsid w:val="2ED05311"/>
    <w:rsid w:val="2ED20D19"/>
    <w:rsid w:val="2EDC2A13"/>
    <w:rsid w:val="2EDF0755"/>
    <w:rsid w:val="2EE15714"/>
    <w:rsid w:val="2EE23DA1"/>
    <w:rsid w:val="2EEA5520"/>
    <w:rsid w:val="2EF22482"/>
    <w:rsid w:val="2EF43956"/>
    <w:rsid w:val="2EF813AC"/>
    <w:rsid w:val="2EF97A69"/>
    <w:rsid w:val="2F02582B"/>
    <w:rsid w:val="2F0361F1"/>
    <w:rsid w:val="2F091059"/>
    <w:rsid w:val="2F0C651A"/>
    <w:rsid w:val="2F0D0D54"/>
    <w:rsid w:val="2F0F2AFC"/>
    <w:rsid w:val="2F1273BC"/>
    <w:rsid w:val="2F133481"/>
    <w:rsid w:val="2F1523C9"/>
    <w:rsid w:val="2F1C5505"/>
    <w:rsid w:val="2F201022"/>
    <w:rsid w:val="2F23266D"/>
    <w:rsid w:val="2F2F1BF5"/>
    <w:rsid w:val="2F331C81"/>
    <w:rsid w:val="2F372D50"/>
    <w:rsid w:val="2F4607D4"/>
    <w:rsid w:val="2F4A02C4"/>
    <w:rsid w:val="2F4A3E20"/>
    <w:rsid w:val="2F5527C5"/>
    <w:rsid w:val="2F5E1127"/>
    <w:rsid w:val="2F5E167A"/>
    <w:rsid w:val="2F637F91"/>
    <w:rsid w:val="2F697366"/>
    <w:rsid w:val="2F713AA3"/>
    <w:rsid w:val="2F7470EF"/>
    <w:rsid w:val="2F807842"/>
    <w:rsid w:val="2F865112"/>
    <w:rsid w:val="2F8C4439"/>
    <w:rsid w:val="2F963509"/>
    <w:rsid w:val="2F990904"/>
    <w:rsid w:val="2F9B79DA"/>
    <w:rsid w:val="2FA05C2B"/>
    <w:rsid w:val="2FA31782"/>
    <w:rsid w:val="2FA572A9"/>
    <w:rsid w:val="2FA77F0B"/>
    <w:rsid w:val="2FAC4ADB"/>
    <w:rsid w:val="2FB67708"/>
    <w:rsid w:val="2FB83480"/>
    <w:rsid w:val="2FBC45F2"/>
    <w:rsid w:val="2FC8343D"/>
    <w:rsid w:val="2FCD4A51"/>
    <w:rsid w:val="2FCE6DEF"/>
    <w:rsid w:val="2FD065E6"/>
    <w:rsid w:val="2FD22068"/>
    <w:rsid w:val="2FD602BF"/>
    <w:rsid w:val="2FD96870"/>
    <w:rsid w:val="2FDC6A42"/>
    <w:rsid w:val="2FE14059"/>
    <w:rsid w:val="2FE37DD1"/>
    <w:rsid w:val="2FEA0FE9"/>
    <w:rsid w:val="2FEF72DA"/>
    <w:rsid w:val="2FFB15BE"/>
    <w:rsid w:val="300555CC"/>
    <w:rsid w:val="300F0BC6"/>
    <w:rsid w:val="30182170"/>
    <w:rsid w:val="30191C64"/>
    <w:rsid w:val="301B62F3"/>
    <w:rsid w:val="30264334"/>
    <w:rsid w:val="302A6F6F"/>
    <w:rsid w:val="3034687E"/>
    <w:rsid w:val="30354AD0"/>
    <w:rsid w:val="303D5733"/>
    <w:rsid w:val="30406FD1"/>
    <w:rsid w:val="30421FF7"/>
    <w:rsid w:val="30580BC9"/>
    <w:rsid w:val="305E0778"/>
    <w:rsid w:val="30607673"/>
    <w:rsid w:val="306929CC"/>
    <w:rsid w:val="3069477A"/>
    <w:rsid w:val="306C7DC6"/>
    <w:rsid w:val="307153DD"/>
    <w:rsid w:val="30717AD3"/>
    <w:rsid w:val="30744ECD"/>
    <w:rsid w:val="307D0225"/>
    <w:rsid w:val="308D45AF"/>
    <w:rsid w:val="308E41E1"/>
    <w:rsid w:val="308F062E"/>
    <w:rsid w:val="30913CD1"/>
    <w:rsid w:val="3095556F"/>
    <w:rsid w:val="309B06AC"/>
    <w:rsid w:val="309C68FD"/>
    <w:rsid w:val="309D1B37"/>
    <w:rsid w:val="30A532D8"/>
    <w:rsid w:val="30A849A8"/>
    <w:rsid w:val="30AE4883"/>
    <w:rsid w:val="30C43B08"/>
    <w:rsid w:val="30CC4D09"/>
    <w:rsid w:val="30CE0A81"/>
    <w:rsid w:val="30DC4E9A"/>
    <w:rsid w:val="30EB518F"/>
    <w:rsid w:val="30EC5240"/>
    <w:rsid w:val="30F54260"/>
    <w:rsid w:val="310149B3"/>
    <w:rsid w:val="31046C43"/>
    <w:rsid w:val="311741D6"/>
    <w:rsid w:val="311C17EC"/>
    <w:rsid w:val="311E2ED7"/>
    <w:rsid w:val="311F0FAA"/>
    <w:rsid w:val="312344DF"/>
    <w:rsid w:val="31256607"/>
    <w:rsid w:val="31292053"/>
    <w:rsid w:val="31293AB6"/>
    <w:rsid w:val="312A215B"/>
    <w:rsid w:val="312A311A"/>
    <w:rsid w:val="31300B2E"/>
    <w:rsid w:val="3131346A"/>
    <w:rsid w:val="31344D88"/>
    <w:rsid w:val="31370CF0"/>
    <w:rsid w:val="3148438F"/>
    <w:rsid w:val="3149541A"/>
    <w:rsid w:val="314B0324"/>
    <w:rsid w:val="31505F30"/>
    <w:rsid w:val="315619EE"/>
    <w:rsid w:val="31592A40"/>
    <w:rsid w:val="315C449C"/>
    <w:rsid w:val="315C7E9F"/>
    <w:rsid w:val="31605B7D"/>
    <w:rsid w:val="316A69FC"/>
    <w:rsid w:val="316F392C"/>
    <w:rsid w:val="317A4765"/>
    <w:rsid w:val="317E24A7"/>
    <w:rsid w:val="317F1D7B"/>
    <w:rsid w:val="31864EB8"/>
    <w:rsid w:val="31882F82"/>
    <w:rsid w:val="318848C0"/>
    <w:rsid w:val="318F1FBE"/>
    <w:rsid w:val="31936DFD"/>
    <w:rsid w:val="31994BEB"/>
    <w:rsid w:val="319C302E"/>
    <w:rsid w:val="31A0241D"/>
    <w:rsid w:val="31AA6DF8"/>
    <w:rsid w:val="31AF440F"/>
    <w:rsid w:val="31B3446B"/>
    <w:rsid w:val="31B5579D"/>
    <w:rsid w:val="31B82709"/>
    <w:rsid w:val="31BE7835"/>
    <w:rsid w:val="31C13ED0"/>
    <w:rsid w:val="31C205E6"/>
    <w:rsid w:val="31CA1248"/>
    <w:rsid w:val="31D05482"/>
    <w:rsid w:val="31D74E48"/>
    <w:rsid w:val="31E22A36"/>
    <w:rsid w:val="31E24A78"/>
    <w:rsid w:val="31E40A5B"/>
    <w:rsid w:val="31E82AB3"/>
    <w:rsid w:val="31EF6F01"/>
    <w:rsid w:val="31F44517"/>
    <w:rsid w:val="31F65EB1"/>
    <w:rsid w:val="31F665E8"/>
    <w:rsid w:val="31F7440B"/>
    <w:rsid w:val="32004C6A"/>
    <w:rsid w:val="320504D2"/>
    <w:rsid w:val="3206092D"/>
    <w:rsid w:val="320F30FF"/>
    <w:rsid w:val="3210784B"/>
    <w:rsid w:val="32183566"/>
    <w:rsid w:val="321E1594"/>
    <w:rsid w:val="322070BA"/>
    <w:rsid w:val="322D7368"/>
    <w:rsid w:val="32335040"/>
    <w:rsid w:val="32342B66"/>
    <w:rsid w:val="323C1FC8"/>
    <w:rsid w:val="323D6EED"/>
    <w:rsid w:val="32400B34"/>
    <w:rsid w:val="32451796"/>
    <w:rsid w:val="32472899"/>
    <w:rsid w:val="32495726"/>
    <w:rsid w:val="324A4137"/>
    <w:rsid w:val="324A55FD"/>
    <w:rsid w:val="324F58D8"/>
    <w:rsid w:val="324F5BF1"/>
    <w:rsid w:val="32513718"/>
    <w:rsid w:val="325167B6"/>
    <w:rsid w:val="32536CC0"/>
    <w:rsid w:val="325925CC"/>
    <w:rsid w:val="32601BAD"/>
    <w:rsid w:val="32630C08"/>
    <w:rsid w:val="326E6078"/>
    <w:rsid w:val="32717916"/>
    <w:rsid w:val="32786EF6"/>
    <w:rsid w:val="327C08CF"/>
    <w:rsid w:val="327F2033"/>
    <w:rsid w:val="328408AA"/>
    <w:rsid w:val="328C29A2"/>
    <w:rsid w:val="32951856"/>
    <w:rsid w:val="329769BD"/>
    <w:rsid w:val="329E6876"/>
    <w:rsid w:val="32A13281"/>
    <w:rsid w:val="32A25D21"/>
    <w:rsid w:val="32A47CEB"/>
    <w:rsid w:val="32AD2F28"/>
    <w:rsid w:val="32B45635"/>
    <w:rsid w:val="32BB0AB8"/>
    <w:rsid w:val="32BB6DE3"/>
    <w:rsid w:val="32BC3287"/>
    <w:rsid w:val="32C37B36"/>
    <w:rsid w:val="32C428D3"/>
    <w:rsid w:val="32CE2FBA"/>
    <w:rsid w:val="32D95FDB"/>
    <w:rsid w:val="32E4633A"/>
    <w:rsid w:val="32E57A1E"/>
    <w:rsid w:val="32E61D73"/>
    <w:rsid w:val="32E75E2A"/>
    <w:rsid w:val="32E93950"/>
    <w:rsid w:val="32EE6A32"/>
    <w:rsid w:val="32F02F31"/>
    <w:rsid w:val="32F21E9F"/>
    <w:rsid w:val="33057D4F"/>
    <w:rsid w:val="33062754"/>
    <w:rsid w:val="330C4325"/>
    <w:rsid w:val="3310712F"/>
    <w:rsid w:val="33114C55"/>
    <w:rsid w:val="33233306"/>
    <w:rsid w:val="332447BD"/>
    <w:rsid w:val="33250A89"/>
    <w:rsid w:val="333015F2"/>
    <w:rsid w:val="33331BF2"/>
    <w:rsid w:val="33334342"/>
    <w:rsid w:val="333C2F84"/>
    <w:rsid w:val="334461B7"/>
    <w:rsid w:val="334B6320"/>
    <w:rsid w:val="33553C3C"/>
    <w:rsid w:val="33590DE0"/>
    <w:rsid w:val="33641229"/>
    <w:rsid w:val="336B25B7"/>
    <w:rsid w:val="33704071"/>
    <w:rsid w:val="33705E1F"/>
    <w:rsid w:val="33743B62"/>
    <w:rsid w:val="33744ECB"/>
    <w:rsid w:val="33802506"/>
    <w:rsid w:val="33835B53"/>
    <w:rsid w:val="338777E7"/>
    <w:rsid w:val="338868F9"/>
    <w:rsid w:val="338A536B"/>
    <w:rsid w:val="33A201D2"/>
    <w:rsid w:val="33A61841"/>
    <w:rsid w:val="33B43F5E"/>
    <w:rsid w:val="33BB57E2"/>
    <w:rsid w:val="33C5689E"/>
    <w:rsid w:val="33C61EE3"/>
    <w:rsid w:val="33CB74FA"/>
    <w:rsid w:val="33D046D9"/>
    <w:rsid w:val="33D068BE"/>
    <w:rsid w:val="33D11A5A"/>
    <w:rsid w:val="33D21212"/>
    <w:rsid w:val="33D41E6C"/>
    <w:rsid w:val="33D53ED4"/>
    <w:rsid w:val="33D56B35"/>
    <w:rsid w:val="33D934D4"/>
    <w:rsid w:val="33DF2CC3"/>
    <w:rsid w:val="33E12879"/>
    <w:rsid w:val="33EA07F6"/>
    <w:rsid w:val="33F26834"/>
    <w:rsid w:val="33F937EB"/>
    <w:rsid w:val="33F95E15"/>
    <w:rsid w:val="33FB7DDF"/>
    <w:rsid w:val="33FE2F6A"/>
    <w:rsid w:val="34012F1B"/>
    <w:rsid w:val="34030A42"/>
    <w:rsid w:val="34032C97"/>
    <w:rsid w:val="34034EE6"/>
    <w:rsid w:val="340E07E5"/>
    <w:rsid w:val="340E5410"/>
    <w:rsid w:val="3417159D"/>
    <w:rsid w:val="341817A7"/>
    <w:rsid w:val="3420114E"/>
    <w:rsid w:val="3422536C"/>
    <w:rsid w:val="34235BF7"/>
    <w:rsid w:val="34270BD4"/>
    <w:rsid w:val="34276179"/>
    <w:rsid w:val="343D373A"/>
    <w:rsid w:val="343E5F1E"/>
    <w:rsid w:val="34433534"/>
    <w:rsid w:val="344352E2"/>
    <w:rsid w:val="344559EB"/>
    <w:rsid w:val="344A0DB7"/>
    <w:rsid w:val="344B63D6"/>
    <w:rsid w:val="344F012B"/>
    <w:rsid w:val="344F5981"/>
    <w:rsid w:val="34533777"/>
    <w:rsid w:val="3454405D"/>
    <w:rsid w:val="345614B9"/>
    <w:rsid w:val="34565015"/>
    <w:rsid w:val="345849C9"/>
    <w:rsid w:val="345A38E9"/>
    <w:rsid w:val="34610250"/>
    <w:rsid w:val="346A0AC1"/>
    <w:rsid w:val="346A6D13"/>
    <w:rsid w:val="346E05B1"/>
    <w:rsid w:val="34726D5F"/>
    <w:rsid w:val="34784F8C"/>
    <w:rsid w:val="347B408A"/>
    <w:rsid w:val="347D6A46"/>
    <w:rsid w:val="34847DD4"/>
    <w:rsid w:val="348A4CBF"/>
    <w:rsid w:val="348E47AF"/>
    <w:rsid w:val="34987079"/>
    <w:rsid w:val="349A13A6"/>
    <w:rsid w:val="34A915E9"/>
    <w:rsid w:val="34AA5361"/>
    <w:rsid w:val="34AC70A4"/>
    <w:rsid w:val="34B306BA"/>
    <w:rsid w:val="34B32468"/>
    <w:rsid w:val="34C340DF"/>
    <w:rsid w:val="34CE1050"/>
    <w:rsid w:val="34D11AB0"/>
    <w:rsid w:val="34D128EE"/>
    <w:rsid w:val="34D502D9"/>
    <w:rsid w:val="34DB40E6"/>
    <w:rsid w:val="34DB551B"/>
    <w:rsid w:val="34DC7A0A"/>
    <w:rsid w:val="34E649B7"/>
    <w:rsid w:val="34EB1C02"/>
    <w:rsid w:val="34EC3BCC"/>
    <w:rsid w:val="34F0546A"/>
    <w:rsid w:val="34F07218"/>
    <w:rsid w:val="34F6554F"/>
    <w:rsid w:val="34FA42D3"/>
    <w:rsid w:val="350361FA"/>
    <w:rsid w:val="3509044E"/>
    <w:rsid w:val="350E58F0"/>
    <w:rsid w:val="35101668"/>
    <w:rsid w:val="351C625F"/>
    <w:rsid w:val="35213875"/>
    <w:rsid w:val="3526277B"/>
    <w:rsid w:val="352E7D40"/>
    <w:rsid w:val="352F0FB7"/>
    <w:rsid w:val="353A66E5"/>
    <w:rsid w:val="353D7F83"/>
    <w:rsid w:val="35431A3E"/>
    <w:rsid w:val="35470E02"/>
    <w:rsid w:val="35533747"/>
    <w:rsid w:val="355552CD"/>
    <w:rsid w:val="355D23D3"/>
    <w:rsid w:val="356130B4"/>
    <w:rsid w:val="35630160"/>
    <w:rsid w:val="35643762"/>
    <w:rsid w:val="3567321C"/>
    <w:rsid w:val="3569521C"/>
    <w:rsid w:val="356C33B4"/>
    <w:rsid w:val="358838F4"/>
    <w:rsid w:val="358C5FA8"/>
    <w:rsid w:val="358D26E0"/>
    <w:rsid w:val="35903754"/>
    <w:rsid w:val="3599165E"/>
    <w:rsid w:val="359C114E"/>
    <w:rsid w:val="359D6409"/>
    <w:rsid w:val="35A76B9B"/>
    <w:rsid w:val="35A95619"/>
    <w:rsid w:val="35B27E72"/>
    <w:rsid w:val="35B45818"/>
    <w:rsid w:val="35B5220F"/>
    <w:rsid w:val="35B53FBD"/>
    <w:rsid w:val="35BA7E46"/>
    <w:rsid w:val="35BD6C41"/>
    <w:rsid w:val="35BE10C4"/>
    <w:rsid w:val="35C15DF1"/>
    <w:rsid w:val="35C81F43"/>
    <w:rsid w:val="35C8255D"/>
    <w:rsid w:val="35D546B3"/>
    <w:rsid w:val="35DF103A"/>
    <w:rsid w:val="35E84393"/>
    <w:rsid w:val="35E86141"/>
    <w:rsid w:val="35E87EEF"/>
    <w:rsid w:val="35F779DD"/>
    <w:rsid w:val="35FE5964"/>
    <w:rsid w:val="36050807"/>
    <w:rsid w:val="36074A7F"/>
    <w:rsid w:val="360B4F3D"/>
    <w:rsid w:val="361231BE"/>
    <w:rsid w:val="36140CE4"/>
    <w:rsid w:val="36145188"/>
    <w:rsid w:val="361959FD"/>
    <w:rsid w:val="36195E29"/>
    <w:rsid w:val="361A2073"/>
    <w:rsid w:val="36213401"/>
    <w:rsid w:val="36257395"/>
    <w:rsid w:val="362829E1"/>
    <w:rsid w:val="36290B8D"/>
    <w:rsid w:val="362E4914"/>
    <w:rsid w:val="3647730B"/>
    <w:rsid w:val="364C5A34"/>
    <w:rsid w:val="364F61C0"/>
    <w:rsid w:val="36516E4D"/>
    <w:rsid w:val="365C7A2D"/>
    <w:rsid w:val="36614792"/>
    <w:rsid w:val="36645842"/>
    <w:rsid w:val="36794FEB"/>
    <w:rsid w:val="367E2601"/>
    <w:rsid w:val="3683397A"/>
    <w:rsid w:val="368816D2"/>
    <w:rsid w:val="368C11C2"/>
    <w:rsid w:val="368F480F"/>
    <w:rsid w:val="36923549"/>
    <w:rsid w:val="36940077"/>
    <w:rsid w:val="36987B67"/>
    <w:rsid w:val="36A00CF5"/>
    <w:rsid w:val="36A111C5"/>
    <w:rsid w:val="36AA33F6"/>
    <w:rsid w:val="36AD487C"/>
    <w:rsid w:val="36AD7188"/>
    <w:rsid w:val="36AF6757"/>
    <w:rsid w:val="36B727D3"/>
    <w:rsid w:val="36B75FBF"/>
    <w:rsid w:val="36BD0C45"/>
    <w:rsid w:val="36BD4C49"/>
    <w:rsid w:val="36CB13CC"/>
    <w:rsid w:val="36CE5337"/>
    <w:rsid w:val="36D32BC4"/>
    <w:rsid w:val="36D46EB4"/>
    <w:rsid w:val="36E20DE2"/>
    <w:rsid w:val="36E763F9"/>
    <w:rsid w:val="36E772A6"/>
    <w:rsid w:val="36FD3E6E"/>
    <w:rsid w:val="37113475"/>
    <w:rsid w:val="371F2036"/>
    <w:rsid w:val="3720190B"/>
    <w:rsid w:val="37202BF5"/>
    <w:rsid w:val="37217C5B"/>
    <w:rsid w:val="372274FB"/>
    <w:rsid w:val="3724764D"/>
    <w:rsid w:val="372E65F2"/>
    <w:rsid w:val="373158C6"/>
    <w:rsid w:val="37332011"/>
    <w:rsid w:val="37333052"/>
    <w:rsid w:val="37357164"/>
    <w:rsid w:val="37362EDC"/>
    <w:rsid w:val="373A29CC"/>
    <w:rsid w:val="374455F9"/>
    <w:rsid w:val="37476E97"/>
    <w:rsid w:val="374C73ED"/>
    <w:rsid w:val="37515F68"/>
    <w:rsid w:val="37537F32"/>
    <w:rsid w:val="375810A4"/>
    <w:rsid w:val="37591A74"/>
    <w:rsid w:val="375D66BB"/>
    <w:rsid w:val="37702E86"/>
    <w:rsid w:val="37727331"/>
    <w:rsid w:val="37797999"/>
    <w:rsid w:val="378123A9"/>
    <w:rsid w:val="3789594F"/>
    <w:rsid w:val="378B02EC"/>
    <w:rsid w:val="378D57C0"/>
    <w:rsid w:val="378E2D18"/>
    <w:rsid w:val="37906A90"/>
    <w:rsid w:val="37920A5A"/>
    <w:rsid w:val="3793032E"/>
    <w:rsid w:val="37955371"/>
    <w:rsid w:val="379C5435"/>
    <w:rsid w:val="37A12A4B"/>
    <w:rsid w:val="37B502A5"/>
    <w:rsid w:val="37B971EB"/>
    <w:rsid w:val="37BC1633"/>
    <w:rsid w:val="37CA5CB6"/>
    <w:rsid w:val="37CB1876"/>
    <w:rsid w:val="37CB3BC8"/>
    <w:rsid w:val="37CC183C"/>
    <w:rsid w:val="37CD1A92"/>
    <w:rsid w:val="37D12A37"/>
    <w:rsid w:val="37D33B5F"/>
    <w:rsid w:val="37D746BF"/>
    <w:rsid w:val="37DA7D0B"/>
    <w:rsid w:val="37DD15AA"/>
    <w:rsid w:val="37E00298"/>
    <w:rsid w:val="37E5578B"/>
    <w:rsid w:val="37E56DDC"/>
    <w:rsid w:val="37E82428"/>
    <w:rsid w:val="37ED78B2"/>
    <w:rsid w:val="37F012DD"/>
    <w:rsid w:val="37F45271"/>
    <w:rsid w:val="37F74639"/>
    <w:rsid w:val="37FA104F"/>
    <w:rsid w:val="37FF59C4"/>
    <w:rsid w:val="38005AB4"/>
    <w:rsid w:val="38194CD8"/>
    <w:rsid w:val="382C4A0B"/>
    <w:rsid w:val="3836000A"/>
    <w:rsid w:val="3840753A"/>
    <w:rsid w:val="38415FDC"/>
    <w:rsid w:val="38431D54"/>
    <w:rsid w:val="384653A1"/>
    <w:rsid w:val="38471845"/>
    <w:rsid w:val="384C6E5B"/>
    <w:rsid w:val="385E26EA"/>
    <w:rsid w:val="38606463"/>
    <w:rsid w:val="386121DB"/>
    <w:rsid w:val="38633130"/>
    <w:rsid w:val="38653A79"/>
    <w:rsid w:val="38657F1D"/>
    <w:rsid w:val="386638E8"/>
    <w:rsid w:val="38737065"/>
    <w:rsid w:val="387B14EE"/>
    <w:rsid w:val="38840FA1"/>
    <w:rsid w:val="38883C0B"/>
    <w:rsid w:val="388859B9"/>
    <w:rsid w:val="389257F7"/>
    <w:rsid w:val="38957B51"/>
    <w:rsid w:val="38997362"/>
    <w:rsid w:val="389E0773"/>
    <w:rsid w:val="38B003A6"/>
    <w:rsid w:val="38B302F9"/>
    <w:rsid w:val="38B467AE"/>
    <w:rsid w:val="38BF7A8E"/>
    <w:rsid w:val="38C20ECB"/>
    <w:rsid w:val="38CA7F62"/>
    <w:rsid w:val="38CC7F9C"/>
    <w:rsid w:val="38CF183A"/>
    <w:rsid w:val="38EF3C8A"/>
    <w:rsid w:val="38F12CD3"/>
    <w:rsid w:val="38F8669B"/>
    <w:rsid w:val="38F94775"/>
    <w:rsid w:val="38FE3794"/>
    <w:rsid w:val="39047736"/>
    <w:rsid w:val="3911775D"/>
    <w:rsid w:val="391A72EC"/>
    <w:rsid w:val="392971ED"/>
    <w:rsid w:val="392A081F"/>
    <w:rsid w:val="392E47B3"/>
    <w:rsid w:val="39325651"/>
    <w:rsid w:val="39400042"/>
    <w:rsid w:val="39411074"/>
    <w:rsid w:val="39447B32"/>
    <w:rsid w:val="39475874"/>
    <w:rsid w:val="395A1104"/>
    <w:rsid w:val="395F4C11"/>
    <w:rsid w:val="3962620A"/>
    <w:rsid w:val="39644B89"/>
    <w:rsid w:val="3967248F"/>
    <w:rsid w:val="396B1BD1"/>
    <w:rsid w:val="396E1053"/>
    <w:rsid w:val="397523E2"/>
    <w:rsid w:val="39761CB6"/>
    <w:rsid w:val="397751A2"/>
    <w:rsid w:val="397F6DBC"/>
    <w:rsid w:val="39845C94"/>
    <w:rsid w:val="39873EC3"/>
    <w:rsid w:val="398B39B3"/>
    <w:rsid w:val="399565E0"/>
    <w:rsid w:val="399B5A0C"/>
    <w:rsid w:val="399D36E6"/>
    <w:rsid w:val="399D7242"/>
    <w:rsid w:val="39A95BE7"/>
    <w:rsid w:val="39BA7DF4"/>
    <w:rsid w:val="39BE07C6"/>
    <w:rsid w:val="39D23390"/>
    <w:rsid w:val="39D4535A"/>
    <w:rsid w:val="39DA6754"/>
    <w:rsid w:val="39DF4C62"/>
    <w:rsid w:val="39E66F22"/>
    <w:rsid w:val="39E84962"/>
    <w:rsid w:val="39F85119"/>
    <w:rsid w:val="39FC665F"/>
    <w:rsid w:val="39FF3A59"/>
    <w:rsid w:val="3A045513"/>
    <w:rsid w:val="3A0B4AF4"/>
    <w:rsid w:val="3A0D6176"/>
    <w:rsid w:val="3A0E6802"/>
    <w:rsid w:val="3A10210A"/>
    <w:rsid w:val="3A1204A1"/>
    <w:rsid w:val="3A137505"/>
    <w:rsid w:val="3A15327D"/>
    <w:rsid w:val="3A1C285D"/>
    <w:rsid w:val="3A217E73"/>
    <w:rsid w:val="3A223F8F"/>
    <w:rsid w:val="3A235B1B"/>
    <w:rsid w:val="3A241712"/>
    <w:rsid w:val="3A267238"/>
    <w:rsid w:val="3A296D8E"/>
    <w:rsid w:val="3A2A3068"/>
    <w:rsid w:val="3A2D05C6"/>
    <w:rsid w:val="3A345DF9"/>
    <w:rsid w:val="3A433156"/>
    <w:rsid w:val="3A485400"/>
    <w:rsid w:val="3A571AE7"/>
    <w:rsid w:val="3A610AB5"/>
    <w:rsid w:val="3A661D2A"/>
    <w:rsid w:val="3A6A62B8"/>
    <w:rsid w:val="3A706705"/>
    <w:rsid w:val="3A751F6D"/>
    <w:rsid w:val="3A766411"/>
    <w:rsid w:val="3A7D77A0"/>
    <w:rsid w:val="3A830B2E"/>
    <w:rsid w:val="3A872856"/>
    <w:rsid w:val="3A95616C"/>
    <w:rsid w:val="3AA22748"/>
    <w:rsid w:val="3AAC3BE1"/>
    <w:rsid w:val="3AAC5A7D"/>
    <w:rsid w:val="3AB95E7B"/>
    <w:rsid w:val="3AC0143A"/>
    <w:rsid w:val="3AC52EF5"/>
    <w:rsid w:val="3ACD1DA9"/>
    <w:rsid w:val="3ACD736D"/>
    <w:rsid w:val="3AE93180"/>
    <w:rsid w:val="3AED7D56"/>
    <w:rsid w:val="3AF1054B"/>
    <w:rsid w:val="3AFD0AE1"/>
    <w:rsid w:val="3B014914"/>
    <w:rsid w:val="3B0716D8"/>
    <w:rsid w:val="3B077069"/>
    <w:rsid w:val="3B0A5AAC"/>
    <w:rsid w:val="3B12348C"/>
    <w:rsid w:val="3B133C60"/>
    <w:rsid w:val="3B1D688D"/>
    <w:rsid w:val="3B247EB6"/>
    <w:rsid w:val="3B2B7465"/>
    <w:rsid w:val="3B365BA1"/>
    <w:rsid w:val="3B3763D1"/>
    <w:rsid w:val="3B41771A"/>
    <w:rsid w:val="3B4D0803"/>
    <w:rsid w:val="3B5241A1"/>
    <w:rsid w:val="3B5E186E"/>
    <w:rsid w:val="3B5F6EA5"/>
    <w:rsid w:val="3B6A55BB"/>
    <w:rsid w:val="3B72426C"/>
    <w:rsid w:val="3B7346FF"/>
    <w:rsid w:val="3B7653F9"/>
    <w:rsid w:val="3B7E2BA1"/>
    <w:rsid w:val="3B7F4711"/>
    <w:rsid w:val="3B8406BA"/>
    <w:rsid w:val="3B8E32E7"/>
    <w:rsid w:val="3B913AA8"/>
    <w:rsid w:val="3B9308FD"/>
    <w:rsid w:val="3B9862F5"/>
    <w:rsid w:val="3B9D4D46"/>
    <w:rsid w:val="3BA75EA6"/>
    <w:rsid w:val="3BB577F9"/>
    <w:rsid w:val="3BB84807"/>
    <w:rsid w:val="3BBB7E54"/>
    <w:rsid w:val="3BBD1E80"/>
    <w:rsid w:val="3BC36704"/>
    <w:rsid w:val="3BC66F24"/>
    <w:rsid w:val="3BD01B51"/>
    <w:rsid w:val="3BD333EF"/>
    <w:rsid w:val="3BD57167"/>
    <w:rsid w:val="3BD86C58"/>
    <w:rsid w:val="3BDC04F6"/>
    <w:rsid w:val="3BDD7DCA"/>
    <w:rsid w:val="3BDF06B7"/>
    <w:rsid w:val="3BE87B78"/>
    <w:rsid w:val="3BEA469E"/>
    <w:rsid w:val="3BEB6954"/>
    <w:rsid w:val="3BEC4ABF"/>
    <w:rsid w:val="3BED123F"/>
    <w:rsid w:val="3BF03FA1"/>
    <w:rsid w:val="3BF5322F"/>
    <w:rsid w:val="3BF80E06"/>
    <w:rsid w:val="3BF9276B"/>
    <w:rsid w:val="3BFA097C"/>
    <w:rsid w:val="3BFA6B5D"/>
    <w:rsid w:val="3BFB5D9F"/>
    <w:rsid w:val="3C055B26"/>
    <w:rsid w:val="3C0D4B53"/>
    <w:rsid w:val="3C103098"/>
    <w:rsid w:val="3C1258D6"/>
    <w:rsid w:val="3C2123AD"/>
    <w:rsid w:val="3C237ED3"/>
    <w:rsid w:val="3C272976"/>
    <w:rsid w:val="3C276D02"/>
    <w:rsid w:val="3C2D6471"/>
    <w:rsid w:val="3C2F6E1E"/>
    <w:rsid w:val="3C302214"/>
    <w:rsid w:val="3C30439E"/>
    <w:rsid w:val="3C340332"/>
    <w:rsid w:val="3C3B487A"/>
    <w:rsid w:val="3C3C7CC1"/>
    <w:rsid w:val="3C3D7980"/>
    <w:rsid w:val="3C3F2833"/>
    <w:rsid w:val="3C463BC1"/>
    <w:rsid w:val="3C4663C4"/>
    <w:rsid w:val="3C4E2A76"/>
    <w:rsid w:val="3C4F64BA"/>
    <w:rsid w:val="3C5207B8"/>
    <w:rsid w:val="3C5B518D"/>
    <w:rsid w:val="3C601127"/>
    <w:rsid w:val="3C6308F8"/>
    <w:rsid w:val="3C6635A5"/>
    <w:rsid w:val="3C681651"/>
    <w:rsid w:val="3C8446EA"/>
    <w:rsid w:val="3C862210"/>
    <w:rsid w:val="3C8E7BF3"/>
    <w:rsid w:val="3C905AD5"/>
    <w:rsid w:val="3C9B067D"/>
    <w:rsid w:val="3CA3113C"/>
    <w:rsid w:val="3CAE6A45"/>
    <w:rsid w:val="3CC22DEC"/>
    <w:rsid w:val="3CD41336"/>
    <w:rsid w:val="3CD92C87"/>
    <w:rsid w:val="3CDA245A"/>
    <w:rsid w:val="3CDE3DFA"/>
    <w:rsid w:val="3CE522BB"/>
    <w:rsid w:val="3CE97201"/>
    <w:rsid w:val="3CED646D"/>
    <w:rsid w:val="3CF61143"/>
    <w:rsid w:val="3CF8135F"/>
    <w:rsid w:val="3CFD4BC8"/>
    <w:rsid w:val="3D006466"/>
    <w:rsid w:val="3D110C09"/>
    <w:rsid w:val="3D1C0F21"/>
    <w:rsid w:val="3D1C4EFB"/>
    <w:rsid w:val="3D1E06B7"/>
    <w:rsid w:val="3D275FD4"/>
    <w:rsid w:val="3D287784"/>
    <w:rsid w:val="3D2B2340"/>
    <w:rsid w:val="3D2C7970"/>
    <w:rsid w:val="3D3B0486"/>
    <w:rsid w:val="3D3F6F8E"/>
    <w:rsid w:val="3D42082D"/>
    <w:rsid w:val="3D4470F6"/>
    <w:rsid w:val="3D4817DC"/>
    <w:rsid w:val="3D4A76E1"/>
    <w:rsid w:val="3D4C3459"/>
    <w:rsid w:val="3D4E5423"/>
    <w:rsid w:val="3D4F2D0B"/>
    <w:rsid w:val="3D51281E"/>
    <w:rsid w:val="3D5D233E"/>
    <w:rsid w:val="3D5F13DF"/>
    <w:rsid w:val="3D600CB3"/>
    <w:rsid w:val="3D624A2B"/>
    <w:rsid w:val="3D6F7148"/>
    <w:rsid w:val="3D70539A"/>
    <w:rsid w:val="3D7133BA"/>
    <w:rsid w:val="3D714C6E"/>
    <w:rsid w:val="3D7D72CD"/>
    <w:rsid w:val="3D89020A"/>
    <w:rsid w:val="3D8B21D4"/>
    <w:rsid w:val="3D9461A5"/>
    <w:rsid w:val="3D98669F"/>
    <w:rsid w:val="3D9A2417"/>
    <w:rsid w:val="3D9C6F36"/>
    <w:rsid w:val="3DA155A0"/>
    <w:rsid w:val="3DA212CB"/>
    <w:rsid w:val="3DA276B6"/>
    <w:rsid w:val="3DA440D7"/>
    <w:rsid w:val="3DA6700D"/>
    <w:rsid w:val="3DA70690"/>
    <w:rsid w:val="3DB07174"/>
    <w:rsid w:val="3DB86D41"/>
    <w:rsid w:val="3DBF1E7D"/>
    <w:rsid w:val="3DC80F55"/>
    <w:rsid w:val="3DC96858"/>
    <w:rsid w:val="3DCF09D8"/>
    <w:rsid w:val="3DCF3BCD"/>
    <w:rsid w:val="3DD5344F"/>
    <w:rsid w:val="3DD5726D"/>
    <w:rsid w:val="3DD85E77"/>
    <w:rsid w:val="3DDB658B"/>
    <w:rsid w:val="3DDF42CD"/>
    <w:rsid w:val="3DE03BA2"/>
    <w:rsid w:val="3DE43692"/>
    <w:rsid w:val="3DE47B36"/>
    <w:rsid w:val="3DED7156"/>
    <w:rsid w:val="3DF25D34"/>
    <w:rsid w:val="3DF31B27"/>
    <w:rsid w:val="3DF5764D"/>
    <w:rsid w:val="3DFE7643"/>
    <w:rsid w:val="3E0E070F"/>
    <w:rsid w:val="3E0F5FE9"/>
    <w:rsid w:val="3E1F46CA"/>
    <w:rsid w:val="3E27797F"/>
    <w:rsid w:val="3E2E0DB1"/>
    <w:rsid w:val="3E385855"/>
    <w:rsid w:val="3E3A16E2"/>
    <w:rsid w:val="3E4037B8"/>
    <w:rsid w:val="3E404C1B"/>
    <w:rsid w:val="3E495BEB"/>
    <w:rsid w:val="3E4C4EDB"/>
    <w:rsid w:val="3E4D1237"/>
    <w:rsid w:val="3E4E3201"/>
    <w:rsid w:val="3E5A3954"/>
    <w:rsid w:val="3E6349D5"/>
    <w:rsid w:val="3E636CAD"/>
    <w:rsid w:val="3E72475D"/>
    <w:rsid w:val="3E725142"/>
    <w:rsid w:val="3E7A47B8"/>
    <w:rsid w:val="3E84126F"/>
    <w:rsid w:val="3E895FE7"/>
    <w:rsid w:val="3E897B14"/>
    <w:rsid w:val="3E8B70E7"/>
    <w:rsid w:val="3E946E66"/>
    <w:rsid w:val="3E951F7E"/>
    <w:rsid w:val="3EA03A5D"/>
    <w:rsid w:val="3EA73CF9"/>
    <w:rsid w:val="3EA90437"/>
    <w:rsid w:val="3EB70DA6"/>
    <w:rsid w:val="3EBC016B"/>
    <w:rsid w:val="3EBD6576"/>
    <w:rsid w:val="3EC040FF"/>
    <w:rsid w:val="3EC11C25"/>
    <w:rsid w:val="3EC87463"/>
    <w:rsid w:val="3ECB2A96"/>
    <w:rsid w:val="3ECF6D64"/>
    <w:rsid w:val="3ED022A8"/>
    <w:rsid w:val="3ED656D0"/>
    <w:rsid w:val="3ED870D5"/>
    <w:rsid w:val="3ED951C1"/>
    <w:rsid w:val="3EDA0523"/>
    <w:rsid w:val="3EE871B2"/>
    <w:rsid w:val="3EE959C4"/>
    <w:rsid w:val="3EED0CD4"/>
    <w:rsid w:val="3EF313C9"/>
    <w:rsid w:val="3EFE753A"/>
    <w:rsid w:val="3F043D71"/>
    <w:rsid w:val="3F080FE0"/>
    <w:rsid w:val="3F0B21C9"/>
    <w:rsid w:val="3F0B2EA0"/>
    <w:rsid w:val="3F125FDD"/>
    <w:rsid w:val="3F185CE9"/>
    <w:rsid w:val="3F1A40AF"/>
    <w:rsid w:val="3F2521B4"/>
    <w:rsid w:val="3F2D2E17"/>
    <w:rsid w:val="3F2E0AF4"/>
    <w:rsid w:val="3F340649"/>
    <w:rsid w:val="3F3B3785"/>
    <w:rsid w:val="3F3B5533"/>
    <w:rsid w:val="3F3C60C8"/>
    <w:rsid w:val="3F473ED8"/>
    <w:rsid w:val="3F4E1E96"/>
    <w:rsid w:val="3F4F0FDF"/>
    <w:rsid w:val="3F5E56C6"/>
    <w:rsid w:val="3F604F9A"/>
    <w:rsid w:val="3F641DBA"/>
    <w:rsid w:val="3F656A54"/>
    <w:rsid w:val="3F6A7BC7"/>
    <w:rsid w:val="3F7B2ECB"/>
    <w:rsid w:val="3F850EA5"/>
    <w:rsid w:val="3F942E96"/>
    <w:rsid w:val="3F952863"/>
    <w:rsid w:val="3F980BD8"/>
    <w:rsid w:val="3F9B2476"/>
    <w:rsid w:val="3F9E5AC2"/>
    <w:rsid w:val="3FA56E51"/>
    <w:rsid w:val="3FB05CC3"/>
    <w:rsid w:val="3FB229FA"/>
    <w:rsid w:val="3FB8126D"/>
    <w:rsid w:val="3FC27A03"/>
    <w:rsid w:val="3FC61AFC"/>
    <w:rsid w:val="3FC714BD"/>
    <w:rsid w:val="3FCA2E92"/>
    <w:rsid w:val="3FDC0668"/>
    <w:rsid w:val="3FDF05B5"/>
    <w:rsid w:val="3FE22A62"/>
    <w:rsid w:val="3FEF16A0"/>
    <w:rsid w:val="3FEF631E"/>
    <w:rsid w:val="3FF1653A"/>
    <w:rsid w:val="3FF43934"/>
    <w:rsid w:val="3FF65710"/>
    <w:rsid w:val="3FF76AB3"/>
    <w:rsid w:val="3FFF2A05"/>
    <w:rsid w:val="4000299E"/>
    <w:rsid w:val="40037389"/>
    <w:rsid w:val="4010076F"/>
    <w:rsid w:val="401364B0"/>
    <w:rsid w:val="40162CEE"/>
    <w:rsid w:val="4017189D"/>
    <w:rsid w:val="40195AFD"/>
    <w:rsid w:val="401C35B7"/>
    <w:rsid w:val="402C30CE"/>
    <w:rsid w:val="4031498F"/>
    <w:rsid w:val="4037219F"/>
    <w:rsid w:val="40385F17"/>
    <w:rsid w:val="40491ED2"/>
    <w:rsid w:val="40492A4A"/>
    <w:rsid w:val="405014B2"/>
    <w:rsid w:val="406311E6"/>
    <w:rsid w:val="40637DA0"/>
    <w:rsid w:val="4068051B"/>
    <w:rsid w:val="406805AA"/>
    <w:rsid w:val="4068695F"/>
    <w:rsid w:val="406960D0"/>
    <w:rsid w:val="406E36E7"/>
    <w:rsid w:val="407056B1"/>
    <w:rsid w:val="40762BF0"/>
    <w:rsid w:val="407A6407"/>
    <w:rsid w:val="407D392A"/>
    <w:rsid w:val="408D0011"/>
    <w:rsid w:val="408D4E8C"/>
    <w:rsid w:val="408F1B0A"/>
    <w:rsid w:val="4090365D"/>
    <w:rsid w:val="40913503"/>
    <w:rsid w:val="409502F9"/>
    <w:rsid w:val="409F1AF2"/>
    <w:rsid w:val="40B05AAD"/>
    <w:rsid w:val="40C94DC1"/>
    <w:rsid w:val="40D14A10"/>
    <w:rsid w:val="40D45C40"/>
    <w:rsid w:val="40E67721"/>
    <w:rsid w:val="40E774FA"/>
    <w:rsid w:val="40F2256A"/>
    <w:rsid w:val="40F82B79"/>
    <w:rsid w:val="40F938F8"/>
    <w:rsid w:val="40FA4F7A"/>
    <w:rsid w:val="40FB1697"/>
    <w:rsid w:val="40FC0CF2"/>
    <w:rsid w:val="40FC6F44"/>
    <w:rsid w:val="41040A5E"/>
    <w:rsid w:val="41040D80"/>
    <w:rsid w:val="41061B71"/>
    <w:rsid w:val="41083B3B"/>
    <w:rsid w:val="41120516"/>
    <w:rsid w:val="411424E0"/>
    <w:rsid w:val="4114603C"/>
    <w:rsid w:val="41185E69"/>
    <w:rsid w:val="411B4F23"/>
    <w:rsid w:val="41232723"/>
    <w:rsid w:val="4125649B"/>
    <w:rsid w:val="4128652E"/>
    <w:rsid w:val="412C1E99"/>
    <w:rsid w:val="41345E57"/>
    <w:rsid w:val="413606A8"/>
    <w:rsid w:val="413972D0"/>
    <w:rsid w:val="413B5CBF"/>
    <w:rsid w:val="413C7D3D"/>
    <w:rsid w:val="41403F31"/>
    <w:rsid w:val="41436921"/>
    <w:rsid w:val="415648A7"/>
    <w:rsid w:val="41597EF3"/>
    <w:rsid w:val="415F68CF"/>
    <w:rsid w:val="41664311"/>
    <w:rsid w:val="416C0640"/>
    <w:rsid w:val="417116E0"/>
    <w:rsid w:val="417A1800"/>
    <w:rsid w:val="41853DB4"/>
    <w:rsid w:val="418A27A2"/>
    <w:rsid w:val="418F600A"/>
    <w:rsid w:val="419057A5"/>
    <w:rsid w:val="419B79D8"/>
    <w:rsid w:val="419D38A3"/>
    <w:rsid w:val="41A53138"/>
    <w:rsid w:val="41AA0CB6"/>
    <w:rsid w:val="41B63E5C"/>
    <w:rsid w:val="41B9573A"/>
    <w:rsid w:val="41BD0482"/>
    <w:rsid w:val="41C04416"/>
    <w:rsid w:val="41C21F3C"/>
    <w:rsid w:val="41C448F1"/>
    <w:rsid w:val="41C5180D"/>
    <w:rsid w:val="41CA7043"/>
    <w:rsid w:val="41CF220D"/>
    <w:rsid w:val="41D34149"/>
    <w:rsid w:val="41D430D7"/>
    <w:rsid w:val="41D8350E"/>
    <w:rsid w:val="41DD28D2"/>
    <w:rsid w:val="41E00614"/>
    <w:rsid w:val="41EE4ADF"/>
    <w:rsid w:val="41F540C0"/>
    <w:rsid w:val="41F67E38"/>
    <w:rsid w:val="41FB36A0"/>
    <w:rsid w:val="41FD02A1"/>
    <w:rsid w:val="4200449D"/>
    <w:rsid w:val="42042555"/>
    <w:rsid w:val="42061E16"/>
    <w:rsid w:val="420C31B7"/>
    <w:rsid w:val="42191CCE"/>
    <w:rsid w:val="421F2EEA"/>
    <w:rsid w:val="42220C2D"/>
    <w:rsid w:val="42224789"/>
    <w:rsid w:val="4226071D"/>
    <w:rsid w:val="422A3EDB"/>
    <w:rsid w:val="422E312E"/>
    <w:rsid w:val="4235270E"/>
    <w:rsid w:val="423A3BCC"/>
    <w:rsid w:val="423B584A"/>
    <w:rsid w:val="4242307D"/>
    <w:rsid w:val="4248764D"/>
    <w:rsid w:val="424E57D2"/>
    <w:rsid w:val="42613503"/>
    <w:rsid w:val="42644B59"/>
    <w:rsid w:val="426B6130"/>
    <w:rsid w:val="426C3C56"/>
    <w:rsid w:val="42725D1F"/>
    <w:rsid w:val="427D5E63"/>
    <w:rsid w:val="427E2307"/>
    <w:rsid w:val="427F71A4"/>
    <w:rsid w:val="42890CAC"/>
    <w:rsid w:val="428D254A"/>
    <w:rsid w:val="428E62FD"/>
    <w:rsid w:val="42903DE8"/>
    <w:rsid w:val="42914FE4"/>
    <w:rsid w:val="42976F25"/>
    <w:rsid w:val="42A23ABA"/>
    <w:rsid w:val="42A31D6D"/>
    <w:rsid w:val="42A41642"/>
    <w:rsid w:val="42A6756C"/>
    <w:rsid w:val="42B21FB1"/>
    <w:rsid w:val="42B26C49"/>
    <w:rsid w:val="42BA66B9"/>
    <w:rsid w:val="42C121F4"/>
    <w:rsid w:val="42CA2995"/>
    <w:rsid w:val="42DA72D4"/>
    <w:rsid w:val="42E45EE2"/>
    <w:rsid w:val="42EB101F"/>
    <w:rsid w:val="42F56341"/>
    <w:rsid w:val="42F82423"/>
    <w:rsid w:val="42FA74B4"/>
    <w:rsid w:val="430343A0"/>
    <w:rsid w:val="430A51E4"/>
    <w:rsid w:val="43170066"/>
    <w:rsid w:val="431840BE"/>
    <w:rsid w:val="431A0263"/>
    <w:rsid w:val="431C742A"/>
    <w:rsid w:val="431E235B"/>
    <w:rsid w:val="4320516C"/>
    <w:rsid w:val="43212C92"/>
    <w:rsid w:val="43234C5C"/>
    <w:rsid w:val="43244531"/>
    <w:rsid w:val="432525EE"/>
    <w:rsid w:val="43282273"/>
    <w:rsid w:val="43320C1A"/>
    <w:rsid w:val="433A6FE6"/>
    <w:rsid w:val="433B01F8"/>
    <w:rsid w:val="433C5D1E"/>
    <w:rsid w:val="434150E2"/>
    <w:rsid w:val="43432C09"/>
    <w:rsid w:val="434338C8"/>
    <w:rsid w:val="434626F9"/>
    <w:rsid w:val="43480868"/>
    <w:rsid w:val="43482554"/>
    <w:rsid w:val="434D7F2B"/>
    <w:rsid w:val="4350713C"/>
    <w:rsid w:val="43601C4C"/>
    <w:rsid w:val="436653E0"/>
    <w:rsid w:val="43707776"/>
    <w:rsid w:val="43721740"/>
    <w:rsid w:val="43741014"/>
    <w:rsid w:val="43751301"/>
    <w:rsid w:val="43770B04"/>
    <w:rsid w:val="43806810"/>
    <w:rsid w:val="438430B3"/>
    <w:rsid w:val="4391606A"/>
    <w:rsid w:val="43917DF2"/>
    <w:rsid w:val="43947908"/>
    <w:rsid w:val="43963680"/>
    <w:rsid w:val="439711A6"/>
    <w:rsid w:val="43995E63"/>
    <w:rsid w:val="43A0005B"/>
    <w:rsid w:val="43A37B4B"/>
    <w:rsid w:val="43AA0EDA"/>
    <w:rsid w:val="43AA121A"/>
    <w:rsid w:val="43AF71D5"/>
    <w:rsid w:val="43B121B6"/>
    <w:rsid w:val="43B20DD3"/>
    <w:rsid w:val="43B458B4"/>
    <w:rsid w:val="43B65AD0"/>
    <w:rsid w:val="43BE4E4B"/>
    <w:rsid w:val="43C4431A"/>
    <w:rsid w:val="43C5095E"/>
    <w:rsid w:val="43D34200"/>
    <w:rsid w:val="43D64779"/>
    <w:rsid w:val="43D67A4B"/>
    <w:rsid w:val="43E1612F"/>
    <w:rsid w:val="43E4263E"/>
    <w:rsid w:val="43E53CC0"/>
    <w:rsid w:val="43E9763D"/>
    <w:rsid w:val="43E97C54"/>
    <w:rsid w:val="43EB2DF5"/>
    <w:rsid w:val="43F42155"/>
    <w:rsid w:val="43F45D3F"/>
    <w:rsid w:val="43FD725B"/>
    <w:rsid w:val="44004F9E"/>
    <w:rsid w:val="44056110"/>
    <w:rsid w:val="440A1978"/>
    <w:rsid w:val="44120D48"/>
    <w:rsid w:val="44130F3B"/>
    <w:rsid w:val="44150BB1"/>
    <w:rsid w:val="441647C1"/>
    <w:rsid w:val="44184095"/>
    <w:rsid w:val="441A6E88"/>
    <w:rsid w:val="442347E8"/>
    <w:rsid w:val="442D183B"/>
    <w:rsid w:val="442D3FA2"/>
    <w:rsid w:val="44301C90"/>
    <w:rsid w:val="44447EB3"/>
    <w:rsid w:val="44452CEF"/>
    <w:rsid w:val="44467F30"/>
    <w:rsid w:val="44513E1B"/>
    <w:rsid w:val="445D1E68"/>
    <w:rsid w:val="445F7F77"/>
    <w:rsid w:val="44615A3C"/>
    <w:rsid w:val="44643563"/>
    <w:rsid w:val="4466037D"/>
    <w:rsid w:val="44670B79"/>
    <w:rsid w:val="4469669F"/>
    <w:rsid w:val="446E1F07"/>
    <w:rsid w:val="44716EBB"/>
    <w:rsid w:val="4473751E"/>
    <w:rsid w:val="447470B6"/>
    <w:rsid w:val="44760DBC"/>
    <w:rsid w:val="4476700E"/>
    <w:rsid w:val="44783E9F"/>
    <w:rsid w:val="447F1240"/>
    <w:rsid w:val="44901E7E"/>
    <w:rsid w:val="44913578"/>
    <w:rsid w:val="44930DA6"/>
    <w:rsid w:val="4498343B"/>
    <w:rsid w:val="449A2CFC"/>
    <w:rsid w:val="449B7B7F"/>
    <w:rsid w:val="449F6565"/>
    <w:rsid w:val="44A01F6C"/>
    <w:rsid w:val="44A27E80"/>
    <w:rsid w:val="44A45929"/>
    <w:rsid w:val="44A667A7"/>
    <w:rsid w:val="44A66BDE"/>
    <w:rsid w:val="44B57B36"/>
    <w:rsid w:val="44B92D35"/>
    <w:rsid w:val="44B951CC"/>
    <w:rsid w:val="44BA6EFA"/>
    <w:rsid w:val="44C63AF1"/>
    <w:rsid w:val="44C67F95"/>
    <w:rsid w:val="44CD14E0"/>
    <w:rsid w:val="44D34460"/>
    <w:rsid w:val="44DC1567"/>
    <w:rsid w:val="44E73A68"/>
    <w:rsid w:val="44EE129A"/>
    <w:rsid w:val="44EE1E77"/>
    <w:rsid w:val="44F1354D"/>
    <w:rsid w:val="44F20B0B"/>
    <w:rsid w:val="44F24B1B"/>
    <w:rsid w:val="44F7490B"/>
    <w:rsid w:val="44FF0DB1"/>
    <w:rsid w:val="44FF3B1B"/>
    <w:rsid w:val="4503739E"/>
    <w:rsid w:val="450E4BBE"/>
    <w:rsid w:val="451C7BB5"/>
    <w:rsid w:val="452840C0"/>
    <w:rsid w:val="452E5F4C"/>
    <w:rsid w:val="45321187"/>
    <w:rsid w:val="453C3DB3"/>
    <w:rsid w:val="453E3DF5"/>
    <w:rsid w:val="453E7B2C"/>
    <w:rsid w:val="453F0617"/>
    <w:rsid w:val="453F38A4"/>
    <w:rsid w:val="4540771A"/>
    <w:rsid w:val="45513D03"/>
    <w:rsid w:val="455410FD"/>
    <w:rsid w:val="45582F6F"/>
    <w:rsid w:val="45612018"/>
    <w:rsid w:val="45704A8F"/>
    <w:rsid w:val="4574179F"/>
    <w:rsid w:val="457572C5"/>
    <w:rsid w:val="45781253"/>
    <w:rsid w:val="457E43CC"/>
    <w:rsid w:val="45860F94"/>
    <w:rsid w:val="458946E9"/>
    <w:rsid w:val="458A2D71"/>
    <w:rsid w:val="458D25B3"/>
    <w:rsid w:val="458F482B"/>
    <w:rsid w:val="459C2C46"/>
    <w:rsid w:val="45A47C0E"/>
    <w:rsid w:val="45A71B75"/>
    <w:rsid w:val="45A91930"/>
    <w:rsid w:val="45BD46DC"/>
    <w:rsid w:val="45C73FC5"/>
    <w:rsid w:val="45C81AEB"/>
    <w:rsid w:val="45C83899"/>
    <w:rsid w:val="45DC4A98"/>
    <w:rsid w:val="45DE4E6B"/>
    <w:rsid w:val="45E2495B"/>
    <w:rsid w:val="45F11042"/>
    <w:rsid w:val="4609638B"/>
    <w:rsid w:val="461751AB"/>
    <w:rsid w:val="4618037D"/>
    <w:rsid w:val="461D54B7"/>
    <w:rsid w:val="461E422C"/>
    <w:rsid w:val="461F622E"/>
    <w:rsid w:val="462E5DF2"/>
    <w:rsid w:val="462F1B6A"/>
    <w:rsid w:val="4631143E"/>
    <w:rsid w:val="463469A8"/>
    <w:rsid w:val="46354F72"/>
    <w:rsid w:val="463902F3"/>
    <w:rsid w:val="464253F9"/>
    <w:rsid w:val="46453B38"/>
    <w:rsid w:val="46577FD6"/>
    <w:rsid w:val="46601D24"/>
    <w:rsid w:val="466B2BA2"/>
    <w:rsid w:val="46771F61"/>
    <w:rsid w:val="468477C0"/>
    <w:rsid w:val="469A5235"/>
    <w:rsid w:val="469C7200"/>
    <w:rsid w:val="46A04C6D"/>
    <w:rsid w:val="46AA2F9F"/>
    <w:rsid w:val="46B362F7"/>
    <w:rsid w:val="46B75DE7"/>
    <w:rsid w:val="46B8390E"/>
    <w:rsid w:val="46C027C2"/>
    <w:rsid w:val="46C52607"/>
    <w:rsid w:val="46C66E6B"/>
    <w:rsid w:val="46CB1893"/>
    <w:rsid w:val="46CB3641"/>
    <w:rsid w:val="46D813B2"/>
    <w:rsid w:val="46D955A7"/>
    <w:rsid w:val="46DA1AD6"/>
    <w:rsid w:val="46E144F8"/>
    <w:rsid w:val="46E86CDC"/>
    <w:rsid w:val="46ED333D"/>
    <w:rsid w:val="46ED38F4"/>
    <w:rsid w:val="46F10BCE"/>
    <w:rsid w:val="46F20B12"/>
    <w:rsid w:val="46F506BE"/>
    <w:rsid w:val="46FA3F26"/>
    <w:rsid w:val="46FC1DFB"/>
    <w:rsid w:val="46FF32EA"/>
    <w:rsid w:val="46FF778E"/>
    <w:rsid w:val="470637FB"/>
    <w:rsid w:val="470703F1"/>
    <w:rsid w:val="47095015"/>
    <w:rsid w:val="471054F8"/>
    <w:rsid w:val="47133957"/>
    <w:rsid w:val="471A6376"/>
    <w:rsid w:val="471D19C3"/>
    <w:rsid w:val="4723522B"/>
    <w:rsid w:val="4724166B"/>
    <w:rsid w:val="472965B9"/>
    <w:rsid w:val="472B15B9"/>
    <w:rsid w:val="472D60AA"/>
    <w:rsid w:val="472E597E"/>
    <w:rsid w:val="473A16AB"/>
    <w:rsid w:val="47411B55"/>
    <w:rsid w:val="474B29D4"/>
    <w:rsid w:val="47510C8C"/>
    <w:rsid w:val="4757737F"/>
    <w:rsid w:val="475851FE"/>
    <w:rsid w:val="475F022D"/>
    <w:rsid w:val="47615D53"/>
    <w:rsid w:val="47617B01"/>
    <w:rsid w:val="476D294A"/>
    <w:rsid w:val="47737835"/>
    <w:rsid w:val="4774601E"/>
    <w:rsid w:val="47767A51"/>
    <w:rsid w:val="477C493B"/>
    <w:rsid w:val="477E0A90"/>
    <w:rsid w:val="478101A3"/>
    <w:rsid w:val="47835CCA"/>
    <w:rsid w:val="47971775"/>
    <w:rsid w:val="479D7794"/>
    <w:rsid w:val="47A07E0C"/>
    <w:rsid w:val="47A52D64"/>
    <w:rsid w:val="47AA00C4"/>
    <w:rsid w:val="47AA13D5"/>
    <w:rsid w:val="47B0485B"/>
    <w:rsid w:val="47B265AF"/>
    <w:rsid w:val="47B27DFA"/>
    <w:rsid w:val="47B40747"/>
    <w:rsid w:val="47B440D5"/>
    <w:rsid w:val="47B70069"/>
    <w:rsid w:val="47C63E08"/>
    <w:rsid w:val="47CA247E"/>
    <w:rsid w:val="47CD163B"/>
    <w:rsid w:val="47D26C51"/>
    <w:rsid w:val="47D40D02"/>
    <w:rsid w:val="47E0311C"/>
    <w:rsid w:val="47E04ECA"/>
    <w:rsid w:val="47E56984"/>
    <w:rsid w:val="47EA6BB8"/>
    <w:rsid w:val="47EA7AF7"/>
    <w:rsid w:val="47F46BC7"/>
    <w:rsid w:val="47F72214"/>
    <w:rsid w:val="47F7363D"/>
    <w:rsid w:val="47FC1154"/>
    <w:rsid w:val="48036E0A"/>
    <w:rsid w:val="480744E8"/>
    <w:rsid w:val="48224860"/>
    <w:rsid w:val="48284490"/>
    <w:rsid w:val="48291299"/>
    <w:rsid w:val="482C010F"/>
    <w:rsid w:val="483416BA"/>
    <w:rsid w:val="483801B3"/>
    <w:rsid w:val="4839506A"/>
    <w:rsid w:val="4847319B"/>
    <w:rsid w:val="4847426C"/>
    <w:rsid w:val="484D62D8"/>
    <w:rsid w:val="484E298E"/>
    <w:rsid w:val="48547666"/>
    <w:rsid w:val="485675BD"/>
    <w:rsid w:val="48602608"/>
    <w:rsid w:val="4870272E"/>
    <w:rsid w:val="4876582E"/>
    <w:rsid w:val="48992AAF"/>
    <w:rsid w:val="48A40CC7"/>
    <w:rsid w:val="48A44149"/>
    <w:rsid w:val="48A972BB"/>
    <w:rsid w:val="48B00D40"/>
    <w:rsid w:val="48B14AB8"/>
    <w:rsid w:val="48B620CF"/>
    <w:rsid w:val="48B92424"/>
    <w:rsid w:val="48B9571B"/>
    <w:rsid w:val="48BB27EB"/>
    <w:rsid w:val="48C247C2"/>
    <w:rsid w:val="48CA48D7"/>
    <w:rsid w:val="48CC36A0"/>
    <w:rsid w:val="48CC6426"/>
    <w:rsid w:val="48CE11C6"/>
    <w:rsid w:val="48D11201"/>
    <w:rsid w:val="48D840E9"/>
    <w:rsid w:val="48E21116"/>
    <w:rsid w:val="48E82C02"/>
    <w:rsid w:val="48EE407C"/>
    <w:rsid w:val="490B241B"/>
    <w:rsid w:val="491017DF"/>
    <w:rsid w:val="491923CC"/>
    <w:rsid w:val="492269D9"/>
    <w:rsid w:val="49283FCE"/>
    <w:rsid w:val="49366D6C"/>
    <w:rsid w:val="493A708A"/>
    <w:rsid w:val="493C4382"/>
    <w:rsid w:val="493E0AE1"/>
    <w:rsid w:val="494029CE"/>
    <w:rsid w:val="49496A9F"/>
    <w:rsid w:val="495939FB"/>
    <w:rsid w:val="495B4AF9"/>
    <w:rsid w:val="495B7B33"/>
    <w:rsid w:val="495C2C76"/>
    <w:rsid w:val="495F4514"/>
    <w:rsid w:val="49627B61"/>
    <w:rsid w:val="49647D7D"/>
    <w:rsid w:val="49674B08"/>
    <w:rsid w:val="496B171D"/>
    <w:rsid w:val="496B4C67"/>
    <w:rsid w:val="497526AF"/>
    <w:rsid w:val="49757894"/>
    <w:rsid w:val="4977197C"/>
    <w:rsid w:val="497E2BEC"/>
    <w:rsid w:val="49825388"/>
    <w:rsid w:val="49836455"/>
    <w:rsid w:val="49850EE9"/>
    <w:rsid w:val="499952C0"/>
    <w:rsid w:val="499A0BD5"/>
    <w:rsid w:val="499C12C5"/>
    <w:rsid w:val="499C3073"/>
    <w:rsid w:val="49A5461D"/>
    <w:rsid w:val="49A60395"/>
    <w:rsid w:val="49A81A17"/>
    <w:rsid w:val="49A96EA4"/>
    <w:rsid w:val="49AB1508"/>
    <w:rsid w:val="49AE13C1"/>
    <w:rsid w:val="49B36E6E"/>
    <w:rsid w:val="49BD5EE9"/>
    <w:rsid w:val="49C8681C"/>
    <w:rsid w:val="49D40572"/>
    <w:rsid w:val="49D40A5E"/>
    <w:rsid w:val="49D46CB0"/>
    <w:rsid w:val="49DB1DED"/>
    <w:rsid w:val="49DC7715"/>
    <w:rsid w:val="49DD5F79"/>
    <w:rsid w:val="49DE7B2F"/>
    <w:rsid w:val="49E537A2"/>
    <w:rsid w:val="49E8275C"/>
    <w:rsid w:val="49EA608A"/>
    <w:rsid w:val="49F42EAF"/>
    <w:rsid w:val="49F55D16"/>
    <w:rsid w:val="4A023139"/>
    <w:rsid w:val="4A064990"/>
    <w:rsid w:val="4A1349BC"/>
    <w:rsid w:val="4A201EF6"/>
    <w:rsid w:val="4A25750C"/>
    <w:rsid w:val="4A2C3CB0"/>
    <w:rsid w:val="4A315EB1"/>
    <w:rsid w:val="4A3363AE"/>
    <w:rsid w:val="4A3414FD"/>
    <w:rsid w:val="4A3A47AE"/>
    <w:rsid w:val="4A404346"/>
    <w:rsid w:val="4A4756D4"/>
    <w:rsid w:val="4A4A3E2B"/>
    <w:rsid w:val="4A4D5976"/>
    <w:rsid w:val="4A4F4589"/>
    <w:rsid w:val="4A58486B"/>
    <w:rsid w:val="4A5D789E"/>
    <w:rsid w:val="4A622179"/>
    <w:rsid w:val="4A624BE2"/>
    <w:rsid w:val="4A6A4F1F"/>
    <w:rsid w:val="4A761172"/>
    <w:rsid w:val="4A7638C4"/>
    <w:rsid w:val="4A784D00"/>
    <w:rsid w:val="4A7B576F"/>
    <w:rsid w:val="4A7E6C1C"/>
    <w:rsid w:val="4A82670C"/>
    <w:rsid w:val="4A895CED"/>
    <w:rsid w:val="4A8A55C1"/>
    <w:rsid w:val="4A8C30E7"/>
    <w:rsid w:val="4A911A51"/>
    <w:rsid w:val="4A952324"/>
    <w:rsid w:val="4A9B77CE"/>
    <w:rsid w:val="4AA0725A"/>
    <w:rsid w:val="4AA46683"/>
    <w:rsid w:val="4AAA0937"/>
    <w:rsid w:val="4AAA1377"/>
    <w:rsid w:val="4AAD7CFB"/>
    <w:rsid w:val="4AB16FF2"/>
    <w:rsid w:val="4AB253A0"/>
    <w:rsid w:val="4AB663B6"/>
    <w:rsid w:val="4AB77C70"/>
    <w:rsid w:val="4AB8212E"/>
    <w:rsid w:val="4ABD13A6"/>
    <w:rsid w:val="4AC05487"/>
    <w:rsid w:val="4AC26D4B"/>
    <w:rsid w:val="4AC55A8C"/>
    <w:rsid w:val="4AD8457E"/>
    <w:rsid w:val="4AD91C8C"/>
    <w:rsid w:val="4ADA5679"/>
    <w:rsid w:val="4ADB26BF"/>
    <w:rsid w:val="4ADF76BB"/>
    <w:rsid w:val="4AE01685"/>
    <w:rsid w:val="4AE13903"/>
    <w:rsid w:val="4AEC6ADB"/>
    <w:rsid w:val="4AF561A9"/>
    <w:rsid w:val="4AFA2747"/>
    <w:rsid w:val="4AFB01ED"/>
    <w:rsid w:val="4B0215FB"/>
    <w:rsid w:val="4B0435C5"/>
    <w:rsid w:val="4B0C4B12"/>
    <w:rsid w:val="4B0C70DD"/>
    <w:rsid w:val="4B1866B3"/>
    <w:rsid w:val="4B197B6C"/>
    <w:rsid w:val="4B1F3F5B"/>
    <w:rsid w:val="4B216D41"/>
    <w:rsid w:val="4B225EDD"/>
    <w:rsid w:val="4B296B88"/>
    <w:rsid w:val="4B2C0529"/>
    <w:rsid w:val="4B3A2EE9"/>
    <w:rsid w:val="4B3F63AB"/>
    <w:rsid w:val="4B447E66"/>
    <w:rsid w:val="4B4D1F85"/>
    <w:rsid w:val="4B4F5310"/>
    <w:rsid w:val="4B5005B9"/>
    <w:rsid w:val="4B500C21"/>
    <w:rsid w:val="4B550183"/>
    <w:rsid w:val="4B5A66F2"/>
    <w:rsid w:val="4B662CC3"/>
    <w:rsid w:val="4B696232"/>
    <w:rsid w:val="4B6D116B"/>
    <w:rsid w:val="4B7F5535"/>
    <w:rsid w:val="4B897627"/>
    <w:rsid w:val="4B8D5EB9"/>
    <w:rsid w:val="4B9506C1"/>
    <w:rsid w:val="4BA17066"/>
    <w:rsid w:val="4BA2417F"/>
    <w:rsid w:val="4BAB3A41"/>
    <w:rsid w:val="4BAB3A60"/>
    <w:rsid w:val="4BB7413E"/>
    <w:rsid w:val="4BB84375"/>
    <w:rsid w:val="4BBB04B3"/>
    <w:rsid w:val="4BBD041E"/>
    <w:rsid w:val="4BBF23FC"/>
    <w:rsid w:val="4BCB7C3F"/>
    <w:rsid w:val="4BCD1D5B"/>
    <w:rsid w:val="4BCD7E5B"/>
    <w:rsid w:val="4BCF3BD3"/>
    <w:rsid w:val="4BD10D32"/>
    <w:rsid w:val="4BDF193C"/>
    <w:rsid w:val="4BE11211"/>
    <w:rsid w:val="4BE17463"/>
    <w:rsid w:val="4BE331DB"/>
    <w:rsid w:val="4BE5049F"/>
    <w:rsid w:val="4BF76C86"/>
    <w:rsid w:val="4BFE6267"/>
    <w:rsid w:val="4C052456"/>
    <w:rsid w:val="4C06511B"/>
    <w:rsid w:val="4C0A4C0B"/>
    <w:rsid w:val="4C0B2731"/>
    <w:rsid w:val="4C0E5BEC"/>
    <w:rsid w:val="4C0E74F6"/>
    <w:rsid w:val="4C223151"/>
    <w:rsid w:val="4C2537F3"/>
    <w:rsid w:val="4C290CA0"/>
    <w:rsid w:val="4C2A56FA"/>
    <w:rsid w:val="4C324162"/>
    <w:rsid w:val="4C341C88"/>
    <w:rsid w:val="4C4023DB"/>
    <w:rsid w:val="4C404189"/>
    <w:rsid w:val="4C4874E2"/>
    <w:rsid w:val="4C494BD9"/>
    <w:rsid w:val="4C4A0649"/>
    <w:rsid w:val="4C505BA4"/>
    <w:rsid w:val="4C5D11DF"/>
    <w:rsid w:val="4C6562E6"/>
    <w:rsid w:val="4C675BBA"/>
    <w:rsid w:val="4C6C1422"/>
    <w:rsid w:val="4C6D6F48"/>
    <w:rsid w:val="4C740F11"/>
    <w:rsid w:val="4C76083F"/>
    <w:rsid w:val="4C76404F"/>
    <w:rsid w:val="4C795D3B"/>
    <w:rsid w:val="4C7B3413"/>
    <w:rsid w:val="4C7D1634"/>
    <w:rsid w:val="4C7E5ECA"/>
    <w:rsid w:val="4C8073A5"/>
    <w:rsid w:val="4C810E93"/>
    <w:rsid w:val="4C843F2C"/>
    <w:rsid w:val="4C876AA5"/>
    <w:rsid w:val="4C896221"/>
    <w:rsid w:val="4C8E043C"/>
    <w:rsid w:val="4C982217"/>
    <w:rsid w:val="4C9E7EC9"/>
    <w:rsid w:val="4CA3296A"/>
    <w:rsid w:val="4CA37CC7"/>
    <w:rsid w:val="4CAA4CDF"/>
    <w:rsid w:val="4CAA5AA7"/>
    <w:rsid w:val="4CB30DFF"/>
    <w:rsid w:val="4CBB7CB4"/>
    <w:rsid w:val="4CBD57DA"/>
    <w:rsid w:val="4CD82614"/>
    <w:rsid w:val="4CE0771A"/>
    <w:rsid w:val="4CE251D5"/>
    <w:rsid w:val="4CE94821"/>
    <w:rsid w:val="4CEA0599"/>
    <w:rsid w:val="4CEF4C08"/>
    <w:rsid w:val="4CF25C91"/>
    <w:rsid w:val="4CFA4048"/>
    <w:rsid w:val="4CFA6A2E"/>
    <w:rsid w:val="4CFB6302"/>
    <w:rsid w:val="4CFD02CC"/>
    <w:rsid w:val="4D07719E"/>
    <w:rsid w:val="4D0E00FB"/>
    <w:rsid w:val="4D130D52"/>
    <w:rsid w:val="4D176606"/>
    <w:rsid w:val="4D1F0579"/>
    <w:rsid w:val="4D2770F7"/>
    <w:rsid w:val="4D2E66D8"/>
    <w:rsid w:val="4D3904CD"/>
    <w:rsid w:val="4D3F08E5"/>
    <w:rsid w:val="4D411D52"/>
    <w:rsid w:val="4D4C4B8C"/>
    <w:rsid w:val="4D4D1254"/>
    <w:rsid w:val="4D4E0B28"/>
    <w:rsid w:val="4D4E28D6"/>
    <w:rsid w:val="4D6025B0"/>
    <w:rsid w:val="4D610A5A"/>
    <w:rsid w:val="4D6316C6"/>
    <w:rsid w:val="4D754EEB"/>
    <w:rsid w:val="4D834C75"/>
    <w:rsid w:val="4D891E34"/>
    <w:rsid w:val="4D9C1893"/>
    <w:rsid w:val="4DA8648A"/>
    <w:rsid w:val="4DB61CC2"/>
    <w:rsid w:val="4DBA3F1E"/>
    <w:rsid w:val="4DC25072"/>
    <w:rsid w:val="4DD56D3A"/>
    <w:rsid w:val="4DDF5C24"/>
    <w:rsid w:val="4DEB281B"/>
    <w:rsid w:val="4DEC4FB0"/>
    <w:rsid w:val="4DF711BF"/>
    <w:rsid w:val="4DF81CF1"/>
    <w:rsid w:val="4DFC4A28"/>
    <w:rsid w:val="4DFC67D6"/>
    <w:rsid w:val="4E061402"/>
    <w:rsid w:val="4E0655E0"/>
    <w:rsid w:val="4E075D8A"/>
    <w:rsid w:val="4E0B6A19"/>
    <w:rsid w:val="4E1458CD"/>
    <w:rsid w:val="4E197388"/>
    <w:rsid w:val="4E1E499E"/>
    <w:rsid w:val="4E2438EC"/>
    <w:rsid w:val="4E243DBE"/>
    <w:rsid w:val="4E30647F"/>
    <w:rsid w:val="4E345F70"/>
    <w:rsid w:val="4E395334"/>
    <w:rsid w:val="4E3C637F"/>
    <w:rsid w:val="4E3D219E"/>
    <w:rsid w:val="4E4472EA"/>
    <w:rsid w:val="4E4B7C6A"/>
    <w:rsid w:val="4E524648"/>
    <w:rsid w:val="4E5721CF"/>
    <w:rsid w:val="4E5B34FC"/>
    <w:rsid w:val="4E5B372B"/>
    <w:rsid w:val="4E5C7531"/>
    <w:rsid w:val="4E5E5A9B"/>
    <w:rsid w:val="4E5F3559"/>
    <w:rsid w:val="4E63316B"/>
    <w:rsid w:val="4E726A98"/>
    <w:rsid w:val="4E730148"/>
    <w:rsid w:val="4E772300"/>
    <w:rsid w:val="4E791BD4"/>
    <w:rsid w:val="4E8011B5"/>
    <w:rsid w:val="4E8E2A2B"/>
    <w:rsid w:val="4E8F31A6"/>
    <w:rsid w:val="4E8F706D"/>
    <w:rsid w:val="4E911A80"/>
    <w:rsid w:val="4E9664FC"/>
    <w:rsid w:val="4E9C58C3"/>
    <w:rsid w:val="4E9F06A8"/>
    <w:rsid w:val="4EA60C58"/>
    <w:rsid w:val="4EBB3F9B"/>
    <w:rsid w:val="4EC00FAD"/>
    <w:rsid w:val="4EC54E1A"/>
    <w:rsid w:val="4EC56BC8"/>
    <w:rsid w:val="4EC64312"/>
    <w:rsid w:val="4ECA0BA9"/>
    <w:rsid w:val="4ED84B4D"/>
    <w:rsid w:val="4EE07EA5"/>
    <w:rsid w:val="4EE14D9C"/>
    <w:rsid w:val="4EE554BC"/>
    <w:rsid w:val="4EEC23A6"/>
    <w:rsid w:val="4EEF1E97"/>
    <w:rsid w:val="4EFB1481"/>
    <w:rsid w:val="4EFC6035"/>
    <w:rsid w:val="4F0001D1"/>
    <w:rsid w:val="4F0639B2"/>
    <w:rsid w:val="4F12268E"/>
    <w:rsid w:val="4F157929"/>
    <w:rsid w:val="4F2064F4"/>
    <w:rsid w:val="4F223D61"/>
    <w:rsid w:val="4F365D17"/>
    <w:rsid w:val="4F3673B2"/>
    <w:rsid w:val="4F381A8F"/>
    <w:rsid w:val="4F400944"/>
    <w:rsid w:val="4F4B79F8"/>
    <w:rsid w:val="4F50502B"/>
    <w:rsid w:val="4F534765"/>
    <w:rsid w:val="4F585C8E"/>
    <w:rsid w:val="4F6028CE"/>
    <w:rsid w:val="4F6C34E7"/>
    <w:rsid w:val="4F781E8C"/>
    <w:rsid w:val="4F7852AD"/>
    <w:rsid w:val="4F81195C"/>
    <w:rsid w:val="4F8627FB"/>
    <w:rsid w:val="4F8922EB"/>
    <w:rsid w:val="4F8C67CB"/>
    <w:rsid w:val="4F8F038B"/>
    <w:rsid w:val="4F9342DC"/>
    <w:rsid w:val="4F952A3E"/>
    <w:rsid w:val="4F960564"/>
    <w:rsid w:val="4F9843DC"/>
    <w:rsid w:val="4F9B0FDE"/>
    <w:rsid w:val="4F9F1B0F"/>
    <w:rsid w:val="4FA42F11"/>
    <w:rsid w:val="4FA53567"/>
    <w:rsid w:val="4FA7451F"/>
    <w:rsid w:val="4FAC11AE"/>
    <w:rsid w:val="4FBA06F6"/>
    <w:rsid w:val="4FBB7FCB"/>
    <w:rsid w:val="4FBD7B94"/>
    <w:rsid w:val="4FBE01E7"/>
    <w:rsid w:val="4FC62A8C"/>
    <w:rsid w:val="4FCB2904"/>
    <w:rsid w:val="4FD105F2"/>
    <w:rsid w:val="4FD35314"/>
    <w:rsid w:val="4FDC68BF"/>
    <w:rsid w:val="4FE20F0D"/>
    <w:rsid w:val="4FE37C4D"/>
    <w:rsid w:val="4FE51552"/>
    <w:rsid w:val="4FE614EB"/>
    <w:rsid w:val="4FED1E04"/>
    <w:rsid w:val="4FEF5079"/>
    <w:rsid w:val="4FF82FCD"/>
    <w:rsid w:val="4FF84D7B"/>
    <w:rsid w:val="4FFA573A"/>
    <w:rsid w:val="4FFC0517"/>
    <w:rsid w:val="4FFD05E3"/>
    <w:rsid w:val="5006393C"/>
    <w:rsid w:val="500876B4"/>
    <w:rsid w:val="500E459E"/>
    <w:rsid w:val="500E4CA2"/>
    <w:rsid w:val="501819C0"/>
    <w:rsid w:val="50196558"/>
    <w:rsid w:val="501A5D70"/>
    <w:rsid w:val="501A73E7"/>
    <w:rsid w:val="501E0C85"/>
    <w:rsid w:val="502142D2"/>
    <w:rsid w:val="5023004A"/>
    <w:rsid w:val="502853BB"/>
    <w:rsid w:val="502A1ED9"/>
    <w:rsid w:val="502C4817"/>
    <w:rsid w:val="5032028D"/>
    <w:rsid w:val="503708EA"/>
    <w:rsid w:val="50371083"/>
    <w:rsid w:val="50414974"/>
    <w:rsid w:val="50451771"/>
    <w:rsid w:val="504C0EAE"/>
    <w:rsid w:val="50504C4B"/>
    <w:rsid w:val="50505EE5"/>
    <w:rsid w:val="5055041F"/>
    <w:rsid w:val="50593A6B"/>
    <w:rsid w:val="505D206E"/>
    <w:rsid w:val="505E72D4"/>
    <w:rsid w:val="506D7517"/>
    <w:rsid w:val="50720FD1"/>
    <w:rsid w:val="5072616E"/>
    <w:rsid w:val="50733AC5"/>
    <w:rsid w:val="5086682B"/>
    <w:rsid w:val="508825A3"/>
    <w:rsid w:val="508B5BEF"/>
    <w:rsid w:val="508D557C"/>
    <w:rsid w:val="508E21FC"/>
    <w:rsid w:val="50923421"/>
    <w:rsid w:val="509B4084"/>
    <w:rsid w:val="509C6E7C"/>
    <w:rsid w:val="50A07547"/>
    <w:rsid w:val="50A13664"/>
    <w:rsid w:val="50A218B6"/>
    <w:rsid w:val="50A76ECD"/>
    <w:rsid w:val="50A867A1"/>
    <w:rsid w:val="50B43398"/>
    <w:rsid w:val="50B67110"/>
    <w:rsid w:val="50B9275C"/>
    <w:rsid w:val="50C50019"/>
    <w:rsid w:val="50C93A2E"/>
    <w:rsid w:val="50CE26AB"/>
    <w:rsid w:val="50D61560"/>
    <w:rsid w:val="50D6408D"/>
    <w:rsid w:val="50D642AA"/>
    <w:rsid w:val="50D852D8"/>
    <w:rsid w:val="50E363EA"/>
    <w:rsid w:val="50E377D9"/>
    <w:rsid w:val="50E6650D"/>
    <w:rsid w:val="50E93172"/>
    <w:rsid w:val="50F10148"/>
    <w:rsid w:val="50F40BD4"/>
    <w:rsid w:val="50F45D12"/>
    <w:rsid w:val="50F814D6"/>
    <w:rsid w:val="50F86C49"/>
    <w:rsid w:val="50FB4B23"/>
    <w:rsid w:val="50FE2865"/>
    <w:rsid w:val="5100202D"/>
    <w:rsid w:val="5104544F"/>
    <w:rsid w:val="51053BF3"/>
    <w:rsid w:val="510E0CFA"/>
    <w:rsid w:val="5115006A"/>
    <w:rsid w:val="511F1AFD"/>
    <w:rsid w:val="51281690"/>
    <w:rsid w:val="512F2A1E"/>
    <w:rsid w:val="512F6EC2"/>
    <w:rsid w:val="51314C01"/>
    <w:rsid w:val="5133250E"/>
    <w:rsid w:val="51347BD0"/>
    <w:rsid w:val="514209A3"/>
    <w:rsid w:val="51452242"/>
    <w:rsid w:val="51454E23"/>
    <w:rsid w:val="51477D68"/>
    <w:rsid w:val="514B1EF6"/>
    <w:rsid w:val="515661FD"/>
    <w:rsid w:val="51597A9B"/>
    <w:rsid w:val="5162104E"/>
    <w:rsid w:val="516528E4"/>
    <w:rsid w:val="516C1CB5"/>
    <w:rsid w:val="516F72BF"/>
    <w:rsid w:val="51752B27"/>
    <w:rsid w:val="517B7B75"/>
    <w:rsid w:val="51870AAC"/>
    <w:rsid w:val="518C58ED"/>
    <w:rsid w:val="51986815"/>
    <w:rsid w:val="519A0C31"/>
    <w:rsid w:val="51A11136"/>
    <w:rsid w:val="51A451BA"/>
    <w:rsid w:val="51A60F32"/>
    <w:rsid w:val="51A82CE3"/>
    <w:rsid w:val="51AC406F"/>
    <w:rsid w:val="51B11685"/>
    <w:rsid w:val="51B17B1B"/>
    <w:rsid w:val="51B30B0C"/>
    <w:rsid w:val="51B80C66"/>
    <w:rsid w:val="51BC69A8"/>
    <w:rsid w:val="51C24979"/>
    <w:rsid w:val="51CE5E98"/>
    <w:rsid w:val="51D35A9F"/>
    <w:rsid w:val="51D838B4"/>
    <w:rsid w:val="51D84E64"/>
    <w:rsid w:val="51E23B86"/>
    <w:rsid w:val="51E47CAD"/>
    <w:rsid w:val="51EA3BB2"/>
    <w:rsid w:val="51EF0D82"/>
    <w:rsid w:val="51F02C08"/>
    <w:rsid w:val="51F3261D"/>
    <w:rsid w:val="51F67F88"/>
    <w:rsid w:val="51FB05A4"/>
    <w:rsid w:val="51FF0643"/>
    <w:rsid w:val="51FF3797"/>
    <w:rsid w:val="520C1195"/>
    <w:rsid w:val="520E4D2A"/>
    <w:rsid w:val="52123DE5"/>
    <w:rsid w:val="521249C0"/>
    <w:rsid w:val="5214673C"/>
    <w:rsid w:val="521C465F"/>
    <w:rsid w:val="521F0424"/>
    <w:rsid w:val="5222098A"/>
    <w:rsid w:val="52227EB6"/>
    <w:rsid w:val="522B0BF1"/>
    <w:rsid w:val="522E0F28"/>
    <w:rsid w:val="5237602E"/>
    <w:rsid w:val="52416EAD"/>
    <w:rsid w:val="524424F9"/>
    <w:rsid w:val="5248023B"/>
    <w:rsid w:val="524F44F6"/>
    <w:rsid w:val="52604924"/>
    <w:rsid w:val="526144F7"/>
    <w:rsid w:val="52635075"/>
    <w:rsid w:val="5268268C"/>
    <w:rsid w:val="526861E8"/>
    <w:rsid w:val="526C4D99"/>
    <w:rsid w:val="527821A3"/>
    <w:rsid w:val="5289407A"/>
    <w:rsid w:val="528A3034"/>
    <w:rsid w:val="528B637A"/>
    <w:rsid w:val="528C45CC"/>
    <w:rsid w:val="528F7C18"/>
    <w:rsid w:val="5290573F"/>
    <w:rsid w:val="52A03BD4"/>
    <w:rsid w:val="52A3456C"/>
    <w:rsid w:val="52A445C3"/>
    <w:rsid w:val="52AD009F"/>
    <w:rsid w:val="52B3751A"/>
    <w:rsid w:val="52C11D9C"/>
    <w:rsid w:val="52C61AA9"/>
    <w:rsid w:val="52E224E5"/>
    <w:rsid w:val="52E62FC8"/>
    <w:rsid w:val="52ED0DE3"/>
    <w:rsid w:val="52F263F9"/>
    <w:rsid w:val="52F42171"/>
    <w:rsid w:val="53000B16"/>
    <w:rsid w:val="53177C0E"/>
    <w:rsid w:val="53191B55"/>
    <w:rsid w:val="531B7F02"/>
    <w:rsid w:val="532A5B93"/>
    <w:rsid w:val="532D5763"/>
    <w:rsid w:val="53373E0C"/>
    <w:rsid w:val="533E519B"/>
    <w:rsid w:val="53456529"/>
    <w:rsid w:val="5352058D"/>
    <w:rsid w:val="535B23B4"/>
    <w:rsid w:val="53600611"/>
    <w:rsid w:val="536A54A7"/>
    <w:rsid w:val="536E3CD2"/>
    <w:rsid w:val="536E5A80"/>
    <w:rsid w:val="536F17F8"/>
    <w:rsid w:val="536F5F7E"/>
    <w:rsid w:val="537D2167"/>
    <w:rsid w:val="538A03E0"/>
    <w:rsid w:val="538A1445"/>
    <w:rsid w:val="538A5CD0"/>
    <w:rsid w:val="538A6632"/>
    <w:rsid w:val="53924CA9"/>
    <w:rsid w:val="539574B0"/>
    <w:rsid w:val="53A039CC"/>
    <w:rsid w:val="53A1505A"/>
    <w:rsid w:val="53A56C24"/>
    <w:rsid w:val="53A72F35"/>
    <w:rsid w:val="53A852FB"/>
    <w:rsid w:val="53B12EB6"/>
    <w:rsid w:val="53B536AF"/>
    <w:rsid w:val="53B65E7D"/>
    <w:rsid w:val="53B84F4D"/>
    <w:rsid w:val="53C03E02"/>
    <w:rsid w:val="53C5766A"/>
    <w:rsid w:val="53C96418"/>
    <w:rsid w:val="53CA4C80"/>
    <w:rsid w:val="53CC56B4"/>
    <w:rsid w:val="53D004E8"/>
    <w:rsid w:val="53DF4F44"/>
    <w:rsid w:val="53E2021C"/>
    <w:rsid w:val="53E31309"/>
    <w:rsid w:val="53E34E9A"/>
    <w:rsid w:val="53E52EA6"/>
    <w:rsid w:val="53EC109A"/>
    <w:rsid w:val="53EC600F"/>
    <w:rsid w:val="53F1045F"/>
    <w:rsid w:val="53F65A75"/>
    <w:rsid w:val="53F95B71"/>
    <w:rsid w:val="54063E08"/>
    <w:rsid w:val="54085ED4"/>
    <w:rsid w:val="540A502D"/>
    <w:rsid w:val="54121F77"/>
    <w:rsid w:val="541A3860"/>
    <w:rsid w:val="541F321E"/>
    <w:rsid w:val="541F4FCC"/>
    <w:rsid w:val="54240834"/>
    <w:rsid w:val="54245510"/>
    <w:rsid w:val="5426635A"/>
    <w:rsid w:val="543437E8"/>
    <w:rsid w:val="54353ABD"/>
    <w:rsid w:val="543739B0"/>
    <w:rsid w:val="543C3810"/>
    <w:rsid w:val="543F741C"/>
    <w:rsid w:val="54436F0C"/>
    <w:rsid w:val="544B7B6F"/>
    <w:rsid w:val="54505185"/>
    <w:rsid w:val="545C7FCE"/>
    <w:rsid w:val="545D5AF4"/>
    <w:rsid w:val="545F7ABE"/>
    <w:rsid w:val="547D75C0"/>
    <w:rsid w:val="548E3F00"/>
    <w:rsid w:val="5494449B"/>
    <w:rsid w:val="549B52D9"/>
    <w:rsid w:val="549B67C3"/>
    <w:rsid w:val="54A331B9"/>
    <w:rsid w:val="54A92AE8"/>
    <w:rsid w:val="54AB2D04"/>
    <w:rsid w:val="54AC06E3"/>
    <w:rsid w:val="54AF6350"/>
    <w:rsid w:val="54B576DE"/>
    <w:rsid w:val="54BA2D72"/>
    <w:rsid w:val="54BA4CF5"/>
    <w:rsid w:val="54BF230B"/>
    <w:rsid w:val="54C87412"/>
    <w:rsid w:val="54CA318A"/>
    <w:rsid w:val="54CC2418"/>
    <w:rsid w:val="54D96D77"/>
    <w:rsid w:val="54E12281"/>
    <w:rsid w:val="54E3249D"/>
    <w:rsid w:val="54E3424B"/>
    <w:rsid w:val="54E57FC4"/>
    <w:rsid w:val="54EF499E"/>
    <w:rsid w:val="54F55D2D"/>
    <w:rsid w:val="54F73313"/>
    <w:rsid w:val="54F80955"/>
    <w:rsid w:val="54F93A6F"/>
    <w:rsid w:val="550003BB"/>
    <w:rsid w:val="550055AA"/>
    <w:rsid w:val="55093C9E"/>
    <w:rsid w:val="55214D74"/>
    <w:rsid w:val="552265B5"/>
    <w:rsid w:val="55366A71"/>
    <w:rsid w:val="553A23D4"/>
    <w:rsid w:val="554A7FBB"/>
    <w:rsid w:val="554C4CEA"/>
    <w:rsid w:val="55515A01"/>
    <w:rsid w:val="555170A7"/>
    <w:rsid w:val="555962BC"/>
    <w:rsid w:val="555E38D2"/>
    <w:rsid w:val="55750332"/>
    <w:rsid w:val="55764B98"/>
    <w:rsid w:val="55782BE6"/>
    <w:rsid w:val="5587536D"/>
    <w:rsid w:val="55936B63"/>
    <w:rsid w:val="55942700"/>
    <w:rsid w:val="559B174B"/>
    <w:rsid w:val="559F4616"/>
    <w:rsid w:val="55A0213D"/>
    <w:rsid w:val="55A75279"/>
    <w:rsid w:val="55AA2FBB"/>
    <w:rsid w:val="55B76D02"/>
    <w:rsid w:val="55B856D8"/>
    <w:rsid w:val="55C45E2B"/>
    <w:rsid w:val="55CA3427"/>
    <w:rsid w:val="55CC68D1"/>
    <w:rsid w:val="55CD091A"/>
    <w:rsid w:val="55CE0CF4"/>
    <w:rsid w:val="55CE6CAA"/>
    <w:rsid w:val="55D43B94"/>
    <w:rsid w:val="55D50038"/>
    <w:rsid w:val="55DD36BA"/>
    <w:rsid w:val="55EE10FA"/>
    <w:rsid w:val="55FA7A9F"/>
    <w:rsid w:val="55FD5A47"/>
    <w:rsid w:val="56020028"/>
    <w:rsid w:val="560B27D6"/>
    <w:rsid w:val="560E354A"/>
    <w:rsid w:val="561F43C7"/>
    <w:rsid w:val="561F5757"/>
    <w:rsid w:val="561F7950"/>
    <w:rsid w:val="562468CA"/>
    <w:rsid w:val="562D6CED"/>
    <w:rsid w:val="562E24FA"/>
    <w:rsid w:val="562E7748"/>
    <w:rsid w:val="563749CF"/>
    <w:rsid w:val="563A2544"/>
    <w:rsid w:val="563B4050"/>
    <w:rsid w:val="56471BF3"/>
    <w:rsid w:val="56494337"/>
    <w:rsid w:val="56505911"/>
    <w:rsid w:val="56510DF0"/>
    <w:rsid w:val="5656482C"/>
    <w:rsid w:val="56630E61"/>
    <w:rsid w:val="56660C90"/>
    <w:rsid w:val="566774FD"/>
    <w:rsid w:val="566969D2"/>
    <w:rsid w:val="566A1EFA"/>
    <w:rsid w:val="567333AD"/>
    <w:rsid w:val="56753E2C"/>
    <w:rsid w:val="567809C3"/>
    <w:rsid w:val="56882837"/>
    <w:rsid w:val="56A25A40"/>
    <w:rsid w:val="56A619D5"/>
    <w:rsid w:val="56A8574D"/>
    <w:rsid w:val="56AC675E"/>
    <w:rsid w:val="56AF13F7"/>
    <w:rsid w:val="56B22A9C"/>
    <w:rsid w:val="56B51C18"/>
    <w:rsid w:val="56B95A31"/>
    <w:rsid w:val="56BA05D6"/>
    <w:rsid w:val="56BC2FA6"/>
    <w:rsid w:val="56C5219E"/>
    <w:rsid w:val="56CB31E9"/>
    <w:rsid w:val="56DC0F52"/>
    <w:rsid w:val="56DC71A4"/>
    <w:rsid w:val="56E16569"/>
    <w:rsid w:val="56E747FB"/>
    <w:rsid w:val="56EE4427"/>
    <w:rsid w:val="56EF716B"/>
    <w:rsid w:val="56F72230"/>
    <w:rsid w:val="56FC4EE9"/>
    <w:rsid w:val="56FF2E93"/>
    <w:rsid w:val="57014E5D"/>
    <w:rsid w:val="570425DE"/>
    <w:rsid w:val="570A3D11"/>
    <w:rsid w:val="57106E4E"/>
    <w:rsid w:val="57144B90"/>
    <w:rsid w:val="571543D9"/>
    <w:rsid w:val="571811D7"/>
    <w:rsid w:val="57184900"/>
    <w:rsid w:val="57193F55"/>
    <w:rsid w:val="5721687F"/>
    <w:rsid w:val="57323268"/>
    <w:rsid w:val="57327458"/>
    <w:rsid w:val="57415259"/>
    <w:rsid w:val="57431CF6"/>
    <w:rsid w:val="57465412"/>
    <w:rsid w:val="574B7E86"/>
    <w:rsid w:val="574E5C21"/>
    <w:rsid w:val="575136EE"/>
    <w:rsid w:val="575724C8"/>
    <w:rsid w:val="5758598D"/>
    <w:rsid w:val="57623B4D"/>
    <w:rsid w:val="57664CC0"/>
    <w:rsid w:val="57680A38"/>
    <w:rsid w:val="576C0528"/>
    <w:rsid w:val="576F2687"/>
    <w:rsid w:val="5770468E"/>
    <w:rsid w:val="57854C6F"/>
    <w:rsid w:val="578B72A4"/>
    <w:rsid w:val="57947A7F"/>
    <w:rsid w:val="579637F7"/>
    <w:rsid w:val="579932E7"/>
    <w:rsid w:val="57A56223"/>
    <w:rsid w:val="57AA1051"/>
    <w:rsid w:val="57AF2B0B"/>
    <w:rsid w:val="57B63E99"/>
    <w:rsid w:val="57B72A76"/>
    <w:rsid w:val="57BB500C"/>
    <w:rsid w:val="57C3426C"/>
    <w:rsid w:val="57CA7C01"/>
    <w:rsid w:val="57CD4D3F"/>
    <w:rsid w:val="57CE1F93"/>
    <w:rsid w:val="57CE44B8"/>
    <w:rsid w:val="57DA7B88"/>
    <w:rsid w:val="57DD4B9C"/>
    <w:rsid w:val="57E17F0A"/>
    <w:rsid w:val="57E359C5"/>
    <w:rsid w:val="57E5652D"/>
    <w:rsid w:val="57E91B79"/>
    <w:rsid w:val="57EC750D"/>
    <w:rsid w:val="57EF4CB5"/>
    <w:rsid w:val="57F10A2D"/>
    <w:rsid w:val="57F56770"/>
    <w:rsid w:val="57F57566"/>
    <w:rsid w:val="57FF6859"/>
    <w:rsid w:val="580158B9"/>
    <w:rsid w:val="58030761"/>
    <w:rsid w:val="5806518D"/>
    <w:rsid w:val="580746F5"/>
    <w:rsid w:val="581806B0"/>
    <w:rsid w:val="5818245E"/>
    <w:rsid w:val="581A7F84"/>
    <w:rsid w:val="581B5AAA"/>
    <w:rsid w:val="581C61DE"/>
    <w:rsid w:val="581F37ED"/>
    <w:rsid w:val="58213C4D"/>
    <w:rsid w:val="58226E39"/>
    <w:rsid w:val="58316ABD"/>
    <w:rsid w:val="58331046"/>
    <w:rsid w:val="583340D9"/>
    <w:rsid w:val="583C618C"/>
    <w:rsid w:val="584113F7"/>
    <w:rsid w:val="58415EB1"/>
    <w:rsid w:val="584414A5"/>
    <w:rsid w:val="58490869"/>
    <w:rsid w:val="584B0098"/>
    <w:rsid w:val="58516B1B"/>
    <w:rsid w:val="585A4825"/>
    <w:rsid w:val="585D02C2"/>
    <w:rsid w:val="585D4315"/>
    <w:rsid w:val="586210F2"/>
    <w:rsid w:val="5862140F"/>
    <w:rsid w:val="58626456"/>
    <w:rsid w:val="58647451"/>
    <w:rsid w:val="5868458A"/>
    <w:rsid w:val="586F1371"/>
    <w:rsid w:val="58727DC0"/>
    <w:rsid w:val="587434A7"/>
    <w:rsid w:val="5881442B"/>
    <w:rsid w:val="588743D1"/>
    <w:rsid w:val="5887701A"/>
    <w:rsid w:val="58951D01"/>
    <w:rsid w:val="589A7317"/>
    <w:rsid w:val="589D7E56"/>
    <w:rsid w:val="58A106A5"/>
    <w:rsid w:val="58AB6E2E"/>
    <w:rsid w:val="58AD704A"/>
    <w:rsid w:val="58AF3E33"/>
    <w:rsid w:val="58B202E1"/>
    <w:rsid w:val="58B57CAD"/>
    <w:rsid w:val="58C77603"/>
    <w:rsid w:val="58D77C23"/>
    <w:rsid w:val="58E86407"/>
    <w:rsid w:val="58E95BA9"/>
    <w:rsid w:val="58ED24C0"/>
    <w:rsid w:val="58F6578D"/>
    <w:rsid w:val="58FB519C"/>
    <w:rsid w:val="58FD3402"/>
    <w:rsid w:val="590D206C"/>
    <w:rsid w:val="590F13E3"/>
    <w:rsid w:val="59195066"/>
    <w:rsid w:val="592A069B"/>
    <w:rsid w:val="592A4DCC"/>
    <w:rsid w:val="592F7A5F"/>
    <w:rsid w:val="593908DE"/>
    <w:rsid w:val="593B28A8"/>
    <w:rsid w:val="59462FFB"/>
    <w:rsid w:val="594822FE"/>
    <w:rsid w:val="594F1EAF"/>
    <w:rsid w:val="595C45CC"/>
    <w:rsid w:val="59605E6B"/>
    <w:rsid w:val="59644B84"/>
    <w:rsid w:val="5964605D"/>
    <w:rsid w:val="59653481"/>
    <w:rsid w:val="59671AD4"/>
    <w:rsid w:val="596D4A2C"/>
    <w:rsid w:val="596E0020"/>
    <w:rsid w:val="59745DBA"/>
    <w:rsid w:val="5980475F"/>
    <w:rsid w:val="598952C5"/>
    <w:rsid w:val="598D4786"/>
    <w:rsid w:val="5991071A"/>
    <w:rsid w:val="59914276"/>
    <w:rsid w:val="59933B19"/>
    <w:rsid w:val="599975CF"/>
    <w:rsid w:val="599B0531"/>
    <w:rsid w:val="599C2C1B"/>
    <w:rsid w:val="59A0095D"/>
    <w:rsid w:val="59A802CF"/>
    <w:rsid w:val="59AF294E"/>
    <w:rsid w:val="59B166C6"/>
    <w:rsid w:val="59B2243E"/>
    <w:rsid w:val="59BB12F3"/>
    <w:rsid w:val="59BB6289"/>
    <w:rsid w:val="59C0439F"/>
    <w:rsid w:val="59C04B5B"/>
    <w:rsid w:val="59C46ED7"/>
    <w:rsid w:val="59C744F3"/>
    <w:rsid w:val="59CA3C2C"/>
    <w:rsid w:val="59CC52AE"/>
    <w:rsid w:val="59CE5FE7"/>
    <w:rsid w:val="59CF4D9E"/>
    <w:rsid w:val="59D03C4E"/>
    <w:rsid w:val="59D306CF"/>
    <w:rsid w:val="59DC369A"/>
    <w:rsid w:val="59E20F76"/>
    <w:rsid w:val="59EE6BEB"/>
    <w:rsid w:val="59EF71EF"/>
    <w:rsid w:val="59F667CF"/>
    <w:rsid w:val="59F91E1B"/>
    <w:rsid w:val="5A00764E"/>
    <w:rsid w:val="5A0529AB"/>
    <w:rsid w:val="5A0A4028"/>
    <w:rsid w:val="5A0C70E4"/>
    <w:rsid w:val="5A0D3318"/>
    <w:rsid w:val="5A16167F"/>
    <w:rsid w:val="5A1824A5"/>
    <w:rsid w:val="5A2055FA"/>
    <w:rsid w:val="5A2918DF"/>
    <w:rsid w:val="5A2C0443"/>
    <w:rsid w:val="5A3477D3"/>
    <w:rsid w:val="5A357EB1"/>
    <w:rsid w:val="5A3C31EA"/>
    <w:rsid w:val="5A3E4B07"/>
    <w:rsid w:val="5A413525"/>
    <w:rsid w:val="5A4412E8"/>
    <w:rsid w:val="5A487063"/>
    <w:rsid w:val="5A4C578F"/>
    <w:rsid w:val="5A581238"/>
    <w:rsid w:val="5A5B4884"/>
    <w:rsid w:val="5A5D3366"/>
    <w:rsid w:val="5A61633E"/>
    <w:rsid w:val="5A635B8C"/>
    <w:rsid w:val="5A6903F1"/>
    <w:rsid w:val="5A6A4AC7"/>
    <w:rsid w:val="5A726AEF"/>
    <w:rsid w:val="5A734A53"/>
    <w:rsid w:val="5A783518"/>
    <w:rsid w:val="5A785436"/>
    <w:rsid w:val="5A8262B5"/>
    <w:rsid w:val="5A9009D2"/>
    <w:rsid w:val="5A9014AA"/>
    <w:rsid w:val="5A902780"/>
    <w:rsid w:val="5A9164F8"/>
    <w:rsid w:val="5A962080"/>
    <w:rsid w:val="5A9C7487"/>
    <w:rsid w:val="5A9D30EE"/>
    <w:rsid w:val="5A9F29C3"/>
    <w:rsid w:val="5A9F5E78"/>
    <w:rsid w:val="5AAC7EA8"/>
    <w:rsid w:val="5AB638E3"/>
    <w:rsid w:val="5AB74639"/>
    <w:rsid w:val="5ABA77FD"/>
    <w:rsid w:val="5ABE2233"/>
    <w:rsid w:val="5AC10B8B"/>
    <w:rsid w:val="5AC24903"/>
    <w:rsid w:val="5AC734F6"/>
    <w:rsid w:val="5AC8016B"/>
    <w:rsid w:val="5ACB306E"/>
    <w:rsid w:val="5AD05272"/>
    <w:rsid w:val="5AD308BE"/>
    <w:rsid w:val="5ADC0993"/>
    <w:rsid w:val="5AE02F22"/>
    <w:rsid w:val="5AE14D89"/>
    <w:rsid w:val="5AE26D53"/>
    <w:rsid w:val="5AE2789E"/>
    <w:rsid w:val="5AE42ACB"/>
    <w:rsid w:val="5AE825BC"/>
    <w:rsid w:val="5AE900E2"/>
    <w:rsid w:val="5AF40715"/>
    <w:rsid w:val="5AF51CF5"/>
    <w:rsid w:val="5AFF7905"/>
    <w:rsid w:val="5B01367D"/>
    <w:rsid w:val="5B163769"/>
    <w:rsid w:val="5B174C4F"/>
    <w:rsid w:val="5B1A029B"/>
    <w:rsid w:val="5B1B25DC"/>
    <w:rsid w:val="5B1D1191"/>
    <w:rsid w:val="5B1E7D8B"/>
    <w:rsid w:val="5B1F1D55"/>
    <w:rsid w:val="5B286E5C"/>
    <w:rsid w:val="5B325047"/>
    <w:rsid w:val="5B372BFB"/>
    <w:rsid w:val="5B3D4A0E"/>
    <w:rsid w:val="5B4F7175"/>
    <w:rsid w:val="5B510C47"/>
    <w:rsid w:val="5B57329D"/>
    <w:rsid w:val="5B5E287E"/>
    <w:rsid w:val="5B6854AA"/>
    <w:rsid w:val="5B69690F"/>
    <w:rsid w:val="5B6D486F"/>
    <w:rsid w:val="5B721680"/>
    <w:rsid w:val="5B726329"/>
    <w:rsid w:val="5B735827"/>
    <w:rsid w:val="5B834092"/>
    <w:rsid w:val="5B977B3E"/>
    <w:rsid w:val="5B9C2BE9"/>
    <w:rsid w:val="5B9D4D20"/>
    <w:rsid w:val="5B9E0AAF"/>
    <w:rsid w:val="5B9E711E"/>
    <w:rsid w:val="5BA30C56"/>
    <w:rsid w:val="5BA8072A"/>
    <w:rsid w:val="5BB10BFF"/>
    <w:rsid w:val="5BB14D3E"/>
    <w:rsid w:val="5BB66216"/>
    <w:rsid w:val="5BB87138"/>
    <w:rsid w:val="5BBC534D"/>
    <w:rsid w:val="5BC00E43"/>
    <w:rsid w:val="5BC6762F"/>
    <w:rsid w:val="5BCA0480"/>
    <w:rsid w:val="5BD20B76"/>
    <w:rsid w:val="5BD90156"/>
    <w:rsid w:val="5BD97FA5"/>
    <w:rsid w:val="5BDB760C"/>
    <w:rsid w:val="5BDF5D95"/>
    <w:rsid w:val="5BE37977"/>
    <w:rsid w:val="5BE56AFB"/>
    <w:rsid w:val="5BEC1C38"/>
    <w:rsid w:val="5BEC60DC"/>
    <w:rsid w:val="5BF136F2"/>
    <w:rsid w:val="5BFA1AE6"/>
    <w:rsid w:val="5BFE7528"/>
    <w:rsid w:val="5C0A47B4"/>
    <w:rsid w:val="5C0A6562"/>
    <w:rsid w:val="5C0D1BAE"/>
    <w:rsid w:val="5C182A2D"/>
    <w:rsid w:val="5C1A3007"/>
    <w:rsid w:val="5C1B251D"/>
    <w:rsid w:val="5C1E53D2"/>
    <w:rsid w:val="5C205134"/>
    <w:rsid w:val="5C231806"/>
    <w:rsid w:val="5C2515ED"/>
    <w:rsid w:val="5C25339C"/>
    <w:rsid w:val="5C34709A"/>
    <w:rsid w:val="5C347FAF"/>
    <w:rsid w:val="5C390BF5"/>
    <w:rsid w:val="5C3D2493"/>
    <w:rsid w:val="5C41597A"/>
    <w:rsid w:val="5C425CFC"/>
    <w:rsid w:val="5C480E38"/>
    <w:rsid w:val="5C4B1054"/>
    <w:rsid w:val="5C4E644E"/>
    <w:rsid w:val="5C553C81"/>
    <w:rsid w:val="5C555466"/>
    <w:rsid w:val="5C5872CD"/>
    <w:rsid w:val="5C606182"/>
    <w:rsid w:val="5C720816"/>
    <w:rsid w:val="5C735EB5"/>
    <w:rsid w:val="5C762422"/>
    <w:rsid w:val="5C78796F"/>
    <w:rsid w:val="5C7B2FBB"/>
    <w:rsid w:val="5C983B6D"/>
    <w:rsid w:val="5C9A5B1A"/>
    <w:rsid w:val="5C9D2F32"/>
    <w:rsid w:val="5CA64445"/>
    <w:rsid w:val="5CA800DD"/>
    <w:rsid w:val="5CA943D8"/>
    <w:rsid w:val="5CAC60B8"/>
    <w:rsid w:val="5CAE3391"/>
    <w:rsid w:val="5CB41780"/>
    <w:rsid w:val="5CBC5AAE"/>
    <w:rsid w:val="5CBF559E"/>
    <w:rsid w:val="5CC22998"/>
    <w:rsid w:val="5CC91F79"/>
    <w:rsid w:val="5CCB5CF1"/>
    <w:rsid w:val="5CCB7A9F"/>
    <w:rsid w:val="5CDA3A05"/>
    <w:rsid w:val="5CDC2775"/>
    <w:rsid w:val="5CDC33AD"/>
    <w:rsid w:val="5CDD3C76"/>
    <w:rsid w:val="5CE40B61"/>
    <w:rsid w:val="5CEB6393"/>
    <w:rsid w:val="5CF52D6E"/>
    <w:rsid w:val="5CF86BF7"/>
    <w:rsid w:val="5CF978A3"/>
    <w:rsid w:val="5CFA4828"/>
    <w:rsid w:val="5CFE4393"/>
    <w:rsid w:val="5CFE60C6"/>
    <w:rsid w:val="5CFF5122"/>
    <w:rsid w:val="5D000084"/>
    <w:rsid w:val="5D0756FB"/>
    <w:rsid w:val="5D0A5414"/>
    <w:rsid w:val="5D1D4073"/>
    <w:rsid w:val="5D1E0517"/>
    <w:rsid w:val="5D2418A5"/>
    <w:rsid w:val="5D245401"/>
    <w:rsid w:val="5D296EBB"/>
    <w:rsid w:val="5D304854"/>
    <w:rsid w:val="5D325D70"/>
    <w:rsid w:val="5D347D3A"/>
    <w:rsid w:val="5D363438"/>
    <w:rsid w:val="5D363F93"/>
    <w:rsid w:val="5D46181B"/>
    <w:rsid w:val="5D475B2E"/>
    <w:rsid w:val="5D527792"/>
    <w:rsid w:val="5D5F0A58"/>
    <w:rsid w:val="5D604439"/>
    <w:rsid w:val="5D6E329D"/>
    <w:rsid w:val="5D724983"/>
    <w:rsid w:val="5D775872"/>
    <w:rsid w:val="5D7A3273"/>
    <w:rsid w:val="5D7C348F"/>
    <w:rsid w:val="5D7D7A47"/>
    <w:rsid w:val="5D88539A"/>
    <w:rsid w:val="5D891708"/>
    <w:rsid w:val="5D8A795A"/>
    <w:rsid w:val="5D8B1942"/>
    <w:rsid w:val="5D9B1B67"/>
    <w:rsid w:val="5D9F2CDA"/>
    <w:rsid w:val="5DA324A6"/>
    <w:rsid w:val="5DAC57B4"/>
    <w:rsid w:val="5DB21F90"/>
    <w:rsid w:val="5DB378D1"/>
    <w:rsid w:val="5DB42C29"/>
    <w:rsid w:val="5DB6074F"/>
    <w:rsid w:val="5DB76838"/>
    <w:rsid w:val="5DB93D9B"/>
    <w:rsid w:val="5DC10EA2"/>
    <w:rsid w:val="5DCB1D21"/>
    <w:rsid w:val="5DD47711"/>
    <w:rsid w:val="5DD961EC"/>
    <w:rsid w:val="5DE30E18"/>
    <w:rsid w:val="5DE34892"/>
    <w:rsid w:val="5DE519D3"/>
    <w:rsid w:val="5DED0B88"/>
    <w:rsid w:val="5DF553E0"/>
    <w:rsid w:val="5DF666E3"/>
    <w:rsid w:val="5DF66D9E"/>
    <w:rsid w:val="5DF70D68"/>
    <w:rsid w:val="5DF9688E"/>
    <w:rsid w:val="5DFD637E"/>
    <w:rsid w:val="5E005E6E"/>
    <w:rsid w:val="5E03770C"/>
    <w:rsid w:val="5E0C02C8"/>
    <w:rsid w:val="5E1450E3"/>
    <w:rsid w:val="5E1526F8"/>
    <w:rsid w:val="5E2467F1"/>
    <w:rsid w:val="5E2D757E"/>
    <w:rsid w:val="5E331DA0"/>
    <w:rsid w:val="5E3D7845"/>
    <w:rsid w:val="5E437B09"/>
    <w:rsid w:val="5E451AD3"/>
    <w:rsid w:val="5E473A9D"/>
    <w:rsid w:val="5E475F20"/>
    <w:rsid w:val="5E4807AD"/>
    <w:rsid w:val="5E4F4700"/>
    <w:rsid w:val="5E6463FD"/>
    <w:rsid w:val="5E6C20CB"/>
    <w:rsid w:val="5E804C52"/>
    <w:rsid w:val="5E8545C5"/>
    <w:rsid w:val="5E8A35D2"/>
    <w:rsid w:val="5E8E347A"/>
    <w:rsid w:val="5E9063D5"/>
    <w:rsid w:val="5E977D01"/>
    <w:rsid w:val="5EA63292"/>
    <w:rsid w:val="5EAB02E4"/>
    <w:rsid w:val="5EAC3900"/>
    <w:rsid w:val="5EAF6EFE"/>
    <w:rsid w:val="5EB804F7"/>
    <w:rsid w:val="5EB84053"/>
    <w:rsid w:val="5EBD382E"/>
    <w:rsid w:val="5ECB647C"/>
    <w:rsid w:val="5ECE010D"/>
    <w:rsid w:val="5EDB41E5"/>
    <w:rsid w:val="5EE65064"/>
    <w:rsid w:val="5EE74938"/>
    <w:rsid w:val="5EEB0610"/>
    <w:rsid w:val="5EEC63F2"/>
    <w:rsid w:val="5EF05EE3"/>
    <w:rsid w:val="5EF24C80"/>
    <w:rsid w:val="5EFA1672"/>
    <w:rsid w:val="5F0279C4"/>
    <w:rsid w:val="5F0766D7"/>
    <w:rsid w:val="5F092B01"/>
    <w:rsid w:val="5F100333"/>
    <w:rsid w:val="5F1119B5"/>
    <w:rsid w:val="5F117C07"/>
    <w:rsid w:val="5F192375"/>
    <w:rsid w:val="5F1A2B43"/>
    <w:rsid w:val="5F1D035A"/>
    <w:rsid w:val="5F1D2BA2"/>
    <w:rsid w:val="5F20765C"/>
    <w:rsid w:val="5F3457F2"/>
    <w:rsid w:val="5F3C685F"/>
    <w:rsid w:val="5F404FA8"/>
    <w:rsid w:val="5F4C59E7"/>
    <w:rsid w:val="5F4D2839"/>
    <w:rsid w:val="5F4D50E3"/>
    <w:rsid w:val="5F571ABE"/>
    <w:rsid w:val="5F5A335C"/>
    <w:rsid w:val="5F5F6BC4"/>
    <w:rsid w:val="5F634F1B"/>
    <w:rsid w:val="5F681F1D"/>
    <w:rsid w:val="5F6C4A79"/>
    <w:rsid w:val="5F702B80"/>
    <w:rsid w:val="5F750196"/>
    <w:rsid w:val="5F780669"/>
    <w:rsid w:val="5F795ED8"/>
    <w:rsid w:val="5F7C63C0"/>
    <w:rsid w:val="5F7D4849"/>
    <w:rsid w:val="5F8215E6"/>
    <w:rsid w:val="5F89047C"/>
    <w:rsid w:val="5F917744"/>
    <w:rsid w:val="5F927999"/>
    <w:rsid w:val="5F9739D9"/>
    <w:rsid w:val="5F992BB6"/>
    <w:rsid w:val="5FA82319"/>
    <w:rsid w:val="5FAA42E4"/>
    <w:rsid w:val="5FAD6AC2"/>
    <w:rsid w:val="5FB100B3"/>
    <w:rsid w:val="5FB213EA"/>
    <w:rsid w:val="5FB641C3"/>
    <w:rsid w:val="5FB837BB"/>
    <w:rsid w:val="5FC145E8"/>
    <w:rsid w:val="5FC87DCF"/>
    <w:rsid w:val="5FD249A7"/>
    <w:rsid w:val="5FD650D9"/>
    <w:rsid w:val="5FD72B7F"/>
    <w:rsid w:val="5FDC1FC3"/>
    <w:rsid w:val="5FDC4DF8"/>
    <w:rsid w:val="5FE04CE6"/>
    <w:rsid w:val="5FE80968"/>
    <w:rsid w:val="5FE817F3"/>
    <w:rsid w:val="5FEB0458"/>
    <w:rsid w:val="5FED2422"/>
    <w:rsid w:val="5FF45970"/>
    <w:rsid w:val="5FFE462F"/>
    <w:rsid w:val="60040639"/>
    <w:rsid w:val="60042684"/>
    <w:rsid w:val="6008725C"/>
    <w:rsid w:val="6010496B"/>
    <w:rsid w:val="60116111"/>
    <w:rsid w:val="60145C01"/>
    <w:rsid w:val="60217BDD"/>
    <w:rsid w:val="60231772"/>
    <w:rsid w:val="603C21EC"/>
    <w:rsid w:val="603D4D1E"/>
    <w:rsid w:val="604069F6"/>
    <w:rsid w:val="60415085"/>
    <w:rsid w:val="604A1623"/>
    <w:rsid w:val="60591866"/>
    <w:rsid w:val="606607F6"/>
    <w:rsid w:val="60674E36"/>
    <w:rsid w:val="606C3347"/>
    <w:rsid w:val="60730B79"/>
    <w:rsid w:val="60791F08"/>
    <w:rsid w:val="607C1225"/>
    <w:rsid w:val="607C7302"/>
    <w:rsid w:val="608449DB"/>
    <w:rsid w:val="60883EF9"/>
    <w:rsid w:val="609016BC"/>
    <w:rsid w:val="60911000"/>
    <w:rsid w:val="60917251"/>
    <w:rsid w:val="609603C4"/>
    <w:rsid w:val="609B1DD2"/>
    <w:rsid w:val="609F793F"/>
    <w:rsid w:val="60AF76D8"/>
    <w:rsid w:val="60B116A2"/>
    <w:rsid w:val="60BA7255"/>
    <w:rsid w:val="60BE791B"/>
    <w:rsid w:val="60BF310A"/>
    <w:rsid w:val="60C03693"/>
    <w:rsid w:val="60CA4511"/>
    <w:rsid w:val="60CC405A"/>
    <w:rsid w:val="60D25994"/>
    <w:rsid w:val="60D3786A"/>
    <w:rsid w:val="60D60260"/>
    <w:rsid w:val="60D61108"/>
    <w:rsid w:val="60DB04CD"/>
    <w:rsid w:val="60DF620F"/>
    <w:rsid w:val="60E05AE3"/>
    <w:rsid w:val="60E530F9"/>
    <w:rsid w:val="60E5591C"/>
    <w:rsid w:val="60EF5D26"/>
    <w:rsid w:val="60F35816"/>
    <w:rsid w:val="60F63558"/>
    <w:rsid w:val="60FE7C04"/>
    <w:rsid w:val="61007DE5"/>
    <w:rsid w:val="610F0176"/>
    <w:rsid w:val="611241D6"/>
    <w:rsid w:val="61130E78"/>
    <w:rsid w:val="611A2DA3"/>
    <w:rsid w:val="611A4731"/>
    <w:rsid w:val="6126799A"/>
    <w:rsid w:val="6129748A"/>
    <w:rsid w:val="612E5F61"/>
    <w:rsid w:val="6138147B"/>
    <w:rsid w:val="613A29FB"/>
    <w:rsid w:val="613E32FA"/>
    <w:rsid w:val="613F6CAD"/>
    <w:rsid w:val="61532759"/>
    <w:rsid w:val="6153325C"/>
    <w:rsid w:val="6154083B"/>
    <w:rsid w:val="615547CC"/>
    <w:rsid w:val="61677FB2"/>
    <w:rsid w:val="616D381B"/>
    <w:rsid w:val="61826B9A"/>
    <w:rsid w:val="61835350"/>
    <w:rsid w:val="61880654"/>
    <w:rsid w:val="61897F29"/>
    <w:rsid w:val="619743F4"/>
    <w:rsid w:val="619C7C5C"/>
    <w:rsid w:val="61A11716"/>
    <w:rsid w:val="61B272D8"/>
    <w:rsid w:val="61DA0A0B"/>
    <w:rsid w:val="61E16F91"/>
    <w:rsid w:val="61E215D8"/>
    <w:rsid w:val="61E433B1"/>
    <w:rsid w:val="61F15053"/>
    <w:rsid w:val="61F23D20"/>
    <w:rsid w:val="61F9494C"/>
    <w:rsid w:val="62061579"/>
    <w:rsid w:val="62065DE7"/>
    <w:rsid w:val="620746AB"/>
    <w:rsid w:val="620B2363"/>
    <w:rsid w:val="620C3034"/>
    <w:rsid w:val="620E48D6"/>
    <w:rsid w:val="62105B23"/>
    <w:rsid w:val="6218323C"/>
    <w:rsid w:val="621B3775"/>
    <w:rsid w:val="621E2D67"/>
    <w:rsid w:val="622814F0"/>
    <w:rsid w:val="622A170C"/>
    <w:rsid w:val="62311264"/>
    <w:rsid w:val="6232236E"/>
    <w:rsid w:val="62364782"/>
    <w:rsid w:val="62373E29"/>
    <w:rsid w:val="623E36DF"/>
    <w:rsid w:val="623E6ABC"/>
    <w:rsid w:val="62470129"/>
    <w:rsid w:val="624D4635"/>
    <w:rsid w:val="62516168"/>
    <w:rsid w:val="62540537"/>
    <w:rsid w:val="62570027"/>
    <w:rsid w:val="625C664B"/>
    <w:rsid w:val="625E0BAD"/>
    <w:rsid w:val="625E7607"/>
    <w:rsid w:val="62606EDB"/>
    <w:rsid w:val="626544F2"/>
    <w:rsid w:val="626562A0"/>
    <w:rsid w:val="626A3993"/>
    <w:rsid w:val="626F68DB"/>
    <w:rsid w:val="627762B4"/>
    <w:rsid w:val="62797F9D"/>
    <w:rsid w:val="627B15F9"/>
    <w:rsid w:val="62854B94"/>
    <w:rsid w:val="628726BA"/>
    <w:rsid w:val="628A3F58"/>
    <w:rsid w:val="62900D6E"/>
    <w:rsid w:val="6299063F"/>
    <w:rsid w:val="629E7A04"/>
    <w:rsid w:val="62A7266F"/>
    <w:rsid w:val="62A72D5C"/>
    <w:rsid w:val="62C0797A"/>
    <w:rsid w:val="62C456BC"/>
    <w:rsid w:val="62C51434"/>
    <w:rsid w:val="62E0626E"/>
    <w:rsid w:val="62E3443A"/>
    <w:rsid w:val="62EA0E9B"/>
    <w:rsid w:val="62F12229"/>
    <w:rsid w:val="62F31AFE"/>
    <w:rsid w:val="62F67840"/>
    <w:rsid w:val="630820D4"/>
    <w:rsid w:val="63083887"/>
    <w:rsid w:val="630C2BBF"/>
    <w:rsid w:val="631F0B45"/>
    <w:rsid w:val="6320666B"/>
    <w:rsid w:val="63247F09"/>
    <w:rsid w:val="632B50AB"/>
    <w:rsid w:val="632C14B3"/>
    <w:rsid w:val="632D1829"/>
    <w:rsid w:val="63377DE5"/>
    <w:rsid w:val="633B34A5"/>
    <w:rsid w:val="63440D78"/>
    <w:rsid w:val="634560D1"/>
    <w:rsid w:val="63464323"/>
    <w:rsid w:val="63534C92"/>
    <w:rsid w:val="6361115D"/>
    <w:rsid w:val="63635CA8"/>
    <w:rsid w:val="63707F69"/>
    <w:rsid w:val="637114CE"/>
    <w:rsid w:val="63770981"/>
    <w:rsid w:val="63822E81"/>
    <w:rsid w:val="63825960"/>
    <w:rsid w:val="6382653C"/>
    <w:rsid w:val="63836F3A"/>
    <w:rsid w:val="63860BC4"/>
    <w:rsid w:val="63870498"/>
    <w:rsid w:val="6389146D"/>
    <w:rsid w:val="638B7F88"/>
    <w:rsid w:val="6390299C"/>
    <w:rsid w:val="63936E3D"/>
    <w:rsid w:val="6394356A"/>
    <w:rsid w:val="63964E44"/>
    <w:rsid w:val="63A06E67"/>
    <w:rsid w:val="63A50B2C"/>
    <w:rsid w:val="63A64DC2"/>
    <w:rsid w:val="63B42E20"/>
    <w:rsid w:val="63C276F4"/>
    <w:rsid w:val="63C60FC0"/>
    <w:rsid w:val="63C61B2C"/>
    <w:rsid w:val="63C74D38"/>
    <w:rsid w:val="63CE6E28"/>
    <w:rsid w:val="63D40BE9"/>
    <w:rsid w:val="63D7141F"/>
    <w:rsid w:val="63DF01FC"/>
    <w:rsid w:val="63E15DFA"/>
    <w:rsid w:val="63E36016"/>
    <w:rsid w:val="63E47698"/>
    <w:rsid w:val="63E4785C"/>
    <w:rsid w:val="63E853DA"/>
    <w:rsid w:val="63E87188"/>
    <w:rsid w:val="63E94CAF"/>
    <w:rsid w:val="63F7561D"/>
    <w:rsid w:val="63FC2C34"/>
    <w:rsid w:val="63FE4BFE"/>
    <w:rsid w:val="640D0195"/>
    <w:rsid w:val="640D6BEF"/>
    <w:rsid w:val="640F0BB9"/>
    <w:rsid w:val="64102431"/>
    <w:rsid w:val="641165E8"/>
    <w:rsid w:val="641D01A1"/>
    <w:rsid w:val="6425727E"/>
    <w:rsid w:val="6426585F"/>
    <w:rsid w:val="64310F58"/>
    <w:rsid w:val="643C5726"/>
    <w:rsid w:val="643C74D4"/>
    <w:rsid w:val="64425DD8"/>
    <w:rsid w:val="644347B1"/>
    <w:rsid w:val="6445034E"/>
    <w:rsid w:val="644D2A57"/>
    <w:rsid w:val="64524F4A"/>
    <w:rsid w:val="64555B0D"/>
    <w:rsid w:val="64560388"/>
    <w:rsid w:val="645B239C"/>
    <w:rsid w:val="645F0A6C"/>
    <w:rsid w:val="64634A61"/>
    <w:rsid w:val="646709F5"/>
    <w:rsid w:val="64673665"/>
    <w:rsid w:val="64677052"/>
    <w:rsid w:val="646A5DEF"/>
    <w:rsid w:val="646B1B68"/>
    <w:rsid w:val="64722EF6"/>
    <w:rsid w:val="64740A1C"/>
    <w:rsid w:val="64744EC0"/>
    <w:rsid w:val="647749B0"/>
    <w:rsid w:val="64790728"/>
    <w:rsid w:val="647924D6"/>
    <w:rsid w:val="64846667"/>
    <w:rsid w:val="64852C29"/>
    <w:rsid w:val="648A14FD"/>
    <w:rsid w:val="648C20E7"/>
    <w:rsid w:val="648F2152"/>
    <w:rsid w:val="648F237D"/>
    <w:rsid w:val="64A05CB5"/>
    <w:rsid w:val="64A31301"/>
    <w:rsid w:val="64A35E67"/>
    <w:rsid w:val="64A46A73"/>
    <w:rsid w:val="64A5243A"/>
    <w:rsid w:val="64BD5954"/>
    <w:rsid w:val="64BF68B6"/>
    <w:rsid w:val="64C179D9"/>
    <w:rsid w:val="64C23E7D"/>
    <w:rsid w:val="64C33752"/>
    <w:rsid w:val="64D21BE7"/>
    <w:rsid w:val="64D771FD"/>
    <w:rsid w:val="64D8544F"/>
    <w:rsid w:val="64E35BA2"/>
    <w:rsid w:val="64E84C2E"/>
    <w:rsid w:val="64EA5182"/>
    <w:rsid w:val="64ED4731"/>
    <w:rsid w:val="64F42CCE"/>
    <w:rsid w:val="64F46001"/>
    <w:rsid w:val="64F531DE"/>
    <w:rsid w:val="64F733FB"/>
    <w:rsid w:val="64FB113D"/>
    <w:rsid w:val="64FD0338"/>
    <w:rsid w:val="650733EF"/>
    <w:rsid w:val="6507404E"/>
    <w:rsid w:val="65077AE2"/>
    <w:rsid w:val="650C50F9"/>
    <w:rsid w:val="65136487"/>
    <w:rsid w:val="65162ED1"/>
    <w:rsid w:val="651673BB"/>
    <w:rsid w:val="652107A0"/>
    <w:rsid w:val="65211EF7"/>
    <w:rsid w:val="65297A59"/>
    <w:rsid w:val="652D1B5C"/>
    <w:rsid w:val="65313A7A"/>
    <w:rsid w:val="65341687"/>
    <w:rsid w:val="65342EBF"/>
    <w:rsid w:val="6535464F"/>
    <w:rsid w:val="65373578"/>
    <w:rsid w:val="653C7367"/>
    <w:rsid w:val="65402FF4"/>
    <w:rsid w:val="654274FD"/>
    <w:rsid w:val="65491A47"/>
    <w:rsid w:val="654D2363"/>
    <w:rsid w:val="65532D27"/>
    <w:rsid w:val="65534E25"/>
    <w:rsid w:val="655A5E64"/>
    <w:rsid w:val="655D5954"/>
    <w:rsid w:val="656216B5"/>
    <w:rsid w:val="65660504"/>
    <w:rsid w:val="656767D3"/>
    <w:rsid w:val="65685B13"/>
    <w:rsid w:val="656C5B97"/>
    <w:rsid w:val="657038D9"/>
    <w:rsid w:val="65797D27"/>
    <w:rsid w:val="658B7808"/>
    <w:rsid w:val="65906B10"/>
    <w:rsid w:val="65931376"/>
    <w:rsid w:val="65953340"/>
    <w:rsid w:val="65956E9C"/>
    <w:rsid w:val="65974D84"/>
    <w:rsid w:val="6598698C"/>
    <w:rsid w:val="65A007E7"/>
    <w:rsid w:val="65A02026"/>
    <w:rsid w:val="65A53CF5"/>
    <w:rsid w:val="65A74B3C"/>
    <w:rsid w:val="65A84C00"/>
    <w:rsid w:val="65AC2438"/>
    <w:rsid w:val="65B0017A"/>
    <w:rsid w:val="65B30255"/>
    <w:rsid w:val="65BE285F"/>
    <w:rsid w:val="65D008FC"/>
    <w:rsid w:val="65D57BE0"/>
    <w:rsid w:val="65D813BD"/>
    <w:rsid w:val="65D95FF8"/>
    <w:rsid w:val="65E240AB"/>
    <w:rsid w:val="65E9396A"/>
    <w:rsid w:val="65F362B8"/>
    <w:rsid w:val="65F46C17"/>
    <w:rsid w:val="65F96DF7"/>
    <w:rsid w:val="65FD0AD0"/>
    <w:rsid w:val="660B53B0"/>
    <w:rsid w:val="660D77C0"/>
    <w:rsid w:val="66112C08"/>
    <w:rsid w:val="66151A51"/>
    <w:rsid w:val="6615622F"/>
    <w:rsid w:val="661C43A8"/>
    <w:rsid w:val="662326FA"/>
    <w:rsid w:val="66246472"/>
    <w:rsid w:val="662D3578"/>
    <w:rsid w:val="6632238D"/>
    <w:rsid w:val="663761A5"/>
    <w:rsid w:val="663A7A43"/>
    <w:rsid w:val="663C1A0D"/>
    <w:rsid w:val="66482160"/>
    <w:rsid w:val="664A412A"/>
    <w:rsid w:val="664B7EA3"/>
    <w:rsid w:val="665E1984"/>
    <w:rsid w:val="6661509A"/>
    <w:rsid w:val="66615387"/>
    <w:rsid w:val="6663343E"/>
    <w:rsid w:val="666351EC"/>
    <w:rsid w:val="666368D0"/>
    <w:rsid w:val="6669634B"/>
    <w:rsid w:val="66696F28"/>
    <w:rsid w:val="666B40A1"/>
    <w:rsid w:val="667B0788"/>
    <w:rsid w:val="66801FDF"/>
    <w:rsid w:val="66855163"/>
    <w:rsid w:val="6687756C"/>
    <w:rsid w:val="668C2375"/>
    <w:rsid w:val="668D4245"/>
    <w:rsid w:val="668F1B3D"/>
    <w:rsid w:val="668F4233"/>
    <w:rsid w:val="669963E6"/>
    <w:rsid w:val="66996E60"/>
    <w:rsid w:val="669B6F25"/>
    <w:rsid w:val="669E6224"/>
    <w:rsid w:val="66B21CD0"/>
    <w:rsid w:val="66B31495"/>
    <w:rsid w:val="66BE0674"/>
    <w:rsid w:val="66BE2423"/>
    <w:rsid w:val="66C67529"/>
    <w:rsid w:val="66C84031"/>
    <w:rsid w:val="66D439F4"/>
    <w:rsid w:val="66D5397C"/>
    <w:rsid w:val="66D96E19"/>
    <w:rsid w:val="66DD4F9F"/>
    <w:rsid w:val="66E3632D"/>
    <w:rsid w:val="66E83943"/>
    <w:rsid w:val="66ED0F5A"/>
    <w:rsid w:val="66F76DF2"/>
    <w:rsid w:val="66F90507"/>
    <w:rsid w:val="66FB71D3"/>
    <w:rsid w:val="66FE6DB1"/>
    <w:rsid w:val="670329EE"/>
    <w:rsid w:val="6712451C"/>
    <w:rsid w:val="67131ECE"/>
    <w:rsid w:val="671C6156"/>
    <w:rsid w:val="671D539B"/>
    <w:rsid w:val="671F124A"/>
    <w:rsid w:val="672C67DA"/>
    <w:rsid w:val="67377D3B"/>
    <w:rsid w:val="67401435"/>
    <w:rsid w:val="674A694F"/>
    <w:rsid w:val="675039C2"/>
    <w:rsid w:val="67527027"/>
    <w:rsid w:val="675863D3"/>
    <w:rsid w:val="6759039D"/>
    <w:rsid w:val="67596B8B"/>
    <w:rsid w:val="675A65EF"/>
    <w:rsid w:val="67661634"/>
    <w:rsid w:val="67674117"/>
    <w:rsid w:val="67713939"/>
    <w:rsid w:val="677543ED"/>
    <w:rsid w:val="677671A1"/>
    <w:rsid w:val="67787B9A"/>
    <w:rsid w:val="677A33C6"/>
    <w:rsid w:val="678278F4"/>
    <w:rsid w:val="67861C91"/>
    <w:rsid w:val="678637E0"/>
    <w:rsid w:val="678673E4"/>
    <w:rsid w:val="67890C82"/>
    <w:rsid w:val="678E3FE9"/>
    <w:rsid w:val="67941A94"/>
    <w:rsid w:val="679D472E"/>
    <w:rsid w:val="679F4002"/>
    <w:rsid w:val="67A005AE"/>
    <w:rsid w:val="67A022E2"/>
    <w:rsid w:val="67A05FCC"/>
    <w:rsid w:val="67B71160"/>
    <w:rsid w:val="67BA6CF9"/>
    <w:rsid w:val="67BB4BB4"/>
    <w:rsid w:val="67CA636D"/>
    <w:rsid w:val="67D5211A"/>
    <w:rsid w:val="67DB0DB2"/>
    <w:rsid w:val="67DC530F"/>
    <w:rsid w:val="67DD5CB3"/>
    <w:rsid w:val="67E05C16"/>
    <w:rsid w:val="67E1286C"/>
    <w:rsid w:val="67E61C31"/>
    <w:rsid w:val="67EB36EB"/>
    <w:rsid w:val="67ED7463"/>
    <w:rsid w:val="67F51E74"/>
    <w:rsid w:val="680454E0"/>
    <w:rsid w:val="68075DBC"/>
    <w:rsid w:val="680E2F36"/>
    <w:rsid w:val="681649B0"/>
    <w:rsid w:val="68177EBD"/>
    <w:rsid w:val="681E586F"/>
    <w:rsid w:val="681F3395"/>
    <w:rsid w:val="681F6961"/>
    <w:rsid w:val="68295FC1"/>
    <w:rsid w:val="682E182A"/>
    <w:rsid w:val="683010FE"/>
    <w:rsid w:val="68306E63"/>
    <w:rsid w:val="6837248C"/>
    <w:rsid w:val="683C5CF5"/>
    <w:rsid w:val="683F7593"/>
    <w:rsid w:val="684873FA"/>
    <w:rsid w:val="684B02A5"/>
    <w:rsid w:val="684B5074"/>
    <w:rsid w:val="6850354E"/>
    <w:rsid w:val="685145C5"/>
    <w:rsid w:val="68576023"/>
    <w:rsid w:val="685A617B"/>
    <w:rsid w:val="68610A2F"/>
    <w:rsid w:val="686208DC"/>
    <w:rsid w:val="68633281"/>
    <w:rsid w:val="68692862"/>
    <w:rsid w:val="686B482C"/>
    <w:rsid w:val="68785402"/>
    <w:rsid w:val="687A4A6F"/>
    <w:rsid w:val="68805514"/>
    <w:rsid w:val="68863414"/>
    <w:rsid w:val="688A366D"/>
    <w:rsid w:val="688C58C9"/>
    <w:rsid w:val="689A1246"/>
    <w:rsid w:val="68A62C5A"/>
    <w:rsid w:val="68A716A4"/>
    <w:rsid w:val="68B04D43"/>
    <w:rsid w:val="68B43ADD"/>
    <w:rsid w:val="68B735CD"/>
    <w:rsid w:val="68BD4769"/>
    <w:rsid w:val="68BE2BAE"/>
    <w:rsid w:val="68CA3301"/>
    <w:rsid w:val="68CF1801"/>
    <w:rsid w:val="68D2550C"/>
    <w:rsid w:val="68D45F2D"/>
    <w:rsid w:val="68E8636F"/>
    <w:rsid w:val="68F4037D"/>
    <w:rsid w:val="68FC165E"/>
    <w:rsid w:val="69036813"/>
    <w:rsid w:val="690620FC"/>
    <w:rsid w:val="690B22F7"/>
    <w:rsid w:val="690C1B6B"/>
    <w:rsid w:val="691722BE"/>
    <w:rsid w:val="69196036"/>
    <w:rsid w:val="691E2122"/>
    <w:rsid w:val="691E53FA"/>
    <w:rsid w:val="691E5BA6"/>
    <w:rsid w:val="69217410"/>
    <w:rsid w:val="692844CB"/>
    <w:rsid w:val="692A0243"/>
    <w:rsid w:val="69310FFD"/>
    <w:rsid w:val="69316E2F"/>
    <w:rsid w:val="693D4634"/>
    <w:rsid w:val="693E5A9D"/>
    <w:rsid w:val="694E2071"/>
    <w:rsid w:val="69513A22"/>
    <w:rsid w:val="69516D14"/>
    <w:rsid w:val="6951757E"/>
    <w:rsid w:val="6957632D"/>
    <w:rsid w:val="69603E7D"/>
    <w:rsid w:val="69693908"/>
    <w:rsid w:val="696F3EA8"/>
    <w:rsid w:val="69735746"/>
    <w:rsid w:val="6974326C"/>
    <w:rsid w:val="69765236"/>
    <w:rsid w:val="69766163"/>
    <w:rsid w:val="69771799"/>
    <w:rsid w:val="697A3B33"/>
    <w:rsid w:val="698118A3"/>
    <w:rsid w:val="69823BDB"/>
    <w:rsid w:val="69926FF3"/>
    <w:rsid w:val="69951A33"/>
    <w:rsid w:val="699700FA"/>
    <w:rsid w:val="699833FF"/>
    <w:rsid w:val="69A2427D"/>
    <w:rsid w:val="69A914C7"/>
    <w:rsid w:val="69AA4636"/>
    <w:rsid w:val="69B028D9"/>
    <w:rsid w:val="69B34A5E"/>
    <w:rsid w:val="69B875FD"/>
    <w:rsid w:val="69BB70ED"/>
    <w:rsid w:val="69BD1234"/>
    <w:rsid w:val="69C01C85"/>
    <w:rsid w:val="69C2047C"/>
    <w:rsid w:val="69CA74E1"/>
    <w:rsid w:val="69CB3264"/>
    <w:rsid w:val="69CF1379"/>
    <w:rsid w:val="69D16911"/>
    <w:rsid w:val="69D32689"/>
    <w:rsid w:val="69D44760"/>
    <w:rsid w:val="69D5371E"/>
    <w:rsid w:val="69D65CD5"/>
    <w:rsid w:val="69DA1D9A"/>
    <w:rsid w:val="69DA7573"/>
    <w:rsid w:val="69DE6F54"/>
    <w:rsid w:val="69E00A03"/>
    <w:rsid w:val="69E93EB5"/>
    <w:rsid w:val="69F66377"/>
    <w:rsid w:val="69F745A2"/>
    <w:rsid w:val="6A0175E4"/>
    <w:rsid w:val="6A0254FD"/>
    <w:rsid w:val="6A0D6BF6"/>
    <w:rsid w:val="6A12710A"/>
    <w:rsid w:val="6A207FA3"/>
    <w:rsid w:val="6A2475B2"/>
    <w:rsid w:val="6A31115D"/>
    <w:rsid w:val="6A377DC1"/>
    <w:rsid w:val="6A3A44B6"/>
    <w:rsid w:val="6A4175F2"/>
    <w:rsid w:val="6A445335"/>
    <w:rsid w:val="6A462E5B"/>
    <w:rsid w:val="6A470981"/>
    <w:rsid w:val="6A4B6CE2"/>
    <w:rsid w:val="6A4D41E9"/>
    <w:rsid w:val="6A51789C"/>
    <w:rsid w:val="6A520EC7"/>
    <w:rsid w:val="6A582B8E"/>
    <w:rsid w:val="6A664539"/>
    <w:rsid w:val="6A68322C"/>
    <w:rsid w:val="6A6A256F"/>
    <w:rsid w:val="6A6D75FA"/>
    <w:rsid w:val="6A815C41"/>
    <w:rsid w:val="6A8650F7"/>
    <w:rsid w:val="6A924E5D"/>
    <w:rsid w:val="6AA162E3"/>
    <w:rsid w:val="6AA62BCC"/>
    <w:rsid w:val="6AA74F45"/>
    <w:rsid w:val="6AA76478"/>
    <w:rsid w:val="6AA8614E"/>
    <w:rsid w:val="6AA87672"/>
    <w:rsid w:val="6AAD6A36"/>
    <w:rsid w:val="6AB0311C"/>
    <w:rsid w:val="6AB06526"/>
    <w:rsid w:val="6AB32CFC"/>
    <w:rsid w:val="6AB44268"/>
    <w:rsid w:val="6AB57FE0"/>
    <w:rsid w:val="6ABC136F"/>
    <w:rsid w:val="6ABC311D"/>
    <w:rsid w:val="6ABE50E7"/>
    <w:rsid w:val="6AC16985"/>
    <w:rsid w:val="6ACD0E86"/>
    <w:rsid w:val="6AE15714"/>
    <w:rsid w:val="6AE30BAE"/>
    <w:rsid w:val="6AF87E20"/>
    <w:rsid w:val="6B0845B4"/>
    <w:rsid w:val="6B0B7D53"/>
    <w:rsid w:val="6B105217"/>
    <w:rsid w:val="6B147755"/>
    <w:rsid w:val="6B1503B3"/>
    <w:rsid w:val="6B1D005F"/>
    <w:rsid w:val="6B26275B"/>
    <w:rsid w:val="6B2C1D72"/>
    <w:rsid w:val="6B2F1B41"/>
    <w:rsid w:val="6B322639"/>
    <w:rsid w:val="6B341CC1"/>
    <w:rsid w:val="6B361121"/>
    <w:rsid w:val="6B3709F5"/>
    <w:rsid w:val="6B383D1A"/>
    <w:rsid w:val="6B451364"/>
    <w:rsid w:val="6B580B85"/>
    <w:rsid w:val="6B5C045C"/>
    <w:rsid w:val="6B6317EA"/>
    <w:rsid w:val="6B647E8F"/>
    <w:rsid w:val="6B6B2B17"/>
    <w:rsid w:val="6B700A62"/>
    <w:rsid w:val="6B7112A5"/>
    <w:rsid w:val="6B882FFF"/>
    <w:rsid w:val="6B8D659C"/>
    <w:rsid w:val="6B8F25DF"/>
    <w:rsid w:val="6BA0659B"/>
    <w:rsid w:val="6BA47B5E"/>
    <w:rsid w:val="6BB42046"/>
    <w:rsid w:val="6BC404DB"/>
    <w:rsid w:val="6BC73B27"/>
    <w:rsid w:val="6BE16580"/>
    <w:rsid w:val="6BE40B7D"/>
    <w:rsid w:val="6BE446D9"/>
    <w:rsid w:val="6BE66F85"/>
    <w:rsid w:val="6BE84243"/>
    <w:rsid w:val="6BF85FD9"/>
    <w:rsid w:val="6BFB0AC1"/>
    <w:rsid w:val="6C066D46"/>
    <w:rsid w:val="6C0703C8"/>
    <w:rsid w:val="6C0B435C"/>
    <w:rsid w:val="6C0C1E82"/>
    <w:rsid w:val="6C0F54CE"/>
    <w:rsid w:val="6C16685D"/>
    <w:rsid w:val="6C1B0366"/>
    <w:rsid w:val="6C1C74D4"/>
    <w:rsid w:val="6C223454"/>
    <w:rsid w:val="6C24541E"/>
    <w:rsid w:val="6C2947E2"/>
    <w:rsid w:val="6C2B67AC"/>
    <w:rsid w:val="6C2C42D2"/>
    <w:rsid w:val="6C2D32DF"/>
    <w:rsid w:val="6C380727"/>
    <w:rsid w:val="6C383D9C"/>
    <w:rsid w:val="6C3C7F72"/>
    <w:rsid w:val="6C3D64DF"/>
    <w:rsid w:val="6C44786E"/>
    <w:rsid w:val="6C453508"/>
    <w:rsid w:val="6C501D6F"/>
    <w:rsid w:val="6C5D4F1A"/>
    <w:rsid w:val="6C615D2A"/>
    <w:rsid w:val="6C636C38"/>
    <w:rsid w:val="6C652DB8"/>
    <w:rsid w:val="6C6677E4"/>
    <w:rsid w:val="6C705E3A"/>
    <w:rsid w:val="6C705F6D"/>
    <w:rsid w:val="6C73587F"/>
    <w:rsid w:val="6C7672FB"/>
    <w:rsid w:val="6C77379F"/>
    <w:rsid w:val="6C7A4FC2"/>
    <w:rsid w:val="6C7A503E"/>
    <w:rsid w:val="6C7C2B64"/>
    <w:rsid w:val="6C877C64"/>
    <w:rsid w:val="6C8E0AE9"/>
    <w:rsid w:val="6C8F6662"/>
    <w:rsid w:val="6C977D6E"/>
    <w:rsid w:val="6C9854C4"/>
    <w:rsid w:val="6CAB51F7"/>
    <w:rsid w:val="6CAC159C"/>
    <w:rsid w:val="6CB23439"/>
    <w:rsid w:val="6CB467A2"/>
    <w:rsid w:val="6CBA368C"/>
    <w:rsid w:val="6CBE13CE"/>
    <w:rsid w:val="6CC4450B"/>
    <w:rsid w:val="6CD84EDD"/>
    <w:rsid w:val="6CDA5ADC"/>
    <w:rsid w:val="6CDA788A"/>
    <w:rsid w:val="6CDE381E"/>
    <w:rsid w:val="6CDF186C"/>
    <w:rsid w:val="6CE77627"/>
    <w:rsid w:val="6CEB5F3B"/>
    <w:rsid w:val="6CEE4233"/>
    <w:rsid w:val="6CF7043C"/>
    <w:rsid w:val="6CF748E0"/>
    <w:rsid w:val="6CF941B4"/>
    <w:rsid w:val="6D0A2DB0"/>
    <w:rsid w:val="6D140FEE"/>
    <w:rsid w:val="6D147240"/>
    <w:rsid w:val="6D1B431D"/>
    <w:rsid w:val="6D1E1E6D"/>
    <w:rsid w:val="6D231231"/>
    <w:rsid w:val="6D236B90"/>
    <w:rsid w:val="6D2F6F15"/>
    <w:rsid w:val="6D300453"/>
    <w:rsid w:val="6D33150A"/>
    <w:rsid w:val="6D490CEB"/>
    <w:rsid w:val="6D4C3D11"/>
    <w:rsid w:val="6D4D2752"/>
    <w:rsid w:val="6D5533B5"/>
    <w:rsid w:val="6D613B66"/>
    <w:rsid w:val="6D635AD2"/>
    <w:rsid w:val="6D6D6950"/>
    <w:rsid w:val="6D733012"/>
    <w:rsid w:val="6D735DBB"/>
    <w:rsid w:val="6D806684"/>
    <w:rsid w:val="6D8134CB"/>
    <w:rsid w:val="6D835A09"/>
    <w:rsid w:val="6D8617C0"/>
    <w:rsid w:val="6D875C64"/>
    <w:rsid w:val="6D920165"/>
    <w:rsid w:val="6D942015"/>
    <w:rsid w:val="6D9B526C"/>
    <w:rsid w:val="6D9D7236"/>
    <w:rsid w:val="6DB34098"/>
    <w:rsid w:val="6DB545B6"/>
    <w:rsid w:val="6DB86E0B"/>
    <w:rsid w:val="6DBA62BA"/>
    <w:rsid w:val="6DBB1D5C"/>
    <w:rsid w:val="6DC17AF6"/>
    <w:rsid w:val="6DC36570"/>
    <w:rsid w:val="6DC522E8"/>
    <w:rsid w:val="6DC915EE"/>
    <w:rsid w:val="6DD90222"/>
    <w:rsid w:val="6DDB7D5E"/>
    <w:rsid w:val="6DE02FB4"/>
    <w:rsid w:val="6DE309C1"/>
    <w:rsid w:val="6DE50BDD"/>
    <w:rsid w:val="6DF14566"/>
    <w:rsid w:val="6DF66946"/>
    <w:rsid w:val="6DF8446C"/>
    <w:rsid w:val="6DFB21AE"/>
    <w:rsid w:val="6E0711D6"/>
    <w:rsid w:val="6E0E1EE1"/>
    <w:rsid w:val="6E113780"/>
    <w:rsid w:val="6E116FE6"/>
    <w:rsid w:val="6E1C534A"/>
    <w:rsid w:val="6E1D2124"/>
    <w:rsid w:val="6E1F19CB"/>
    <w:rsid w:val="6E250FD9"/>
    <w:rsid w:val="6E2A4841"/>
    <w:rsid w:val="6E337B9A"/>
    <w:rsid w:val="6E381523"/>
    <w:rsid w:val="6E387DE1"/>
    <w:rsid w:val="6E453429"/>
    <w:rsid w:val="6E4D1826"/>
    <w:rsid w:val="6E5042A8"/>
    <w:rsid w:val="6E514CED"/>
    <w:rsid w:val="6E573394"/>
    <w:rsid w:val="6E5936D1"/>
    <w:rsid w:val="6E5B2C4D"/>
    <w:rsid w:val="6E600263"/>
    <w:rsid w:val="6E617962"/>
    <w:rsid w:val="6E630726"/>
    <w:rsid w:val="6E6632C4"/>
    <w:rsid w:val="6E712470"/>
    <w:rsid w:val="6E7220B1"/>
    <w:rsid w:val="6E7C41A8"/>
    <w:rsid w:val="6E8126B3"/>
    <w:rsid w:val="6E820CA0"/>
    <w:rsid w:val="6E900054"/>
    <w:rsid w:val="6E9323E7"/>
    <w:rsid w:val="6E9C573F"/>
    <w:rsid w:val="6E9D323E"/>
    <w:rsid w:val="6E9F11A8"/>
    <w:rsid w:val="6EA63EC8"/>
    <w:rsid w:val="6EAB3BD4"/>
    <w:rsid w:val="6EAC4A51"/>
    <w:rsid w:val="6EAF02C1"/>
    <w:rsid w:val="6EB26D11"/>
    <w:rsid w:val="6EB36D5B"/>
    <w:rsid w:val="6EB563D5"/>
    <w:rsid w:val="6EB8009F"/>
    <w:rsid w:val="6EBB3F5A"/>
    <w:rsid w:val="6EC72090"/>
    <w:rsid w:val="6ECB5AAA"/>
    <w:rsid w:val="6ED3113D"/>
    <w:rsid w:val="6ED92677"/>
    <w:rsid w:val="6EE40AD0"/>
    <w:rsid w:val="6EEB6775"/>
    <w:rsid w:val="6EF8049C"/>
    <w:rsid w:val="6EFC61DE"/>
    <w:rsid w:val="6EFF182A"/>
    <w:rsid w:val="6F045092"/>
    <w:rsid w:val="6F0F4D2C"/>
    <w:rsid w:val="6F1352D6"/>
    <w:rsid w:val="6F15104E"/>
    <w:rsid w:val="6F152DFC"/>
    <w:rsid w:val="6F154410"/>
    <w:rsid w:val="6F21110D"/>
    <w:rsid w:val="6F225983"/>
    <w:rsid w:val="6F257DDB"/>
    <w:rsid w:val="6F3040D9"/>
    <w:rsid w:val="6F363561"/>
    <w:rsid w:val="6F376C3A"/>
    <w:rsid w:val="6F3C2A7E"/>
    <w:rsid w:val="6F3D3C41"/>
    <w:rsid w:val="6F4C63D0"/>
    <w:rsid w:val="6F5A4CB2"/>
    <w:rsid w:val="6F71097A"/>
    <w:rsid w:val="6F733C5D"/>
    <w:rsid w:val="6F7420A2"/>
    <w:rsid w:val="6F773AB6"/>
    <w:rsid w:val="6F7B55F4"/>
    <w:rsid w:val="6F800BBD"/>
    <w:rsid w:val="6F8364DE"/>
    <w:rsid w:val="6F854425"/>
    <w:rsid w:val="6F861647"/>
    <w:rsid w:val="6F885FE0"/>
    <w:rsid w:val="6F8A41E2"/>
    <w:rsid w:val="6F8D4482"/>
    <w:rsid w:val="6F9C52CB"/>
    <w:rsid w:val="6FA0300D"/>
    <w:rsid w:val="6FA83C70"/>
    <w:rsid w:val="6FB01643"/>
    <w:rsid w:val="6FB46AB9"/>
    <w:rsid w:val="6FB821B7"/>
    <w:rsid w:val="6FB9613B"/>
    <w:rsid w:val="6FBA38B6"/>
    <w:rsid w:val="6FC34F4E"/>
    <w:rsid w:val="6FC7059A"/>
    <w:rsid w:val="6FCA02A3"/>
    <w:rsid w:val="6FCD1928"/>
    <w:rsid w:val="6FD0222A"/>
    <w:rsid w:val="6FD024E6"/>
    <w:rsid w:val="6FD159D2"/>
    <w:rsid w:val="6FD32DAF"/>
    <w:rsid w:val="6FD375F5"/>
    <w:rsid w:val="6FDC1B6B"/>
    <w:rsid w:val="6FE91140"/>
    <w:rsid w:val="6FEA4288"/>
    <w:rsid w:val="6FF375E1"/>
    <w:rsid w:val="6FFB0243"/>
    <w:rsid w:val="6FFB72C9"/>
    <w:rsid w:val="6FFC5590"/>
    <w:rsid w:val="6FFE5CF8"/>
    <w:rsid w:val="6FFF2342"/>
    <w:rsid w:val="70067E6C"/>
    <w:rsid w:val="700A492A"/>
    <w:rsid w:val="700F0B87"/>
    <w:rsid w:val="70117A67"/>
    <w:rsid w:val="701721F7"/>
    <w:rsid w:val="70180DF5"/>
    <w:rsid w:val="70294D1B"/>
    <w:rsid w:val="703025E3"/>
    <w:rsid w:val="70317F43"/>
    <w:rsid w:val="703F0E9E"/>
    <w:rsid w:val="70422ED3"/>
    <w:rsid w:val="70457711"/>
    <w:rsid w:val="70497201"/>
    <w:rsid w:val="704D72E9"/>
    <w:rsid w:val="7053007F"/>
    <w:rsid w:val="70531E2E"/>
    <w:rsid w:val="70553DF8"/>
    <w:rsid w:val="70622071"/>
    <w:rsid w:val="70626EC5"/>
    <w:rsid w:val="7064228D"/>
    <w:rsid w:val="70671271"/>
    <w:rsid w:val="706D1DD0"/>
    <w:rsid w:val="706E50C0"/>
    <w:rsid w:val="707904B0"/>
    <w:rsid w:val="707D334E"/>
    <w:rsid w:val="70856B87"/>
    <w:rsid w:val="70891CF3"/>
    <w:rsid w:val="70974410"/>
    <w:rsid w:val="70980049"/>
    <w:rsid w:val="709F32C5"/>
    <w:rsid w:val="70A22DB5"/>
    <w:rsid w:val="70A97DAF"/>
    <w:rsid w:val="70AC7790"/>
    <w:rsid w:val="70B10C5A"/>
    <w:rsid w:val="70B700AB"/>
    <w:rsid w:val="70B76E18"/>
    <w:rsid w:val="70D527EE"/>
    <w:rsid w:val="70E04684"/>
    <w:rsid w:val="70ED4030"/>
    <w:rsid w:val="70FA674D"/>
    <w:rsid w:val="70FF7AA5"/>
    <w:rsid w:val="710050B4"/>
    <w:rsid w:val="7101188A"/>
    <w:rsid w:val="710C118E"/>
    <w:rsid w:val="711054C1"/>
    <w:rsid w:val="71107D1F"/>
    <w:rsid w:val="71107EFC"/>
    <w:rsid w:val="71184917"/>
    <w:rsid w:val="711F4406"/>
    <w:rsid w:val="71333A0D"/>
    <w:rsid w:val="713D045F"/>
    <w:rsid w:val="714300F4"/>
    <w:rsid w:val="71494FDF"/>
    <w:rsid w:val="714C714F"/>
    <w:rsid w:val="71551BD5"/>
    <w:rsid w:val="715776FB"/>
    <w:rsid w:val="715A71EC"/>
    <w:rsid w:val="715B5300"/>
    <w:rsid w:val="715D47C9"/>
    <w:rsid w:val="71607B7B"/>
    <w:rsid w:val="71653049"/>
    <w:rsid w:val="71764003"/>
    <w:rsid w:val="71770F3C"/>
    <w:rsid w:val="717B5AE0"/>
    <w:rsid w:val="71877843"/>
    <w:rsid w:val="718D75C1"/>
    <w:rsid w:val="718E2DC9"/>
    <w:rsid w:val="718F05F4"/>
    <w:rsid w:val="719533EC"/>
    <w:rsid w:val="719C5A56"/>
    <w:rsid w:val="719E17CE"/>
    <w:rsid w:val="71A40BB9"/>
    <w:rsid w:val="71A87F57"/>
    <w:rsid w:val="71AD326D"/>
    <w:rsid w:val="71B13613"/>
    <w:rsid w:val="71B55F95"/>
    <w:rsid w:val="71C07997"/>
    <w:rsid w:val="71C87F80"/>
    <w:rsid w:val="71CC00E9"/>
    <w:rsid w:val="71CD751C"/>
    <w:rsid w:val="71D13EC7"/>
    <w:rsid w:val="71D1452F"/>
    <w:rsid w:val="71D27F8A"/>
    <w:rsid w:val="71DC0882"/>
    <w:rsid w:val="71ED62B2"/>
    <w:rsid w:val="71F238C8"/>
    <w:rsid w:val="71F4319C"/>
    <w:rsid w:val="71F56A69"/>
    <w:rsid w:val="71FC52E9"/>
    <w:rsid w:val="71FE2F9F"/>
    <w:rsid w:val="71FE38F7"/>
    <w:rsid w:val="720535FB"/>
    <w:rsid w:val="721101F2"/>
    <w:rsid w:val="72111FA0"/>
    <w:rsid w:val="721147C0"/>
    <w:rsid w:val="721849C8"/>
    <w:rsid w:val="721D0945"/>
    <w:rsid w:val="721D1DD2"/>
    <w:rsid w:val="72200435"/>
    <w:rsid w:val="72227D09"/>
    <w:rsid w:val="7223339C"/>
    <w:rsid w:val="722577FA"/>
    <w:rsid w:val="72331F17"/>
    <w:rsid w:val="72345C8F"/>
    <w:rsid w:val="723C2504"/>
    <w:rsid w:val="723E2D20"/>
    <w:rsid w:val="7242215D"/>
    <w:rsid w:val="724834E8"/>
    <w:rsid w:val="7252731D"/>
    <w:rsid w:val="72553024"/>
    <w:rsid w:val="72556331"/>
    <w:rsid w:val="72612F19"/>
    <w:rsid w:val="72646574"/>
    <w:rsid w:val="72697ED9"/>
    <w:rsid w:val="726C367A"/>
    <w:rsid w:val="72702B37"/>
    <w:rsid w:val="7271164B"/>
    <w:rsid w:val="727644F9"/>
    <w:rsid w:val="72767E61"/>
    <w:rsid w:val="728564EA"/>
    <w:rsid w:val="728E539F"/>
    <w:rsid w:val="72944ABF"/>
    <w:rsid w:val="7295497F"/>
    <w:rsid w:val="72A32380"/>
    <w:rsid w:val="72A57ACD"/>
    <w:rsid w:val="72A9042B"/>
    <w:rsid w:val="72A9667D"/>
    <w:rsid w:val="72AF5315"/>
    <w:rsid w:val="72B8066E"/>
    <w:rsid w:val="72BB015E"/>
    <w:rsid w:val="72BC234A"/>
    <w:rsid w:val="72BF1DF3"/>
    <w:rsid w:val="72C214EC"/>
    <w:rsid w:val="72C71790"/>
    <w:rsid w:val="72CE7E91"/>
    <w:rsid w:val="72D51220"/>
    <w:rsid w:val="72DA05E4"/>
    <w:rsid w:val="72E2393D"/>
    <w:rsid w:val="72EA74BB"/>
    <w:rsid w:val="72ED47BB"/>
    <w:rsid w:val="72ED4F20"/>
    <w:rsid w:val="72FA2A34"/>
    <w:rsid w:val="73076698"/>
    <w:rsid w:val="730833A3"/>
    <w:rsid w:val="7310344C"/>
    <w:rsid w:val="73122968"/>
    <w:rsid w:val="731338C4"/>
    <w:rsid w:val="731D4975"/>
    <w:rsid w:val="731F5D5E"/>
    <w:rsid w:val="732A7AA2"/>
    <w:rsid w:val="732D2E0A"/>
    <w:rsid w:val="732D608D"/>
    <w:rsid w:val="733536BE"/>
    <w:rsid w:val="733C129F"/>
    <w:rsid w:val="733C304D"/>
    <w:rsid w:val="733E5017"/>
    <w:rsid w:val="733F6699"/>
    <w:rsid w:val="734252D3"/>
    <w:rsid w:val="73463ECB"/>
    <w:rsid w:val="7347684F"/>
    <w:rsid w:val="734B14E2"/>
    <w:rsid w:val="73522870"/>
    <w:rsid w:val="7352575D"/>
    <w:rsid w:val="73552361"/>
    <w:rsid w:val="735A75C8"/>
    <w:rsid w:val="73634A7D"/>
    <w:rsid w:val="73685BF0"/>
    <w:rsid w:val="7369576E"/>
    <w:rsid w:val="736965E7"/>
    <w:rsid w:val="736A5E0C"/>
    <w:rsid w:val="737451AF"/>
    <w:rsid w:val="737547B1"/>
    <w:rsid w:val="73797DFD"/>
    <w:rsid w:val="737B4B62"/>
    <w:rsid w:val="737F435D"/>
    <w:rsid w:val="738D5656"/>
    <w:rsid w:val="73951DA0"/>
    <w:rsid w:val="739C3AEB"/>
    <w:rsid w:val="73A429A0"/>
    <w:rsid w:val="73A62249"/>
    <w:rsid w:val="73A82490"/>
    <w:rsid w:val="73AE7A09"/>
    <w:rsid w:val="73AF28C1"/>
    <w:rsid w:val="73B21561"/>
    <w:rsid w:val="73B40A19"/>
    <w:rsid w:val="73BA21C4"/>
    <w:rsid w:val="73C51AD5"/>
    <w:rsid w:val="73CA1256"/>
    <w:rsid w:val="73CE5F8B"/>
    <w:rsid w:val="73CF3EC1"/>
    <w:rsid w:val="73DA21D9"/>
    <w:rsid w:val="73E14FC8"/>
    <w:rsid w:val="73E33F6B"/>
    <w:rsid w:val="73F41B79"/>
    <w:rsid w:val="73FD362A"/>
    <w:rsid w:val="7400407A"/>
    <w:rsid w:val="74024C92"/>
    <w:rsid w:val="74026DAF"/>
    <w:rsid w:val="7404165D"/>
    <w:rsid w:val="740874E9"/>
    <w:rsid w:val="740C6EC3"/>
    <w:rsid w:val="740D2C3B"/>
    <w:rsid w:val="74117BFA"/>
    <w:rsid w:val="74122000"/>
    <w:rsid w:val="741300E6"/>
    <w:rsid w:val="74163B61"/>
    <w:rsid w:val="741E793C"/>
    <w:rsid w:val="742F670E"/>
    <w:rsid w:val="74320189"/>
    <w:rsid w:val="74373E4B"/>
    <w:rsid w:val="7439758C"/>
    <w:rsid w:val="743C07A0"/>
    <w:rsid w:val="743C0E2B"/>
    <w:rsid w:val="743E4BA3"/>
    <w:rsid w:val="74472D15"/>
    <w:rsid w:val="7447614D"/>
    <w:rsid w:val="744A3547"/>
    <w:rsid w:val="744E01A1"/>
    <w:rsid w:val="74546813"/>
    <w:rsid w:val="745B3564"/>
    <w:rsid w:val="745E3944"/>
    <w:rsid w:val="746740F9"/>
    <w:rsid w:val="746810AB"/>
    <w:rsid w:val="746A5998"/>
    <w:rsid w:val="746B43D6"/>
    <w:rsid w:val="746E79C9"/>
    <w:rsid w:val="747B2D9D"/>
    <w:rsid w:val="748051BB"/>
    <w:rsid w:val="748120E1"/>
    <w:rsid w:val="748266FB"/>
    <w:rsid w:val="74890514"/>
    <w:rsid w:val="748C590E"/>
    <w:rsid w:val="748D65F7"/>
    <w:rsid w:val="74911B39"/>
    <w:rsid w:val="74A0585D"/>
    <w:rsid w:val="74A159D4"/>
    <w:rsid w:val="74A964C0"/>
    <w:rsid w:val="74AA17A8"/>
    <w:rsid w:val="74AB772E"/>
    <w:rsid w:val="74AE7F7A"/>
    <w:rsid w:val="74B3733F"/>
    <w:rsid w:val="74B86703"/>
    <w:rsid w:val="74C27582"/>
    <w:rsid w:val="74C2766E"/>
    <w:rsid w:val="74CD4160"/>
    <w:rsid w:val="74DB6895"/>
    <w:rsid w:val="74E90FB2"/>
    <w:rsid w:val="74EC45FF"/>
    <w:rsid w:val="74EE65C9"/>
    <w:rsid w:val="74F00593"/>
    <w:rsid w:val="74F17E67"/>
    <w:rsid w:val="74FA1000"/>
    <w:rsid w:val="74FC30EB"/>
    <w:rsid w:val="74FD680C"/>
    <w:rsid w:val="75061B64"/>
    <w:rsid w:val="750951B1"/>
    <w:rsid w:val="750B0F29"/>
    <w:rsid w:val="750E0A19"/>
    <w:rsid w:val="750E6C6B"/>
    <w:rsid w:val="7513602F"/>
    <w:rsid w:val="75137DDD"/>
    <w:rsid w:val="75181898"/>
    <w:rsid w:val="751B4A79"/>
    <w:rsid w:val="751C1388"/>
    <w:rsid w:val="751C3136"/>
    <w:rsid w:val="751D6EAE"/>
    <w:rsid w:val="75287D2D"/>
    <w:rsid w:val="752913AF"/>
    <w:rsid w:val="7530273D"/>
    <w:rsid w:val="75306BE1"/>
    <w:rsid w:val="75357D54"/>
    <w:rsid w:val="753A7A60"/>
    <w:rsid w:val="75427091"/>
    <w:rsid w:val="75446A02"/>
    <w:rsid w:val="755503F6"/>
    <w:rsid w:val="75581C94"/>
    <w:rsid w:val="755A3C5E"/>
    <w:rsid w:val="756260EC"/>
    <w:rsid w:val="75670EBC"/>
    <w:rsid w:val="756D762F"/>
    <w:rsid w:val="75726184"/>
    <w:rsid w:val="757A422E"/>
    <w:rsid w:val="757D16FB"/>
    <w:rsid w:val="75862CA5"/>
    <w:rsid w:val="75890382"/>
    <w:rsid w:val="758B206A"/>
    <w:rsid w:val="75907680"/>
    <w:rsid w:val="759233F8"/>
    <w:rsid w:val="759610FA"/>
    <w:rsid w:val="759929D8"/>
    <w:rsid w:val="75A153E9"/>
    <w:rsid w:val="75A31161"/>
    <w:rsid w:val="75A373B3"/>
    <w:rsid w:val="75AB4B6F"/>
    <w:rsid w:val="75B01AD0"/>
    <w:rsid w:val="75B570E6"/>
    <w:rsid w:val="75B67753"/>
    <w:rsid w:val="75BE243F"/>
    <w:rsid w:val="75BF1D13"/>
    <w:rsid w:val="75C31803"/>
    <w:rsid w:val="75C53AE9"/>
    <w:rsid w:val="75D63564"/>
    <w:rsid w:val="75DE663D"/>
    <w:rsid w:val="75E76FA0"/>
    <w:rsid w:val="75E87ABF"/>
    <w:rsid w:val="75EB1C30"/>
    <w:rsid w:val="75EC3889"/>
    <w:rsid w:val="75ED4816"/>
    <w:rsid w:val="75F25C45"/>
    <w:rsid w:val="75F342DF"/>
    <w:rsid w:val="75F61BD9"/>
    <w:rsid w:val="75F628F1"/>
    <w:rsid w:val="75F75951"/>
    <w:rsid w:val="75F776FF"/>
    <w:rsid w:val="76045EEF"/>
    <w:rsid w:val="760B42C6"/>
    <w:rsid w:val="760F67F7"/>
    <w:rsid w:val="761262E7"/>
    <w:rsid w:val="7614205F"/>
    <w:rsid w:val="76146D29"/>
    <w:rsid w:val="761A519B"/>
    <w:rsid w:val="761D18D1"/>
    <w:rsid w:val="76257DC8"/>
    <w:rsid w:val="7630676D"/>
    <w:rsid w:val="7635099D"/>
    <w:rsid w:val="76391AC6"/>
    <w:rsid w:val="763A57CD"/>
    <w:rsid w:val="763C15B6"/>
    <w:rsid w:val="763C5112"/>
    <w:rsid w:val="76421CC3"/>
    <w:rsid w:val="76435882"/>
    <w:rsid w:val="76474029"/>
    <w:rsid w:val="764B208E"/>
    <w:rsid w:val="76515061"/>
    <w:rsid w:val="7654316F"/>
    <w:rsid w:val="76544D27"/>
    <w:rsid w:val="766308F1"/>
    <w:rsid w:val="766905FD"/>
    <w:rsid w:val="766A1C7F"/>
    <w:rsid w:val="766F7295"/>
    <w:rsid w:val="7671300D"/>
    <w:rsid w:val="767B34F7"/>
    <w:rsid w:val="767C19B2"/>
    <w:rsid w:val="767F7401"/>
    <w:rsid w:val="768418C9"/>
    <w:rsid w:val="76911902"/>
    <w:rsid w:val="76946CFC"/>
    <w:rsid w:val="76960CC6"/>
    <w:rsid w:val="769610CE"/>
    <w:rsid w:val="769D2054"/>
    <w:rsid w:val="76A258BD"/>
    <w:rsid w:val="76A553AD"/>
    <w:rsid w:val="76A71125"/>
    <w:rsid w:val="76A77224"/>
    <w:rsid w:val="76B13D52"/>
    <w:rsid w:val="76CA0970"/>
    <w:rsid w:val="76CC0B8C"/>
    <w:rsid w:val="76CC6DCF"/>
    <w:rsid w:val="76D250B9"/>
    <w:rsid w:val="76D637B8"/>
    <w:rsid w:val="76DD68F5"/>
    <w:rsid w:val="76DE441B"/>
    <w:rsid w:val="76DE4B6E"/>
    <w:rsid w:val="76E01F41"/>
    <w:rsid w:val="76E25CB9"/>
    <w:rsid w:val="76E65CFC"/>
    <w:rsid w:val="76E75378"/>
    <w:rsid w:val="76EA1012"/>
    <w:rsid w:val="76EA2DC0"/>
    <w:rsid w:val="76EC08E6"/>
    <w:rsid w:val="76EC4D8A"/>
    <w:rsid w:val="76F8372F"/>
    <w:rsid w:val="76FB0BB2"/>
    <w:rsid w:val="76FE38AE"/>
    <w:rsid w:val="77053C2F"/>
    <w:rsid w:val="770C7395"/>
    <w:rsid w:val="77144946"/>
    <w:rsid w:val="77161D85"/>
    <w:rsid w:val="77194323"/>
    <w:rsid w:val="771D3274"/>
    <w:rsid w:val="772207AC"/>
    <w:rsid w:val="77291B3A"/>
    <w:rsid w:val="772A3918"/>
    <w:rsid w:val="772C33D8"/>
    <w:rsid w:val="77334E1C"/>
    <w:rsid w:val="77381D7D"/>
    <w:rsid w:val="77387FCF"/>
    <w:rsid w:val="774150D6"/>
    <w:rsid w:val="77423386"/>
    <w:rsid w:val="77470212"/>
    <w:rsid w:val="774E15A1"/>
    <w:rsid w:val="77521091"/>
    <w:rsid w:val="775A6479"/>
    <w:rsid w:val="775A7F45"/>
    <w:rsid w:val="775C3CBE"/>
    <w:rsid w:val="77601ABD"/>
    <w:rsid w:val="77626DFA"/>
    <w:rsid w:val="77655696"/>
    <w:rsid w:val="776768B8"/>
    <w:rsid w:val="77690189"/>
    <w:rsid w:val="776E579F"/>
    <w:rsid w:val="777059BB"/>
    <w:rsid w:val="77762421"/>
    <w:rsid w:val="77811976"/>
    <w:rsid w:val="77822FF8"/>
    <w:rsid w:val="778E33FA"/>
    <w:rsid w:val="778F713D"/>
    <w:rsid w:val="779B7F76"/>
    <w:rsid w:val="779C67B0"/>
    <w:rsid w:val="77A1214E"/>
    <w:rsid w:val="77A20EA6"/>
    <w:rsid w:val="77A20F29"/>
    <w:rsid w:val="77AB2769"/>
    <w:rsid w:val="77B27D81"/>
    <w:rsid w:val="77B55C6E"/>
    <w:rsid w:val="77B56B1F"/>
    <w:rsid w:val="77B67A3B"/>
    <w:rsid w:val="77BA09E4"/>
    <w:rsid w:val="77BF249E"/>
    <w:rsid w:val="77C11D73"/>
    <w:rsid w:val="77C27899"/>
    <w:rsid w:val="77C33D3D"/>
    <w:rsid w:val="77C655DB"/>
    <w:rsid w:val="77C74EAF"/>
    <w:rsid w:val="77CA3DF5"/>
    <w:rsid w:val="77D0645A"/>
    <w:rsid w:val="77D42760"/>
    <w:rsid w:val="77D73344"/>
    <w:rsid w:val="77DD3719"/>
    <w:rsid w:val="77DF044B"/>
    <w:rsid w:val="77E15873"/>
    <w:rsid w:val="77E73D80"/>
    <w:rsid w:val="77E870CC"/>
    <w:rsid w:val="77E912C9"/>
    <w:rsid w:val="77EB6DF0"/>
    <w:rsid w:val="77F170A1"/>
    <w:rsid w:val="77F21E93"/>
    <w:rsid w:val="77FB58FA"/>
    <w:rsid w:val="77FB6097"/>
    <w:rsid w:val="780659D7"/>
    <w:rsid w:val="780879A1"/>
    <w:rsid w:val="780C15E4"/>
    <w:rsid w:val="780D4FB8"/>
    <w:rsid w:val="780F09F4"/>
    <w:rsid w:val="78117D2B"/>
    <w:rsid w:val="78167E11"/>
    <w:rsid w:val="78300CA6"/>
    <w:rsid w:val="783178E9"/>
    <w:rsid w:val="783918FE"/>
    <w:rsid w:val="783C3AEF"/>
    <w:rsid w:val="783F4B4D"/>
    <w:rsid w:val="7840713B"/>
    <w:rsid w:val="78412EB3"/>
    <w:rsid w:val="7847671C"/>
    <w:rsid w:val="784A5D53"/>
    <w:rsid w:val="785E75C1"/>
    <w:rsid w:val="7860158C"/>
    <w:rsid w:val="78607B20"/>
    <w:rsid w:val="78634D4E"/>
    <w:rsid w:val="786F5C73"/>
    <w:rsid w:val="78774B27"/>
    <w:rsid w:val="787B0173"/>
    <w:rsid w:val="787C46D7"/>
    <w:rsid w:val="787E1A12"/>
    <w:rsid w:val="7883527A"/>
    <w:rsid w:val="78882890"/>
    <w:rsid w:val="78917997"/>
    <w:rsid w:val="78964FAD"/>
    <w:rsid w:val="78A56B0B"/>
    <w:rsid w:val="78A90480"/>
    <w:rsid w:val="78AA291C"/>
    <w:rsid w:val="78AA3873"/>
    <w:rsid w:val="78AC47D1"/>
    <w:rsid w:val="78AC6557"/>
    <w:rsid w:val="78B255D8"/>
    <w:rsid w:val="78B34839"/>
    <w:rsid w:val="78B5796E"/>
    <w:rsid w:val="78B6564F"/>
    <w:rsid w:val="78BE7880"/>
    <w:rsid w:val="78C0027C"/>
    <w:rsid w:val="78C22B8B"/>
    <w:rsid w:val="78C80171"/>
    <w:rsid w:val="78D62BB8"/>
    <w:rsid w:val="78D67AA0"/>
    <w:rsid w:val="78E21FA1"/>
    <w:rsid w:val="78F47F26"/>
    <w:rsid w:val="78FA19E0"/>
    <w:rsid w:val="78FD327E"/>
    <w:rsid w:val="79017C72"/>
    <w:rsid w:val="790348AF"/>
    <w:rsid w:val="790659B9"/>
    <w:rsid w:val="79144124"/>
    <w:rsid w:val="7919798C"/>
    <w:rsid w:val="793332B7"/>
    <w:rsid w:val="79346574"/>
    <w:rsid w:val="79415B65"/>
    <w:rsid w:val="794738BD"/>
    <w:rsid w:val="79517126"/>
    <w:rsid w:val="79537342"/>
    <w:rsid w:val="795D1F6F"/>
    <w:rsid w:val="795F45B5"/>
    <w:rsid w:val="795F7AAC"/>
    <w:rsid w:val="796074F6"/>
    <w:rsid w:val="796B01E8"/>
    <w:rsid w:val="797057FE"/>
    <w:rsid w:val="7972545C"/>
    <w:rsid w:val="79751067"/>
    <w:rsid w:val="79872B48"/>
    <w:rsid w:val="798B6F10"/>
    <w:rsid w:val="798E037A"/>
    <w:rsid w:val="799047BF"/>
    <w:rsid w:val="799A0ACD"/>
    <w:rsid w:val="799D3D5D"/>
    <w:rsid w:val="79AB19B4"/>
    <w:rsid w:val="79AD6A52"/>
    <w:rsid w:val="79AE6475"/>
    <w:rsid w:val="79B06543"/>
    <w:rsid w:val="79C04384"/>
    <w:rsid w:val="79C30024"/>
    <w:rsid w:val="79CC4DBC"/>
    <w:rsid w:val="79CD11EC"/>
    <w:rsid w:val="79D044EF"/>
    <w:rsid w:val="79D078B1"/>
    <w:rsid w:val="79D12015"/>
    <w:rsid w:val="79D53210"/>
    <w:rsid w:val="79DF2984"/>
    <w:rsid w:val="79E45A4B"/>
    <w:rsid w:val="79E85CDC"/>
    <w:rsid w:val="79EE1F55"/>
    <w:rsid w:val="79F67FBE"/>
    <w:rsid w:val="79F71A7C"/>
    <w:rsid w:val="79F933AC"/>
    <w:rsid w:val="7A016D9E"/>
    <w:rsid w:val="7A066163"/>
    <w:rsid w:val="7A0E5481"/>
    <w:rsid w:val="7A110D53"/>
    <w:rsid w:val="7A197CD0"/>
    <w:rsid w:val="7A1A1C0E"/>
    <w:rsid w:val="7A1F7224"/>
    <w:rsid w:val="7A246147"/>
    <w:rsid w:val="7A266805"/>
    <w:rsid w:val="7A2D1941"/>
    <w:rsid w:val="7A2E61A1"/>
    <w:rsid w:val="7A364017"/>
    <w:rsid w:val="7A3F3423"/>
    <w:rsid w:val="7A427685"/>
    <w:rsid w:val="7A4339D0"/>
    <w:rsid w:val="7A462A03"/>
    <w:rsid w:val="7A4D4A59"/>
    <w:rsid w:val="7A4E467C"/>
    <w:rsid w:val="7A566F45"/>
    <w:rsid w:val="7A5B3466"/>
    <w:rsid w:val="7A6B6017"/>
    <w:rsid w:val="7A745707"/>
    <w:rsid w:val="7A751BAF"/>
    <w:rsid w:val="7A7C01D3"/>
    <w:rsid w:val="7A8265E1"/>
    <w:rsid w:val="7A8316F8"/>
    <w:rsid w:val="7A866BA8"/>
    <w:rsid w:val="7A9D1AC4"/>
    <w:rsid w:val="7AA65250"/>
    <w:rsid w:val="7AAC4033"/>
    <w:rsid w:val="7ACA1F6C"/>
    <w:rsid w:val="7ACC2F08"/>
    <w:rsid w:val="7AD61FD9"/>
    <w:rsid w:val="7AD63D87"/>
    <w:rsid w:val="7AE00762"/>
    <w:rsid w:val="7AE70D64"/>
    <w:rsid w:val="7AE71AF0"/>
    <w:rsid w:val="7AE75F94"/>
    <w:rsid w:val="7AE83ABA"/>
    <w:rsid w:val="7AEA15E0"/>
    <w:rsid w:val="7AEA1CF5"/>
    <w:rsid w:val="7AEA338E"/>
    <w:rsid w:val="7AEF4E49"/>
    <w:rsid w:val="7AF025F3"/>
    <w:rsid w:val="7AFD57B8"/>
    <w:rsid w:val="7AFE508C"/>
    <w:rsid w:val="7B033ECF"/>
    <w:rsid w:val="7B0A57DF"/>
    <w:rsid w:val="7B0C59FB"/>
    <w:rsid w:val="7B0F0886"/>
    <w:rsid w:val="7B0F54EB"/>
    <w:rsid w:val="7B132D5F"/>
    <w:rsid w:val="7B1E128A"/>
    <w:rsid w:val="7B1E4B28"/>
    <w:rsid w:val="7B2014A6"/>
    <w:rsid w:val="7B264EA2"/>
    <w:rsid w:val="7B2C39A7"/>
    <w:rsid w:val="7B3F5E27"/>
    <w:rsid w:val="7B407452"/>
    <w:rsid w:val="7B450F0D"/>
    <w:rsid w:val="7B4A207F"/>
    <w:rsid w:val="7B511DD7"/>
    <w:rsid w:val="7B51340D"/>
    <w:rsid w:val="7B533629"/>
    <w:rsid w:val="7B536393"/>
    <w:rsid w:val="7B580C40"/>
    <w:rsid w:val="7B671128"/>
    <w:rsid w:val="7B686D42"/>
    <w:rsid w:val="7B690757"/>
    <w:rsid w:val="7B6B0973"/>
    <w:rsid w:val="7B7610C6"/>
    <w:rsid w:val="7B841746"/>
    <w:rsid w:val="7B841A35"/>
    <w:rsid w:val="7B851309"/>
    <w:rsid w:val="7B871525"/>
    <w:rsid w:val="7B8B5094"/>
    <w:rsid w:val="7B976652"/>
    <w:rsid w:val="7B9A4A9E"/>
    <w:rsid w:val="7BA06D64"/>
    <w:rsid w:val="7BA268EC"/>
    <w:rsid w:val="7BA34EC4"/>
    <w:rsid w:val="7BA368AC"/>
    <w:rsid w:val="7BA479A7"/>
    <w:rsid w:val="7BA83A92"/>
    <w:rsid w:val="7BA84054"/>
    <w:rsid w:val="7BAC2D3A"/>
    <w:rsid w:val="7BB0282A"/>
    <w:rsid w:val="7BB56FDB"/>
    <w:rsid w:val="7BBB2819"/>
    <w:rsid w:val="7BC6204D"/>
    <w:rsid w:val="7BC6310D"/>
    <w:rsid w:val="7BCB1412"/>
    <w:rsid w:val="7BCB31C0"/>
    <w:rsid w:val="7BCC0CE6"/>
    <w:rsid w:val="7BCC5EB6"/>
    <w:rsid w:val="7BD007D6"/>
    <w:rsid w:val="7BD22797"/>
    <w:rsid w:val="7BD24AEC"/>
    <w:rsid w:val="7BD55DED"/>
    <w:rsid w:val="7BE40725"/>
    <w:rsid w:val="7BE44C99"/>
    <w:rsid w:val="7BE67FFA"/>
    <w:rsid w:val="7BE93B15"/>
    <w:rsid w:val="7BEA21EF"/>
    <w:rsid w:val="7BEC1388"/>
    <w:rsid w:val="7BED7F97"/>
    <w:rsid w:val="7BFE0DB3"/>
    <w:rsid w:val="7BFF2E69"/>
    <w:rsid w:val="7C0D22DA"/>
    <w:rsid w:val="7C10161B"/>
    <w:rsid w:val="7C142DB9"/>
    <w:rsid w:val="7C1708CD"/>
    <w:rsid w:val="7C18035B"/>
    <w:rsid w:val="7C1903CF"/>
    <w:rsid w:val="7C217284"/>
    <w:rsid w:val="7C330F03"/>
    <w:rsid w:val="7C38637B"/>
    <w:rsid w:val="7C39281F"/>
    <w:rsid w:val="7C3B3EC8"/>
    <w:rsid w:val="7C3C1278"/>
    <w:rsid w:val="7C3F3BAE"/>
    <w:rsid w:val="7C4411C4"/>
    <w:rsid w:val="7C613B24"/>
    <w:rsid w:val="7C684EB3"/>
    <w:rsid w:val="7C686C61"/>
    <w:rsid w:val="7C6C5AC7"/>
    <w:rsid w:val="7C741AA9"/>
    <w:rsid w:val="7C795A0F"/>
    <w:rsid w:val="7C83739B"/>
    <w:rsid w:val="7C855A65"/>
    <w:rsid w:val="7C887303"/>
    <w:rsid w:val="7C8E4E1F"/>
    <w:rsid w:val="7C8F0691"/>
    <w:rsid w:val="7C966CA6"/>
    <w:rsid w:val="7C9B5288"/>
    <w:rsid w:val="7C9E5B84"/>
    <w:rsid w:val="7CA81753"/>
    <w:rsid w:val="7CAD6984"/>
    <w:rsid w:val="7CB2129F"/>
    <w:rsid w:val="7CB71996"/>
    <w:rsid w:val="7CBC18A7"/>
    <w:rsid w:val="7CBC6FAC"/>
    <w:rsid w:val="7CC6544B"/>
    <w:rsid w:val="7CD7278F"/>
    <w:rsid w:val="7CDB7267"/>
    <w:rsid w:val="7CDF5BDE"/>
    <w:rsid w:val="7CE2043D"/>
    <w:rsid w:val="7CE275B9"/>
    <w:rsid w:val="7CF60F14"/>
    <w:rsid w:val="7CF6267A"/>
    <w:rsid w:val="7CF70083"/>
    <w:rsid w:val="7CFE04D7"/>
    <w:rsid w:val="7D0239FF"/>
    <w:rsid w:val="7D055A9A"/>
    <w:rsid w:val="7D0746CC"/>
    <w:rsid w:val="7D0821F2"/>
    <w:rsid w:val="7D1519D9"/>
    <w:rsid w:val="7D230DDA"/>
    <w:rsid w:val="7D276B1C"/>
    <w:rsid w:val="7D2A03BA"/>
    <w:rsid w:val="7D2C7C8E"/>
    <w:rsid w:val="7D2F777E"/>
    <w:rsid w:val="7D34296B"/>
    <w:rsid w:val="7D3923AB"/>
    <w:rsid w:val="7D3E4DCA"/>
    <w:rsid w:val="7D423956"/>
    <w:rsid w:val="7D425704"/>
    <w:rsid w:val="7D466226"/>
    <w:rsid w:val="7D4A0A5C"/>
    <w:rsid w:val="7D4E77B7"/>
    <w:rsid w:val="7D5E40CD"/>
    <w:rsid w:val="7D606B95"/>
    <w:rsid w:val="7D622800"/>
    <w:rsid w:val="7D6733BC"/>
    <w:rsid w:val="7D6869EF"/>
    <w:rsid w:val="7D6C2781"/>
    <w:rsid w:val="7D7B29C4"/>
    <w:rsid w:val="7D7B6E68"/>
    <w:rsid w:val="7D7F0706"/>
    <w:rsid w:val="7D817139"/>
    <w:rsid w:val="7D847ACA"/>
    <w:rsid w:val="7D87580C"/>
    <w:rsid w:val="7D902913"/>
    <w:rsid w:val="7D910439"/>
    <w:rsid w:val="7D913F95"/>
    <w:rsid w:val="7DA64F83"/>
    <w:rsid w:val="7DA95783"/>
    <w:rsid w:val="7DB36601"/>
    <w:rsid w:val="7DB83C18"/>
    <w:rsid w:val="7DBD2FDC"/>
    <w:rsid w:val="7DC4436B"/>
    <w:rsid w:val="7DCD56F2"/>
    <w:rsid w:val="7DD46B37"/>
    <w:rsid w:val="7DD52A07"/>
    <w:rsid w:val="7DDA593C"/>
    <w:rsid w:val="7DDE3EE3"/>
    <w:rsid w:val="7DE0510C"/>
    <w:rsid w:val="7DE3624F"/>
    <w:rsid w:val="7DEB0E20"/>
    <w:rsid w:val="7DEE3196"/>
    <w:rsid w:val="7DF35CC2"/>
    <w:rsid w:val="7DFF1847"/>
    <w:rsid w:val="7E24305B"/>
    <w:rsid w:val="7E265025"/>
    <w:rsid w:val="7E265CEC"/>
    <w:rsid w:val="7E372D8F"/>
    <w:rsid w:val="7E3E7A30"/>
    <w:rsid w:val="7E400363"/>
    <w:rsid w:val="7E490D14"/>
    <w:rsid w:val="7E5246DF"/>
    <w:rsid w:val="7E5259DD"/>
    <w:rsid w:val="7E561825"/>
    <w:rsid w:val="7E5A1236"/>
    <w:rsid w:val="7E5E5134"/>
    <w:rsid w:val="7E5F1BE0"/>
    <w:rsid w:val="7E755665"/>
    <w:rsid w:val="7E795155"/>
    <w:rsid w:val="7E7B517D"/>
    <w:rsid w:val="7E7C115E"/>
    <w:rsid w:val="7E7C4C45"/>
    <w:rsid w:val="7E7F0292"/>
    <w:rsid w:val="7E7F0A31"/>
    <w:rsid w:val="7E9417C7"/>
    <w:rsid w:val="7EAD4DFF"/>
    <w:rsid w:val="7EAF501B"/>
    <w:rsid w:val="7EB234A3"/>
    <w:rsid w:val="7EB663A9"/>
    <w:rsid w:val="7EBA1BCA"/>
    <w:rsid w:val="7EBA751C"/>
    <w:rsid w:val="7EBE2FD0"/>
    <w:rsid w:val="7EC036FA"/>
    <w:rsid w:val="7EC115A0"/>
    <w:rsid w:val="7EC65EC0"/>
    <w:rsid w:val="7EC837CE"/>
    <w:rsid w:val="7ECF1219"/>
    <w:rsid w:val="7ECF60B0"/>
    <w:rsid w:val="7ED44A81"/>
    <w:rsid w:val="7EDD17F1"/>
    <w:rsid w:val="7EE07DCE"/>
    <w:rsid w:val="7EE22F44"/>
    <w:rsid w:val="7EE33B7E"/>
    <w:rsid w:val="7EE52395"/>
    <w:rsid w:val="7EEC135F"/>
    <w:rsid w:val="7EFB0260"/>
    <w:rsid w:val="7EFE1AFE"/>
    <w:rsid w:val="7F001CE7"/>
    <w:rsid w:val="7F035AEF"/>
    <w:rsid w:val="7F0C421B"/>
    <w:rsid w:val="7F141322"/>
    <w:rsid w:val="7F17671C"/>
    <w:rsid w:val="7F1A4CA9"/>
    <w:rsid w:val="7F1B620C"/>
    <w:rsid w:val="7F1D01D6"/>
    <w:rsid w:val="7F1E7AAB"/>
    <w:rsid w:val="7F2350C1"/>
    <w:rsid w:val="7F277C05"/>
    <w:rsid w:val="7F2D7CEE"/>
    <w:rsid w:val="7F4A6AF1"/>
    <w:rsid w:val="7F4E570E"/>
    <w:rsid w:val="7F606DDB"/>
    <w:rsid w:val="7F686F78"/>
    <w:rsid w:val="7F6C2F0C"/>
    <w:rsid w:val="7F6D458E"/>
    <w:rsid w:val="7F736048"/>
    <w:rsid w:val="7F743B6E"/>
    <w:rsid w:val="7F8042C1"/>
    <w:rsid w:val="7F845B6A"/>
    <w:rsid w:val="7F88755C"/>
    <w:rsid w:val="7F983D01"/>
    <w:rsid w:val="7F9D45D1"/>
    <w:rsid w:val="7FA2692E"/>
    <w:rsid w:val="7FAB3A34"/>
    <w:rsid w:val="7FAC3308"/>
    <w:rsid w:val="7FB14DC3"/>
    <w:rsid w:val="7FBD72C3"/>
    <w:rsid w:val="7FBE4DEA"/>
    <w:rsid w:val="7FC40C32"/>
    <w:rsid w:val="7FC423E0"/>
    <w:rsid w:val="7FCD0361"/>
    <w:rsid w:val="7FCF160C"/>
    <w:rsid w:val="7FD2474A"/>
    <w:rsid w:val="7FD56320"/>
    <w:rsid w:val="7FD91FF5"/>
    <w:rsid w:val="7FE47E50"/>
    <w:rsid w:val="7FE54879"/>
    <w:rsid w:val="7FE9455C"/>
    <w:rsid w:val="7FED08D2"/>
    <w:rsid w:val="7FF07699"/>
    <w:rsid w:val="7FF1407D"/>
    <w:rsid w:val="7FF505E8"/>
    <w:rsid w:val="7FF56120"/>
    <w:rsid w:val="7FFD698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qFormat="1"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99"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35" w:semiHidden="0" w:name="caption" w:locked="1"/>
    <w:lsdException w:qFormat="1"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iPriority="99"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unhideWhenUsed="0" w:uiPriority="0" w:semiHidden="0" w:name="Body Text First Indent" w:locked="1"/>
    <w:lsdException w:qFormat="1" w:unhideWhenUsed="0" w:uiPriority="99"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1"/>
    <w:next w:val="1"/>
    <w:qFormat/>
    <w:locked/>
    <w:uiPriority w:val="0"/>
    <w:pPr>
      <w:keepNext/>
      <w:spacing w:line="360" w:lineRule="auto"/>
      <w:outlineLvl w:val="1"/>
    </w:pPr>
    <w:rPr>
      <w:sz w:val="28"/>
    </w:rPr>
  </w:style>
  <w:style w:type="paragraph" w:styleId="4">
    <w:name w:val="heading 3"/>
    <w:basedOn w:val="1"/>
    <w:next w:val="1"/>
    <w:qFormat/>
    <w:locked/>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qFormat/>
    <w:locked/>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7">
    <w:name w:val="Default Paragraph Font"/>
    <w:semiHidden/>
    <w:qFormat/>
    <w:uiPriority w:val="0"/>
  </w:style>
  <w:style w:type="table" w:default="1" w:styleId="25">
    <w:name w:val="Normal Table"/>
    <w:semiHidden/>
    <w:qFormat/>
    <w:uiPriority w:val="0"/>
    <w:tblPr>
      <w:tblCellMar>
        <w:top w:w="0" w:type="dxa"/>
        <w:left w:w="108" w:type="dxa"/>
        <w:bottom w:w="0" w:type="dxa"/>
        <w:right w:w="108" w:type="dxa"/>
      </w:tblCellMar>
    </w:tblPr>
  </w:style>
  <w:style w:type="paragraph" w:styleId="6">
    <w:name w:val="Normal Indent"/>
    <w:basedOn w:val="1"/>
    <w:next w:val="1"/>
    <w:qFormat/>
    <w:locked/>
    <w:uiPriority w:val="99"/>
    <w:pPr>
      <w:ind w:firstLine="420"/>
    </w:pPr>
    <w:rPr>
      <w:sz w:val="24"/>
      <w:szCs w:val="20"/>
    </w:rPr>
  </w:style>
  <w:style w:type="paragraph" w:styleId="7">
    <w:name w:val="caption"/>
    <w:basedOn w:val="1"/>
    <w:next w:val="1"/>
    <w:qFormat/>
    <w:locked/>
    <w:uiPriority w:val="35"/>
    <w:rPr>
      <w:rFonts w:ascii="Arial" w:hAnsi="Arial" w:eastAsia="黑体"/>
      <w:sz w:val="20"/>
    </w:rPr>
  </w:style>
  <w:style w:type="paragraph" w:styleId="8">
    <w:name w:val="annotation text"/>
    <w:basedOn w:val="1"/>
    <w:link w:val="33"/>
    <w:semiHidden/>
    <w:qFormat/>
    <w:uiPriority w:val="0"/>
    <w:pPr>
      <w:jc w:val="left"/>
    </w:pPr>
    <w:rPr>
      <w:kern w:val="0"/>
      <w:sz w:val="24"/>
      <w:szCs w:val="20"/>
    </w:rPr>
  </w:style>
  <w:style w:type="paragraph" w:styleId="9">
    <w:name w:val="Body Text"/>
    <w:basedOn w:val="1"/>
    <w:link w:val="32"/>
    <w:qFormat/>
    <w:uiPriority w:val="0"/>
    <w:pPr>
      <w:widowControl/>
      <w:snapToGrid w:val="0"/>
      <w:spacing w:before="60" w:after="160" w:line="259" w:lineRule="auto"/>
      <w:ind w:right="113"/>
    </w:pPr>
    <w:rPr>
      <w:kern w:val="0"/>
      <w:sz w:val="18"/>
      <w:szCs w:val="20"/>
    </w:rPr>
  </w:style>
  <w:style w:type="paragraph" w:styleId="10">
    <w:name w:val="Body Text Indent"/>
    <w:basedOn w:val="1"/>
    <w:link w:val="34"/>
    <w:qFormat/>
    <w:uiPriority w:val="0"/>
    <w:pPr>
      <w:spacing w:after="120"/>
      <w:ind w:left="420" w:leftChars="200"/>
    </w:pPr>
    <w:rPr>
      <w:kern w:val="0"/>
      <w:sz w:val="24"/>
      <w:szCs w:val="20"/>
    </w:rPr>
  </w:style>
  <w:style w:type="paragraph" w:styleId="11">
    <w:name w:val="Block Text"/>
    <w:basedOn w:val="1"/>
    <w:next w:val="1"/>
    <w:qFormat/>
    <w:locked/>
    <w:uiPriority w:val="0"/>
    <w:pPr>
      <w:autoSpaceDE w:val="0"/>
      <w:autoSpaceDN w:val="0"/>
      <w:adjustRightInd w:val="0"/>
      <w:spacing w:line="480" w:lineRule="auto"/>
      <w:ind w:left="57" w:right="57" w:firstLine="570"/>
    </w:pPr>
    <w:rPr>
      <w:rFonts w:hint="eastAsia" w:ascii="仿宋_GB2312" w:hAnsi="宋体" w:eastAsia="仿宋_GB2312"/>
      <w:b/>
      <w:color w:val="000000"/>
      <w:kern w:val="0"/>
      <w:sz w:val="28"/>
      <w:szCs w:val="20"/>
    </w:rPr>
  </w:style>
  <w:style w:type="paragraph" w:styleId="12">
    <w:name w:val="Plain Text"/>
    <w:basedOn w:val="1"/>
    <w:qFormat/>
    <w:locked/>
    <w:uiPriority w:val="0"/>
    <w:rPr>
      <w:rFonts w:ascii="宋体" w:hAnsi="Courier New" w:cs="Courier New"/>
      <w:szCs w:val="21"/>
    </w:rPr>
  </w:style>
  <w:style w:type="paragraph" w:styleId="13">
    <w:name w:val="Date"/>
    <w:basedOn w:val="1"/>
    <w:next w:val="1"/>
    <w:link w:val="35"/>
    <w:qFormat/>
    <w:uiPriority w:val="0"/>
    <w:pPr>
      <w:ind w:left="100" w:leftChars="2500"/>
    </w:pPr>
    <w:rPr>
      <w:kern w:val="0"/>
      <w:sz w:val="24"/>
      <w:szCs w:val="20"/>
    </w:rPr>
  </w:style>
  <w:style w:type="paragraph" w:styleId="14">
    <w:name w:val="Body Text Indent 2"/>
    <w:basedOn w:val="1"/>
    <w:link w:val="36"/>
    <w:qFormat/>
    <w:locked/>
    <w:uiPriority w:val="0"/>
    <w:pPr>
      <w:spacing w:after="120" w:line="480" w:lineRule="auto"/>
      <w:ind w:left="420" w:leftChars="200"/>
    </w:pPr>
  </w:style>
  <w:style w:type="paragraph" w:styleId="15">
    <w:name w:val="Balloon Text"/>
    <w:basedOn w:val="1"/>
    <w:link w:val="37"/>
    <w:semiHidden/>
    <w:qFormat/>
    <w:uiPriority w:val="0"/>
    <w:rPr>
      <w:kern w:val="0"/>
      <w:sz w:val="18"/>
      <w:szCs w:val="20"/>
    </w:rPr>
  </w:style>
  <w:style w:type="paragraph" w:styleId="16">
    <w:name w:val="footer"/>
    <w:basedOn w:val="1"/>
    <w:link w:val="38"/>
    <w:qFormat/>
    <w:uiPriority w:val="99"/>
    <w:pPr>
      <w:tabs>
        <w:tab w:val="center" w:pos="4153"/>
        <w:tab w:val="right" w:pos="8306"/>
      </w:tabs>
      <w:snapToGrid w:val="0"/>
      <w:jc w:val="left"/>
    </w:pPr>
    <w:rPr>
      <w:kern w:val="0"/>
      <w:sz w:val="18"/>
      <w:szCs w:val="20"/>
    </w:rPr>
  </w:style>
  <w:style w:type="paragraph" w:styleId="17">
    <w:name w:val="header"/>
    <w:basedOn w:val="1"/>
    <w:link w:val="39"/>
    <w:qFormat/>
    <w:uiPriority w:val="0"/>
    <w:pPr>
      <w:pBdr>
        <w:bottom w:val="single" w:color="auto" w:sz="6" w:space="1"/>
      </w:pBdr>
      <w:tabs>
        <w:tab w:val="center" w:pos="4153"/>
        <w:tab w:val="right" w:pos="8306"/>
      </w:tabs>
      <w:snapToGrid w:val="0"/>
      <w:jc w:val="center"/>
    </w:pPr>
    <w:rPr>
      <w:kern w:val="0"/>
      <w:sz w:val="18"/>
      <w:szCs w:val="20"/>
    </w:rPr>
  </w:style>
  <w:style w:type="paragraph" w:styleId="18">
    <w:name w:val="List"/>
    <w:basedOn w:val="1"/>
    <w:unhideWhenUsed/>
    <w:qFormat/>
    <w:locked/>
    <w:uiPriority w:val="99"/>
    <w:pPr>
      <w:snapToGrid/>
      <w:spacing w:before="60" w:after="240" w:line="240" w:lineRule="atLeast"/>
      <w:ind w:left="360" w:hanging="360" w:firstLineChars="0"/>
      <w:textAlignment w:val="baseline"/>
    </w:pPr>
    <w:rPr>
      <w:b/>
      <w:spacing w:val="20"/>
      <w:kern w:val="0"/>
      <w:sz w:val="28"/>
      <w:szCs w:val="20"/>
    </w:rPr>
  </w:style>
  <w:style w:type="paragraph" w:styleId="19">
    <w:name w:val="toc 6"/>
    <w:basedOn w:val="1"/>
    <w:next w:val="1"/>
    <w:qFormat/>
    <w:locked/>
    <w:uiPriority w:val="0"/>
    <w:pPr>
      <w:ind w:left="1050"/>
      <w:jc w:val="left"/>
    </w:pPr>
    <w:rPr>
      <w:sz w:val="18"/>
      <w:szCs w:val="18"/>
    </w:rPr>
  </w:style>
  <w:style w:type="paragraph" w:styleId="20">
    <w:name w:val="Body Text Indent 3"/>
    <w:basedOn w:val="1"/>
    <w:qFormat/>
    <w:locked/>
    <w:uiPriority w:val="0"/>
    <w:pPr>
      <w:spacing w:line="360" w:lineRule="auto"/>
      <w:ind w:firstLine="480" w:firstLineChars="200"/>
    </w:pPr>
    <w:rPr>
      <w:sz w:val="24"/>
    </w:rPr>
  </w:style>
  <w:style w:type="paragraph" w:styleId="21">
    <w:name w:val="table of figures"/>
    <w:basedOn w:val="1"/>
    <w:next w:val="1"/>
    <w:qFormat/>
    <w:locked/>
    <w:uiPriority w:val="0"/>
    <w:pPr>
      <w:ind w:left="200" w:leftChars="200"/>
    </w:pPr>
    <w:rPr>
      <w:rFonts w:eastAsia="华文宋体"/>
      <w:sz w:val="27"/>
      <w:szCs w:val="20"/>
    </w:rPr>
  </w:style>
  <w:style w:type="paragraph" w:styleId="22">
    <w:name w:val="Normal (Web)"/>
    <w:basedOn w:val="1"/>
    <w:link w:val="40"/>
    <w:qFormat/>
    <w:uiPriority w:val="0"/>
    <w:pPr>
      <w:widowControl/>
      <w:spacing w:before="100" w:beforeAutospacing="1" w:after="100" w:afterAutospacing="1"/>
      <w:jc w:val="left"/>
    </w:pPr>
    <w:rPr>
      <w:rFonts w:ascii="宋体" w:hAnsi="宋体"/>
      <w:kern w:val="0"/>
      <w:sz w:val="24"/>
      <w:szCs w:val="20"/>
    </w:rPr>
  </w:style>
  <w:style w:type="paragraph" w:styleId="23">
    <w:name w:val="annotation subject"/>
    <w:basedOn w:val="8"/>
    <w:next w:val="8"/>
    <w:link w:val="41"/>
    <w:semiHidden/>
    <w:qFormat/>
    <w:uiPriority w:val="0"/>
    <w:rPr>
      <w:b/>
      <w:sz w:val="24"/>
      <w:szCs w:val="20"/>
    </w:rPr>
  </w:style>
  <w:style w:type="paragraph" w:styleId="24">
    <w:name w:val="Body Text First Indent 2"/>
    <w:basedOn w:val="10"/>
    <w:next w:val="1"/>
    <w:qFormat/>
    <w:locked/>
    <w:uiPriority w:val="99"/>
    <w:pPr>
      <w:spacing w:before="0" w:after="120"/>
      <w:ind w:left="420" w:leftChars="200" w:firstLine="420" w:firstLineChars="200"/>
    </w:pPr>
  </w:style>
  <w:style w:type="table" w:styleId="26">
    <w:name w:val="Table Grid"/>
    <w:basedOn w:val="25"/>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page number"/>
    <w:qFormat/>
    <w:locked/>
    <w:uiPriority w:val="0"/>
  </w:style>
  <w:style w:type="character" w:styleId="29">
    <w:name w:val="annotation reference"/>
    <w:semiHidden/>
    <w:qFormat/>
    <w:uiPriority w:val="0"/>
    <w:rPr>
      <w:sz w:val="21"/>
    </w:rPr>
  </w:style>
  <w:style w:type="paragraph" w:customStyle="1" w:styleId="30">
    <w:name w:val="正文首行缩进2"/>
    <w:basedOn w:val="14"/>
    <w:next w:val="1"/>
    <w:qFormat/>
    <w:uiPriority w:val="0"/>
    <w:pPr>
      <w:widowControl/>
      <w:spacing w:before="120" w:after="0" w:line="360" w:lineRule="auto"/>
      <w:ind w:left="0" w:leftChars="0" w:firstLine="527"/>
      <w:jc w:val="center"/>
    </w:pPr>
    <w:rPr>
      <w:rFonts w:ascii="宋体" w:hAnsi="宋体"/>
      <w:color w:val="000000"/>
      <w:kern w:val="0"/>
      <w:sz w:val="24"/>
      <w:szCs w:val="20"/>
      <w:lang w:bidi="en-US"/>
    </w:rPr>
  </w:style>
  <w:style w:type="paragraph" w:customStyle="1" w:styleId="31">
    <w:name w:val="表格"/>
    <w:basedOn w:val="10"/>
    <w:next w:val="1"/>
    <w:link w:val="42"/>
    <w:qFormat/>
    <w:uiPriority w:val="0"/>
    <w:pPr>
      <w:adjustRightInd w:val="0"/>
      <w:snapToGrid w:val="0"/>
      <w:spacing w:beforeLines="10" w:afterLines="10" w:line="259" w:lineRule="auto"/>
      <w:jc w:val="center"/>
    </w:pPr>
    <w:rPr>
      <w:rFonts w:ascii="宋体"/>
      <w:kern w:val="0"/>
      <w:szCs w:val="20"/>
    </w:rPr>
  </w:style>
  <w:style w:type="character" w:customStyle="1" w:styleId="32">
    <w:name w:val="正文文本 Char"/>
    <w:link w:val="9"/>
    <w:qFormat/>
    <w:locked/>
    <w:uiPriority w:val="0"/>
    <w:rPr>
      <w:sz w:val="18"/>
    </w:rPr>
  </w:style>
  <w:style w:type="character" w:customStyle="1" w:styleId="33">
    <w:name w:val="批注文字 Char"/>
    <w:link w:val="8"/>
    <w:qFormat/>
    <w:locked/>
    <w:uiPriority w:val="0"/>
    <w:rPr>
      <w:rFonts w:ascii="Times New Roman" w:hAnsi="Times New Roman" w:eastAsia="宋体"/>
      <w:sz w:val="24"/>
    </w:rPr>
  </w:style>
  <w:style w:type="character" w:customStyle="1" w:styleId="34">
    <w:name w:val="正文文本缩进 Char"/>
    <w:link w:val="10"/>
    <w:semiHidden/>
    <w:qFormat/>
    <w:locked/>
    <w:uiPriority w:val="0"/>
    <w:rPr>
      <w:rFonts w:ascii="Times New Roman" w:hAnsi="Times New Roman" w:eastAsia="宋体"/>
      <w:sz w:val="24"/>
    </w:rPr>
  </w:style>
  <w:style w:type="character" w:customStyle="1" w:styleId="35">
    <w:name w:val="日期 Char"/>
    <w:link w:val="13"/>
    <w:qFormat/>
    <w:locked/>
    <w:uiPriority w:val="0"/>
    <w:rPr>
      <w:rFonts w:ascii="Times New Roman" w:hAnsi="Times New Roman" w:eastAsia="宋体"/>
      <w:sz w:val="24"/>
    </w:rPr>
  </w:style>
  <w:style w:type="character" w:customStyle="1" w:styleId="36">
    <w:name w:val="正文文本缩进 2 Char"/>
    <w:link w:val="14"/>
    <w:qFormat/>
    <w:uiPriority w:val="0"/>
    <w:rPr>
      <w:kern w:val="2"/>
      <w:sz w:val="21"/>
      <w:szCs w:val="24"/>
    </w:rPr>
  </w:style>
  <w:style w:type="character" w:customStyle="1" w:styleId="37">
    <w:name w:val="批注框文本 Char"/>
    <w:link w:val="15"/>
    <w:semiHidden/>
    <w:qFormat/>
    <w:locked/>
    <w:uiPriority w:val="0"/>
    <w:rPr>
      <w:rFonts w:ascii="Times New Roman" w:hAnsi="Times New Roman" w:eastAsia="宋体"/>
      <w:sz w:val="18"/>
    </w:rPr>
  </w:style>
  <w:style w:type="character" w:customStyle="1" w:styleId="38">
    <w:name w:val="页脚 Char"/>
    <w:link w:val="16"/>
    <w:qFormat/>
    <w:locked/>
    <w:uiPriority w:val="99"/>
    <w:rPr>
      <w:sz w:val="18"/>
    </w:rPr>
  </w:style>
  <w:style w:type="character" w:customStyle="1" w:styleId="39">
    <w:name w:val="页眉 Char"/>
    <w:link w:val="17"/>
    <w:qFormat/>
    <w:locked/>
    <w:uiPriority w:val="0"/>
    <w:rPr>
      <w:sz w:val="18"/>
    </w:rPr>
  </w:style>
  <w:style w:type="character" w:customStyle="1" w:styleId="40">
    <w:name w:val="普通(网站) Char"/>
    <w:link w:val="22"/>
    <w:qFormat/>
    <w:locked/>
    <w:uiPriority w:val="0"/>
    <w:rPr>
      <w:rFonts w:ascii="宋体" w:hAnsi="宋体" w:eastAsia="宋体"/>
      <w:sz w:val="24"/>
    </w:rPr>
  </w:style>
  <w:style w:type="character" w:customStyle="1" w:styleId="41">
    <w:name w:val="批注主题 Char"/>
    <w:link w:val="23"/>
    <w:semiHidden/>
    <w:qFormat/>
    <w:locked/>
    <w:uiPriority w:val="0"/>
    <w:rPr>
      <w:rFonts w:ascii="Times New Roman" w:hAnsi="Times New Roman" w:eastAsia="宋体"/>
      <w:b/>
      <w:kern w:val="2"/>
      <w:sz w:val="24"/>
    </w:rPr>
  </w:style>
  <w:style w:type="character" w:customStyle="1" w:styleId="42">
    <w:name w:val="表格 Char"/>
    <w:link w:val="31"/>
    <w:qFormat/>
    <w:locked/>
    <w:uiPriority w:val="0"/>
    <w:rPr>
      <w:rFonts w:ascii="宋体"/>
      <w:sz w:val="21"/>
    </w:rPr>
  </w:style>
  <w:style w:type="paragraph" w:customStyle="1" w:styleId="43">
    <w:name w:val="正文首行"/>
    <w:basedOn w:val="6"/>
    <w:qFormat/>
    <w:uiPriority w:val="0"/>
    <w:pPr>
      <w:spacing w:line="480" w:lineRule="exact"/>
      <w:ind w:firstLine="200"/>
    </w:pPr>
  </w:style>
  <w:style w:type="paragraph" w:customStyle="1" w:styleId="44">
    <w:name w:val="Default"/>
    <w:basedOn w:val="45"/>
    <w:qFormat/>
    <w:uiPriority w:val="0"/>
    <w:pPr>
      <w:widowControl w:val="0"/>
      <w:autoSpaceDE w:val="0"/>
      <w:autoSpaceDN w:val="0"/>
      <w:adjustRightInd w:val="0"/>
    </w:pPr>
    <w:rPr>
      <w:rFonts w:ascii="宋体" w:hAnsi="Calibri" w:cs="宋体"/>
      <w:color w:val="000000"/>
      <w:sz w:val="24"/>
      <w:szCs w:val="24"/>
      <w:lang w:val="en-US" w:eastAsia="zh-CN" w:bidi="ar-SA"/>
    </w:rPr>
  </w:style>
  <w:style w:type="paragraph" w:customStyle="1" w:styleId="45">
    <w:name w:val="批注文字1"/>
    <w:qFormat/>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46">
    <w:name w:val="纯文本1"/>
    <w:basedOn w:val="1"/>
    <w:qFormat/>
    <w:uiPriority w:val="99"/>
    <w:pPr>
      <w:autoSpaceDE w:val="0"/>
      <w:autoSpaceDN w:val="0"/>
      <w:adjustRightInd w:val="0"/>
      <w:textAlignment w:val="baseline"/>
    </w:pPr>
    <w:rPr>
      <w:rFonts w:ascii="宋体"/>
      <w:szCs w:val="20"/>
    </w:rPr>
  </w:style>
  <w:style w:type="paragraph" w:customStyle="1" w:styleId="47">
    <w:name w:val="UserStyle_0"/>
    <w:qFormat/>
    <w:uiPriority w:val="0"/>
    <w:pPr>
      <w:textAlignment w:val="baseline"/>
    </w:pPr>
    <w:rPr>
      <w:rFonts w:ascii="宋体" w:hAnsi="Calibri" w:eastAsia="宋体" w:cs="Times New Roman"/>
      <w:color w:val="000000"/>
      <w:sz w:val="24"/>
      <w:szCs w:val="24"/>
      <w:lang w:val="en-US" w:eastAsia="zh-CN" w:bidi="ar-SA"/>
    </w:rPr>
  </w:style>
  <w:style w:type="character" w:customStyle="1" w:styleId="48">
    <w:name w:val="正文文本 Char Char"/>
    <w:qFormat/>
    <w:uiPriority w:val="0"/>
    <w:rPr>
      <w:rFonts w:ascii="宋体" w:eastAsia="宋体"/>
      <w:sz w:val="28"/>
      <w:lang w:val="en-US" w:eastAsia="zh-CN" w:bidi="ar-SA"/>
    </w:rPr>
  </w:style>
  <w:style w:type="character" w:customStyle="1" w:styleId="49">
    <w:name w:val="font01"/>
    <w:qFormat/>
    <w:uiPriority w:val="0"/>
    <w:rPr>
      <w:rFonts w:hint="eastAsia" w:ascii="宋体" w:hAnsi="宋体" w:eastAsia="宋体" w:cs="宋体"/>
      <w:color w:val="000000"/>
      <w:sz w:val="22"/>
      <w:szCs w:val="22"/>
      <w:u w:val="none"/>
      <w:vertAlign w:val="subscript"/>
    </w:rPr>
  </w:style>
  <w:style w:type="character" w:customStyle="1" w:styleId="50">
    <w:name w:val="页脚 字符"/>
    <w:qFormat/>
    <w:uiPriority w:val="99"/>
  </w:style>
  <w:style w:type="character" w:customStyle="1" w:styleId="51">
    <w:name w:val="font21"/>
    <w:qFormat/>
    <w:uiPriority w:val="0"/>
    <w:rPr>
      <w:rFonts w:hint="eastAsia" w:ascii="宋体" w:hAnsi="宋体" w:eastAsia="宋体" w:cs="宋体"/>
      <w:color w:val="000000"/>
      <w:sz w:val="22"/>
      <w:szCs w:val="22"/>
      <w:u w:val="none"/>
    </w:rPr>
  </w:style>
  <w:style w:type="character" w:customStyle="1" w:styleId="52">
    <w:name w:val="font11"/>
    <w:qFormat/>
    <w:uiPriority w:val="0"/>
    <w:rPr>
      <w:rFonts w:hint="eastAsia" w:ascii="宋体" w:hAnsi="宋体" w:eastAsia="宋体" w:cs="宋体"/>
      <w:color w:val="000000"/>
      <w:sz w:val="22"/>
      <w:szCs w:val="22"/>
      <w:u w:val="none"/>
    </w:rPr>
  </w:style>
  <w:style w:type="character" w:customStyle="1" w:styleId="53">
    <w:name w:val="日期 字符"/>
    <w:semiHidden/>
    <w:qFormat/>
    <w:uiPriority w:val="0"/>
    <w:rPr>
      <w:rFonts w:ascii="Times New Roman" w:hAnsi="Times New Roman" w:eastAsia="宋体"/>
      <w:sz w:val="24"/>
    </w:rPr>
  </w:style>
  <w:style w:type="character" w:customStyle="1" w:styleId="54">
    <w:name w:val="正文文本 字符1"/>
    <w:semiHidden/>
    <w:qFormat/>
    <w:uiPriority w:val="0"/>
    <w:rPr>
      <w:rFonts w:ascii="Times New Roman" w:hAnsi="Times New Roman" w:eastAsia="宋体"/>
      <w:sz w:val="24"/>
    </w:rPr>
  </w:style>
  <w:style w:type="character" w:customStyle="1" w:styleId="55">
    <w:name w:val="批注文字 字符1"/>
    <w:semiHidden/>
    <w:qFormat/>
    <w:uiPriority w:val="0"/>
    <w:rPr>
      <w:rFonts w:ascii="Times New Roman" w:hAnsi="Times New Roman" w:eastAsia="宋体"/>
      <w:sz w:val="24"/>
    </w:rPr>
  </w:style>
  <w:style w:type="paragraph" w:customStyle="1" w:styleId="56">
    <w:name w:val="妇幼正文"/>
    <w:basedOn w:val="1"/>
    <w:qFormat/>
    <w:uiPriority w:val="0"/>
    <w:pPr>
      <w:adjustRightInd w:val="0"/>
      <w:spacing w:line="360" w:lineRule="auto"/>
      <w:ind w:firstLine="480" w:firstLineChars="200"/>
    </w:pPr>
    <w:rPr>
      <w:color w:val="000000"/>
      <w:kern w:val="0"/>
      <w:sz w:val="24"/>
    </w:rPr>
  </w:style>
  <w:style w:type="paragraph" w:customStyle="1" w:styleId="57">
    <w:name w:val="表格文字"/>
    <w:basedOn w:val="1"/>
    <w:qFormat/>
    <w:uiPriority w:val="0"/>
    <w:pPr>
      <w:autoSpaceDE w:val="0"/>
      <w:autoSpaceDN w:val="0"/>
      <w:adjustRightInd w:val="0"/>
      <w:snapToGrid w:val="0"/>
      <w:spacing w:beforeLines="20" w:afterLines="20"/>
      <w:jc w:val="center"/>
    </w:pPr>
    <w:rPr>
      <w:rFonts w:ascii="宋体" w:hAnsi="宋体" w:cs="宋体"/>
    </w:rPr>
  </w:style>
  <w:style w:type="paragraph" w:customStyle="1" w:styleId="58">
    <w:name w:val="22222"/>
    <w:basedOn w:val="1"/>
    <w:qFormat/>
    <w:uiPriority w:val="0"/>
    <w:pPr>
      <w:spacing w:line="480" w:lineRule="exact"/>
      <w:ind w:firstLine="480" w:firstLineChars="200"/>
    </w:pPr>
    <w:rPr>
      <w:rFonts w:hAnsi="宋体"/>
      <w:sz w:val="24"/>
    </w:rPr>
  </w:style>
  <w:style w:type="paragraph" w:customStyle="1" w:styleId="59">
    <w:name w:val="_Style 58"/>
    <w:unhideWhenUsed/>
    <w:qFormat/>
    <w:uiPriority w:val="99"/>
    <w:rPr>
      <w:rFonts w:ascii="Times New Roman" w:hAnsi="Times New Roman" w:eastAsia="宋体" w:cs="Times New Roman"/>
      <w:kern w:val="2"/>
      <w:sz w:val="21"/>
      <w:szCs w:val="24"/>
      <w:lang w:val="en-US" w:eastAsia="zh-CN" w:bidi="ar-SA"/>
    </w:rPr>
  </w:style>
  <w:style w:type="paragraph" w:customStyle="1" w:styleId="60">
    <w:name w:val="正文01"/>
    <w:basedOn w:val="1"/>
    <w:qFormat/>
    <w:uiPriority w:val="0"/>
    <w:pPr>
      <w:spacing w:before="60" w:line="460" w:lineRule="exact"/>
      <w:ind w:firstLine="200" w:firstLineChars="200"/>
    </w:pPr>
    <w:rPr>
      <w:sz w:val="24"/>
    </w:rPr>
  </w:style>
  <w:style w:type="paragraph" w:customStyle="1" w:styleId="61">
    <w:name w:val="表标题"/>
    <w:basedOn w:val="1"/>
    <w:qFormat/>
    <w:uiPriority w:val="0"/>
    <w:pPr>
      <w:widowControl/>
      <w:snapToGrid w:val="0"/>
      <w:spacing w:before="120" w:afterLines="50"/>
      <w:ind w:firstLine="482"/>
      <w:jc w:val="center"/>
    </w:pPr>
    <w:rPr>
      <w:rFonts w:ascii="黑体" w:hAnsi="Gloucester MT Extra Condensed" w:eastAsia="黑体"/>
      <w:bCs/>
      <w:szCs w:val="21"/>
    </w:rPr>
  </w:style>
  <w:style w:type="paragraph" w:customStyle="1" w:styleId="62">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63">
    <w:name w:val="惠泽正文"/>
    <w:basedOn w:val="1"/>
    <w:qFormat/>
    <w:uiPriority w:val="0"/>
    <w:pPr>
      <w:spacing w:line="480" w:lineRule="exact"/>
      <w:ind w:firstLine="480" w:firstLineChars="200"/>
    </w:pPr>
    <w:rPr>
      <w:rFonts w:hAnsi="宋体" w:cs="宋体"/>
      <w:sz w:val="24"/>
      <w:szCs w:val="20"/>
    </w:rPr>
  </w:style>
  <w:style w:type="paragraph" w:customStyle="1" w:styleId="64">
    <w:name w:val="惠泽表格"/>
    <w:basedOn w:val="1"/>
    <w:qFormat/>
    <w:uiPriority w:val="0"/>
    <w:pPr>
      <w:spacing w:line="480" w:lineRule="exact"/>
      <w:jc w:val="center"/>
    </w:pPr>
    <w:rPr>
      <w:rFonts w:ascii="黑体" w:hAnsi="黑体" w:eastAsia="黑体" w:cs="宋体"/>
      <w:sz w:val="24"/>
      <w:szCs w:val="20"/>
    </w:rPr>
  </w:style>
  <w:style w:type="paragraph" w:customStyle="1" w:styleId="65">
    <w:name w:val="biaotou"/>
    <w:basedOn w:val="9"/>
    <w:qFormat/>
    <w:uiPriority w:val="99"/>
    <w:pPr>
      <w:spacing w:after="0" w:line="460" w:lineRule="exact"/>
      <w:jc w:val="center"/>
    </w:pPr>
    <w:rPr>
      <w:rFonts w:ascii="黑体" w:hAnsi="黑体" w:eastAsia="黑体" w:cs="宋体"/>
      <w:sz w:val="24"/>
      <w:szCs w:val="20"/>
    </w:rPr>
  </w:style>
  <w:style w:type="paragraph" w:customStyle="1" w:styleId="66">
    <w:name w:val="样式 首行缩进:  2 字符"/>
    <w:basedOn w:val="1"/>
    <w:qFormat/>
    <w:uiPriority w:val="0"/>
    <w:pPr>
      <w:snapToGrid w:val="0"/>
      <w:spacing w:line="360" w:lineRule="auto"/>
      <w:ind w:firstLine="200" w:firstLineChars="200"/>
    </w:pPr>
    <w:rPr>
      <w:rFonts w:ascii="宋体" w:cs="宋体"/>
      <w:sz w:val="28"/>
      <w:szCs w:val="20"/>
    </w:rPr>
  </w:style>
  <w:style w:type="paragraph" w:customStyle="1" w:styleId="67">
    <w:name w:val="中文"/>
    <w:basedOn w:val="1"/>
    <w:qFormat/>
    <w:uiPriority w:val="0"/>
    <w:pPr>
      <w:widowControl/>
      <w:spacing w:line="360" w:lineRule="auto"/>
      <w:ind w:firstLine="200" w:firstLineChars="200"/>
    </w:pPr>
    <w:rPr>
      <w:rFonts w:cs="宋体"/>
      <w:kern w:val="0"/>
      <w:sz w:val="24"/>
      <w:lang w:eastAsia="en-US"/>
    </w:rPr>
  </w:style>
  <w:style w:type="paragraph" w:customStyle="1" w:styleId="68">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9">
    <w:name w:val="标准段落"/>
    <w:basedOn w:val="1"/>
    <w:next w:val="1"/>
    <w:qFormat/>
    <w:uiPriority w:val="0"/>
    <w:pPr>
      <w:spacing w:line="360" w:lineRule="auto"/>
      <w:ind w:firstLine="480" w:firstLineChars="200"/>
    </w:pPr>
    <w:rPr>
      <w:kern w:val="0"/>
      <w:sz w:val="24"/>
    </w:rPr>
  </w:style>
  <w:style w:type="paragraph" w:customStyle="1" w:styleId="70">
    <w:name w:val="Default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1">
    <w:name w:val="报告表正文"/>
    <w:basedOn w:val="1"/>
    <w:qFormat/>
    <w:uiPriority w:val="99"/>
    <w:pPr>
      <w:adjustRightInd w:val="0"/>
      <w:spacing w:line="312" w:lineRule="auto"/>
      <w:ind w:left="113" w:right="113" w:firstLine="482"/>
      <w:jc w:val="left"/>
      <w:textAlignment w:val="baseline"/>
    </w:pPr>
    <w:rPr>
      <w:kern w:val="0"/>
      <w:sz w:val="24"/>
    </w:rPr>
  </w:style>
  <w:style w:type="paragraph" w:customStyle="1" w:styleId="72">
    <w:name w:val="正文格式"/>
    <w:basedOn w:val="73"/>
    <w:qFormat/>
    <w:uiPriority w:val="0"/>
    <w:pPr>
      <w:spacing w:line="360" w:lineRule="auto"/>
      <w:ind w:firstLine="480" w:firstLineChars="200"/>
    </w:pPr>
  </w:style>
  <w:style w:type="paragraph" w:customStyle="1" w:styleId="73">
    <w:name w:val="样式 (符号) 宋体 小四 首行缩进:  0.95 厘米 行距: 1.5 倍行距"/>
    <w:basedOn w:val="1"/>
    <w:qFormat/>
    <w:uiPriority w:val="0"/>
    <w:pPr>
      <w:spacing w:line="360" w:lineRule="auto"/>
      <w:ind w:firstLine="200" w:firstLineChars="200"/>
    </w:pPr>
    <w:rPr>
      <w:rFonts w:hAnsi="宋体"/>
      <w:sz w:val="24"/>
      <w:szCs w:val="20"/>
    </w:rPr>
  </w:style>
  <w:style w:type="paragraph" w:customStyle="1" w:styleId="74">
    <w:name w:val="样式 标题 1一级标题 + 段前: 0.5 行 段后: 0.5 行"/>
    <w:basedOn w:val="3"/>
    <w:qFormat/>
    <w:uiPriority w:val="99"/>
    <w:pPr>
      <w:spacing w:line="320" w:lineRule="exact"/>
      <w:outlineLvl w:val="9"/>
    </w:pPr>
    <w:rPr>
      <w:spacing w:val="-6"/>
      <w:sz w:val="21"/>
      <w:szCs w:val="21"/>
    </w:rPr>
  </w:style>
  <w:style w:type="paragraph" w:customStyle="1" w:styleId="75">
    <w:name w:val="至科表头"/>
    <w:basedOn w:val="1"/>
    <w:qFormat/>
    <w:uiPriority w:val="0"/>
    <w:pPr>
      <w:spacing w:line="240" w:lineRule="auto"/>
      <w:ind w:firstLine="0" w:firstLineChars="0"/>
      <w:jc w:val="center"/>
    </w:pPr>
    <w:rPr>
      <w:rFonts w:ascii="宋体" w:hAnsi="宋体" w:eastAsia="宋体" w:cs="宋体"/>
      <w:b/>
      <w:bCs/>
      <w:szCs w:val="21"/>
    </w:rPr>
  </w:style>
  <w:style w:type="paragraph" w:customStyle="1" w:styleId="76">
    <w:name w:val="至科正文"/>
    <w:basedOn w:val="1"/>
    <w:qFormat/>
    <w:uiPriority w:val="0"/>
    <w:pPr>
      <w:adjustRightInd/>
      <w:snapToGrid/>
      <w:spacing w:line="360" w:lineRule="auto"/>
      <w:ind w:firstLine="720" w:firstLineChars="200"/>
      <w:jc w:val="left"/>
    </w:pPr>
    <w:rPr>
      <w:rFonts w:ascii="宋体" w:hAnsi="宋体" w:eastAsia="宋体" w:cs="宋体"/>
      <w:bCs/>
      <w:sz w:val="24"/>
      <w:szCs w:val="21"/>
    </w:rPr>
  </w:style>
  <w:style w:type="paragraph" w:customStyle="1" w:styleId="77">
    <w:name w:val="样式5"/>
    <w:basedOn w:val="78"/>
    <w:qFormat/>
    <w:uiPriority w:val="0"/>
    <w:pPr>
      <w:adjustRightInd/>
      <w:spacing w:before="120" w:after="120" w:line="400" w:lineRule="exact"/>
      <w:ind w:firstLine="480"/>
    </w:pPr>
    <w:rPr>
      <w:iCs/>
    </w:rPr>
  </w:style>
  <w:style w:type="paragraph" w:customStyle="1" w:styleId="78">
    <w:name w:val="样式3"/>
    <w:basedOn w:val="18"/>
    <w:qFormat/>
    <w:uiPriority w:val="0"/>
    <w:pPr>
      <w:keepNext/>
      <w:spacing w:after="60" w:line="600" w:lineRule="exact"/>
      <w:ind w:right="-193" w:firstLine="624"/>
      <w:jc w:val="center"/>
    </w:pPr>
    <w:rPr>
      <w:spacing w:val="10"/>
    </w:rPr>
  </w:style>
  <w:style w:type="paragraph" w:customStyle="1" w:styleId="79">
    <w:name w:val="Char"/>
    <w:basedOn w:val="1"/>
    <w:qFormat/>
    <w:uiPriority w:val="0"/>
  </w:style>
  <w:style w:type="paragraph" w:customStyle="1" w:styleId="80">
    <w:name w:val="报告正文"/>
    <w:basedOn w:val="1"/>
    <w:qFormat/>
    <w:uiPriority w:val="0"/>
    <w:pPr>
      <w:adjustRightInd w:val="0"/>
      <w:snapToGrid w:val="0"/>
      <w:spacing w:line="360" w:lineRule="auto"/>
      <w:ind w:firstLine="720" w:firstLineChars="200"/>
    </w:pPr>
    <w:rPr>
      <w:rFonts w:ascii="Times New Roman" w:hAnsi="Times New Roman"/>
      <w:sz w:val="24"/>
    </w:rPr>
  </w:style>
  <w:style w:type="table" w:customStyle="1" w:styleId="81">
    <w:name w:val="Table Normal"/>
    <w:unhideWhenUsed/>
    <w:qFormat/>
    <w:uiPriority w:val="0"/>
    <w:tblPr>
      <w:tblCellMar>
        <w:top w:w="0" w:type="dxa"/>
        <w:left w:w="0" w:type="dxa"/>
        <w:bottom w:w="0" w:type="dxa"/>
        <w:right w:w="0" w:type="dxa"/>
      </w:tblCellMar>
    </w:tblPr>
  </w:style>
  <w:style w:type="paragraph" w:customStyle="1" w:styleId="82">
    <w:name w:val="Table Text"/>
    <w:basedOn w:val="1"/>
    <w:semiHidden/>
    <w:qFormat/>
    <w:uiPriority w:val="0"/>
    <w:rPr>
      <w:rFonts w:ascii="Arial" w:hAnsi="Arial" w:eastAsia="Arial" w:cs="Arial"/>
      <w:sz w:val="21"/>
      <w:szCs w:val="21"/>
      <w:lang w:val="en-US" w:eastAsia="en-US" w:bidi="ar-SA"/>
    </w:rPr>
  </w:style>
  <w:style w:type="character" w:customStyle="1" w:styleId="83">
    <w:name w:val="样式 宋体"/>
    <w:qFormat/>
    <w:uiPriority w:val="0"/>
    <w:rPr>
      <w:rFonts w:ascii="Times New Roman" w:hAnsi="Times New Roman" w:eastAsia="宋体"/>
      <w:sz w:val="24"/>
      <w:vertAlign w:val="baseline"/>
    </w:rPr>
  </w:style>
  <w:style w:type="paragraph" w:customStyle="1" w:styleId="84">
    <w:name w:val="_Style 1"/>
    <w:qFormat/>
    <w:uiPriority w:val="0"/>
    <w:pPr>
      <w:adjustRightInd w:val="0"/>
      <w:snapToGrid w:val="0"/>
      <w:spacing w:line="480" w:lineRule="exact"/>
      <w:ind w:firstLine="480" w:firstLineChars="200"/>
    </w:pPr>
    <w:rPr>
      <w:rFonts w:ascii="Times New Roman" w:hAnsi="Times New Roman" w:eastAsia="宋体" w:cs="Times New Roman"/>
      <w:sz w:val="24"/>
      <w:szCs w:val="22"/>
      <w:lang w:val="en-US" w:eastAsia="zh-CN" w:bidi="ar-SA"/>
    </w:rPr>
  </w:style>
  <w:style w:type="paragraph" w:customStyle="1" w:styleId="85">
    <w:name w:val="威嘉生物 表格"/>
    <w:basedOn w:val="1"/>
    <w:qFormat/>
    <w:uiPriority w:val="0"/>
    <w:pPr>
      <w:spacing w:line="240" w:lineRule="auto"/>
      <w:jc w:val="center"/>
    </w:pPr>
    <w:rPr>
      <w:rFonts w:hint="eastAsia"/>
      <w:b/>
      <w:sz w:val="21"/>
    </w:rPr>
  </w:style>
  <w:style w:type="paragraph" w:customStyle="1" w:styleId="86">
    <w:name w:val="S报告正文"/>
    <w:basedOn w:val="1"/>
    <w:qFormat/>
    <w:uiPriority w:val="0"/>
    <w:pPr>
      <w:adjustRightInd w:val="0"/>
      <w:snapToGrid w:val="0"/>
      <w:spacing w:line="480" w:lineRule="exact"/>
      <w:ind w:firstLine="510"/>
      <w:jc w:val="left"/>
    </w:pPr>
    <w:rPr>
      <w:sz w:val="24"/>
    </w:rPr>
  </w:style>
  <w:style w:type="paragraph" w:customStyle="1" w:styleId="87">
    <w:name w:val="图表标题"/>
    <w:basedOn w:val="21"/>
    <w:next w:val="31"/>
    <w:qFormat/>
    <w:uiPriority w:val="0"/>
    <w:pPr>
      <w:spacing w:before="0" w:beforeLines="0" w:after="0" w:afterLines="0" w:line="240" w:lineRule="auto"/>
      <w:ind w:left="0" w:leftChars="0" w:firstLine="0" w:firstLineChars="0"/>
      <w:jc w:val="center"/>
      <w:outlineLvl w:val="4"/>
    </w:pPr>
    <w:rPr>
      <w:rFonts w:ascii="Times New Roman" w:hAnsi="Times New Roman" w:eastAsia="宋体"/>
      <w:bCs/>
      <w:snapToGrid w:val="0"/>
      <w:sz w:val="21"/>
    </w:rPr>
  </w:style>
  <w:style w:type="paragraph" w:customStyle="1" w:styleId="88">
    <w:name w:val="正文文字"/>
    <w:basedOn w:val="1"/>
    <w:qFormat/>
    <w:uiPriority w:val="0"/>
    <w:pPr>
      <w:spacing w:line="360" w:lineRule="auto"/>
      <w:ind w:firstLine="880" w:firstLineChars="200"/>
    </w:pPr>
    <w:rPr>
      <w:rFonts w:hint="eastAsia" w:ascii="Times New Roman" w:hAnsi="Times New Roman"/>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2" Type="http://schemas.openxmlformats.org/officeDocument/2006/relationships/fontTable" Target="fontTable.xml"/><Relationship Id="rId31" Type="http://schemas.openxmlformats.org/officeDocument/2006/relationships/customXml" Target="../customXml/item1.xml"/><Relationship Id="rId30" Type="http://schemas.openxmlformats.org/officeDocument/2006/relationships/image" Target="media/image19.jpeg"/><Relationship Id="rId3" Type="http://schemas.openxmlformats.org/officeDocument/2006/relationships/header" Target="header1.xml"/><Relationship Id="rId29" Type="http://schemas.openxmlformats.org/officeDocument/2006/relationships/image" Target="media/image18.jpeg"/><Relationship Id="rId28" Type="http://schemas.openxmlformats.org/officeDocument/2006/relationships/image" Target="media/image17.jpeg"/><Relationship Id="rId27" Type="http://schemas.openxmlformats.org/officeDocument/2006/relationships/image" Target="media/image16.jpeg"/><Relationship Id="rId26" Type="http://schemas.openxmlformats.org/officeDocument/2006/relationships/image" Target="media/image15.jpeg"/><Relationship Id="rId25" Type="http://schemas.openxmlformats.org/officeDocument/2006/relationships/image" Target="media/image14.jpeg"/><Relationship Id="rId24" Type="http://schemas.openxmlformats.org/officeDocument/2006/relationships/image" Target="media/image13.jpeg"/><Relationship Id="rId23" Type="http://schemas.openxmlformats.org/officeDocument/2006/relationships/image" Target="media/image12.jpeg"/><Relationship Id="rId22" Type="http://schemas.openxmlformats.org/officeDocument/2006/relationships/image" Target="media/image11.jpeg"/><Relationship Id="rId21" Type="http://schemas.openxmlformats.org/officeDocument/2006/relationships/image" Target="media/image10.jpeg"/><Relationship Id="rId20" Type="http://schemas.openxmlformats.org/officeDocument/2006/relationships/image" Target="media/image9.jpeg"/><Relationship Id="rId2" Type="http://schemas.openxmlformats.org/officeDocument/2006/relationships/settings" Target="settings.xml"/><Relationship Id="rId19" Type="http://schemas.openxmlformats.org/officeDocument/2006/relationships/image" Target="media/image8.jpeg"/><Relationship Id="rId18" Type="http://schemas.openxmlformats.org/officeDocument/2006/relationships/image" Target="media/image7.jpeg"/><Relationship Id="rId17" Type="http://schemas.openxmlformats.org/officeDocument/2006/relationships/image" Target="media/image6.jpeg"/><Relationship Id="rId16" Type="http://schemas.openxmlformats.org/officeDocument/2006/relationships/image" Target="media/image5.emf"/><Relationship Id="rId15" Type="http://schemas.openxmlformats.org/officeDocument/2006/relationships/oleObject" Target="embeddings/oleObject2.bin"/><Relationship Id="rId14" Type="http://schemas.openxmlformats.org/officeDocument/2006/relationships/image" Target="media/image4.emf"/><Relationship Id="rId13" Type="http://schemas.openxmlformats.org/officeDocument/2006/relationships/oleObject" Target="embeddings/oleObject1.bin"/><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customShpExts>
  <extobjs>
    <extobj name="F360BE8B-6686-4F3D-AEAF-501FE73E4058-1">
      <extobjdata type="F360BE8B-6686-4F3D-AEAF-501FE73E4058" data="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"/>
    </extobj>
    <extobj name="F360BE8B-6686-4F3D-AEAF-501FE73E4058-2">
      <extobjdata type="F360BE8B-6686-4F3D-AEAF-501FE73E4058" data="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70</Pages>
  <Words>15718</Words>
  <Characters>17890</Characters>
  <Lines>189</Lines>
  <Paragraphs>53</Paragraphs>
  <TotalTime>3</TotalTime>
  <ScaleCrop>false</ScaleCrop>
  <LinksUpToDate>false</LinksUpToDate>
  <CharactersWithSpaces>18010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2022-08-22T02:26:00Z</dcterms:created>
  <dc:creator>lhj</dc:creator>
  <cp:lastModifiedBy>富贵</cp:lastModifiedBy>
  <cp:lastPrinted>2024-01-18T02:29:00Z</cp:lastPrinted>
  <dcterms:modified xsi:type="dcterms:W3CDTF">2025-07-04T02:50:19Z</dcterms:modified>
  <dc:title>附件2</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1A8AB0BF895E4919B823CDFAFD904B05_13</vt:lpwstr>
  </property>
  <property fmtid="{D5CDD505-2E9C-101B-9397-08002B2CF9AE}" pid="4" name="KSOTemplateDocerSaveRecord">
    <vt:lpwstr>eyJoZGlkIjoiMjY5YmZlOTk4NGVjNDM3MDZlMmM5MmY3YTY1NzI1NWYiLCJ1c2VySWQiOiI2OTczMDAxMTgifQ==</vt:lpwstr>
  </property>
</Properties>
</file>