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6B2171">
      <w:pPr>
        <w:rPr>
          <w:rFonts w:ascii="仿宋_GB2312" w:hAnsi="仿宋_GB2312" w:eastAsia="仿宋_GB2312" w:cs="仿宋_GB2312"/>
          <w:color w:val="000000" w:themeColor="text1"/>
          <w:sz w:val="36"/>
          <w:szCs w:val="36"/>
          <w14:textFill>
            <w14:solidFill>
              <w14:schemeClr w14:val="tx1"/>
            </w14:solidFill>
          </w14:textFill>
        </w:rPr>
      </w:pPr>
    </w:p>
    <w:p w14:paraId="721A3D10">
      <w:pPr>
        <w:rPr>
          <w:rFonts w:ascii="仿宋_GB2312" w:hAnsi="仿宋_GB2312" w:eastAsia="仿宋_GB2312" w:cs="仿宋_GB2312"/>
          <w:color w:val="000000" w:themeColor="text1"/>
          <w:sz w:val="36"/>
          <w:szCs w:val="36"/>
          <w14:textFill>
            <w14:solidFill>
              <w14:schemeClr w14:val="tx1"/>
            </w14:solidFill>
          </w14:textFill>
        </w:rPr>
      </w:pPr>
    </w:p>
    <w:p w14:paraId="15AA3721">
      <w:pPr>
        <w:rPr>
          <w:rFonts w:ascii="仿宋_GB2312" w:hAnsi="仿宋_GB2312" w:eastAsia="仿宋_GB2312" w:cs="仿宋_GB2312"/>
          <w:color w:val="000000" w:themeColor="text1"/>
          <w:sz w:val="36"/>
          <w:szCs w:val="36"/>
          <w14:textFill>
            <w14:solidFill>
              <w14:schemeClr w14:val="tx1"/>
            </w14:solidFill>
          </w14:textFill>
        </w:rPr>
      </w:pPr>
    </w:p>
    <w:p w14:paraId="0F3D62C2">
      <w:pPr>
        <w:rPr>
          <w:rFonts w:ascii="仿宋_GB2312" w:hAnsi="仿宋_GB2312" w:eastAsia="仿宋_GB2312" w:cs="仿宋_GB2312"/>
          <w:color w:val="000000" w:themeColor="text1"/>
          <w:sz w:val="36"/>
          <w:szCs w:val="36"/>
          <w14:textFill>
            <w14:solidFill>
              <w14:schemeClr w14:val="tx1"/>
            </w14:solidFill>
          </w14:textFill>
        </w:rPr>
      </w:pPr>
    </w:p>
    <w:p w14:paraId="3B9FFE38">
      <w:pPr>
        <w:rPr>
          <w:rFonts w:ascii="仿宋_GB2312" w:hAnsi="仿宋_GB2312" w:eastAsia="仿宋_GB2312" w:cs="仿宋_GB2312"/>
          <w:color w:val="000000" w:themeColor="text1"/>
          <w:sz w:val="36"/>
          <w:szCs w:val="36"/>
          <w14:textFill>
            <w14:solidFill>
              <w14:schemeClr w14:val="tx1"/>
            </w14:solidFill>
          </w14:textFill>
        </w:rPr>
      </w:pPr>
    </w:p>
    <w:p w14:paraId="104DFBC7">
      <w:pPr>
        <w:adjustRightInd w:val="0"/>
        <w:snapToGrid w:val="0"/>
        <w:jc w:val="center"/>
        <w:outlineLvl w:val="0"/>
        <w:rPr>
          <w:rFonts w:ascii="方正小标宋_GBK" w:eastAsia="方正小标宋_GBK"/>
          <w:bCs/>
          <w:color w:val="000000" w:themeColor="text1"/>
          <w:sz w:val="72"/>
          <w:szCs w:val="72"/>
          <w14:textFill>
            <w14:solidFill>
              <w14:schemeClr w14:val="tx1"/>
            </w14:solidFill>
          </w14:textFill>
        </w:rPr>
      </w:pPr>
      <w:r>
        <w:rPr>
          <w:rFonts w:hint="eastAsia" w:ascii="方正小标宋_GBK" w:eastAsia="方正小标宋_GBK"/>
          <w:bCs/>
          <w:color w:val="000000" w:themeColor="text1"/>
          <w:sz w:val="72"/>
          <w:szCs w:val="72"/>
          <w14:textFill>
            <w14:solidFill>
              <w14:schemeClr w14:val="tx1"/>
            </w14:solidFill>
          </w14:textFill>
        </w:rPr>
        <w:t>建设项目环境影响报告表</w:t>
      </w:r>
    </w:p>
    <w:p w14:paraId="08EADEBA">
      <w:pPr>
        <w:adjustRightInd w:val="0"/>
        <w:snapToGrid w:val="0"/>
        <w:spacing w:before="192" w:beforeLines="80"/>
        <w:jc w:val="center"/>
        <w:rPr>
          <w:rFonts w:ascii="楷体_GB2312" w:eastAsia="楷体_GB2312"/>
          <w:bCs/>
          <w:color w:val="000000" w:themeColor="text1"/>
          <w:sz w:val="48"/>
          <w:szCs w:val="48"/>
          <w14:textFill>
            <w14:solidFill>
              <w14:schemeClr w14:val="tx1"/>
            </w14:solidFill>
          </w14:textFill>
        </w:rPr>
      </w:pPr>
      <w:r>
        <w:rPr>
          <w:rFonts w:hint="eastAsia" w:ascii="楷体_GB2312" w:eastAsia="楷体_GB2312"/>
          <w:bCs/>
          <w:color w:val="000000" w:themeColor="text1"/>
          <w:sz w:val="48"/>
          <w:szCs w:val="48"/>
          <w14:textFill>
            <w14:solidFill>
              <w14:schemeClr w14:val="tx1"/>
            </w14:solidFill>
          </w14:textFill>
        </w:rPr>
        <w:t>（污染影响类）</w:t>
      </w:r>
    </w:p>
    <w:p w14:paraId="1C2A7847">
      <w:pPr>
        <w:adjustRightInd w:val="0"/>
        <w:snapToGrid w:val="0"/>
        <w:spacing w:line="288" w:lineRule="auto"/>
        <w:jc w:val="center"/>
        <w:rPr>
          <w:rFonts w:ascii="华文仿宋" w:hAnsi="华文仿宋" w:eastAsia="华文仿宋" w:cs="华文仿宋"/>
          <w:color w:val="000000" w:themeColor="text1"/>
          <w:kern w:val="44"/>
          <w:sz w:val="44"/>
          <w:szCs w:val="44"/>
          <w14:textFill>
            <w14:solidFill>
              <w14:schemeClr w14:val="tx1"/>
            </w14:solidFill>
          </w14:textFill>
        </w:rPr>
      </w:pPr>
    </w:p>
    <w:p w14:paraId="203B7B2B">
      <w:pPr>
        <w:jc w:val="center"/>
        <w:rPr>
          <w:rFonts w:eastAsia="仿宋"/>
          <w:color w:val="000000" w:themeColor="text1"/>
          <w:sz w:val="52"/>
          <w:szCs w:val="52"/>
          <w14:textFill>
            <w14:solidFill>
              <w14:schemeClr w14:val="tx1"/>
            </w14:solidFill>
          </w14:textFill>
        </w:rPr>
      </w:pPr>
    </w:p>
    <w:p w14:paraId="3720DC15">
      <w:pPr>
        <w:ind w:firstLine="1040"/>
        <w:rPr>
          <w:rFonts w:eastAsia="仿宋"/>
          <w:color w:val="000000" w:themeColor="text1"/>
          <w:sz w:val="44"/>
          <w:szCs w:val="44"/>
          <w14:textFill>
            <w14:solidFill>
              <w14:schemeClr w14:val="tx1"/>
            </w14:solidFill>
          </w14:textFill>
        </w:rPr>
      </w:pPr>
    </w:p>
    <w:p w14:paraId="2B35A89E">
      <w:pPr>
        <w:ind w:firstLine="1040"/>
        <w:rPr>
          <w:rFonts w:eastAsia="仿宋"/>
          <w:color w:val="000000" w:themeColor="text1"/>
          <w:sz w:val="44"/>
          <w:szCs w:val="44"/>
          <w14:textFill>
            <w14:solidFill>
              <w14:schemeClr w14:val="tx1"/>
            </w14:solidFill>
          </w14:textFill>
        </w:rPr>
      </w:pPr>
    </w:p>
    <w:p w14:paraId="3C1A8D82">
      <w:pPr>
        <w:pStyle w:val="13"/>
        <w:rPr>
          <w:rFonts w:eastAsia="仿宋"/>
          <w:color w:val="000000" w:themeColor="text1"/>
          <w:sz w:val="44"/>
          <w:szCs w:val="44"/>
          <w14:textFill>
            <w14:solidFill>
              <w14:schemeClr w14:val="tx1"/>
            </w14:solidFill>
          </w14:textFill>
        </w:rPr>
      </w:pPr>
    </w:p>
    <w:p w14:paraId="0093F313">
      <w:pPr>
        <w:pStyle w:val="13"/>
        <w:rPr>
          <w:rFonts w:eastAsia="仿宋"/>
          <w:color w:val="000000" w:themeColor="text1"/>
          <w:sz w:val="44"/>
          <w:szCs w:val="44"/>
          <w14:textFill>
            <w14:solidFill>
              <w14:schemeClr w14:val="tx1"/>
            </w14:solidFill>
          </w14:textFill>
        </w:rPr>
      </w:pPr>
    </w:p>
    <w:p w14:paraId="59641D53">
      <w:pPr>
        <w:pStyle w:val="13"/>
        <w:rPr>
          <w:rFonts w:eastAsia="仿宋"/>
          <w:color w:val="000000" w:themeColor="text1"/>
          <w:sz w:val="44"/>
          <w:szCs w:val="44"/>
          <w14:textFill>
            <w14:solidFill>
              <w14:schemeClr w14:val="tx1"/>
            </w14:solidFill>
          </w14:textFill>
        </w:rPr>
      </w:pPr>
    </w:p>
    <w:p w14:paraId="2DAD9107">
      <w:pPr>
        <w:pStyle w:val="13"/>
        <w:ind w:left="0" w:leftChars="0" w:firstLine="0" w:firstLineChars="0"/>
        <w:rPr>
          <w:rFonts w:eastAsia="仿宋"/>
          <w:color w:val="000000" w:themeColor="text1"/>
          <w:sz w:val="44"/>
          <w:szCs w:val="44"/>
          <w14:textFill>
            <w14:solidFill>
              <w14:schemeClr w14:val="tx1"/>
            </w14:solidFill>
          </w14:textFill>
        </w:rPr>
      </w:pPr>
    </w:p>
    <w:tbl>
      <w:tblPr>
        <w:tblStyle w:val="28"/>
        <w:tblpPr w:leftFromText="180" w:rightFromText="180" w:vertAnchor="text" w:horzAnchor="page" w:tblpX="1492" w:tblpY="473"/>
        <w:tblOverlap w:val="never"/>
        <w:tblW w:w="9318" w:type="dxa"/>
        <w:tblInd w:w="0" w:type="dxa"/>
        <w:tblLayout w:type="autofit"/>
        <w:tblCellMar>
          <w:top w:w="0" w:type="dxa"/>
          <w:left w:w="108" w:type="dxa"/>
          <w:bottom w:w="0" w:type="dxa"/>
          <w:right w:w="108" w:type="dxa"/>
        </w:tblCellMar>
      </w:tblPr>
      <w:tblGrid>
        <w:gridCol w:w="2958"/>
        <w:gridCol w:w="6360"/>
      </w:tblGrid>
      <w:tr w14:paraId="6A527554">
        <w:tblPrEx>
          <w:tblCellMar>
            <w:top w:w="0" w:type="dxa"/>
            <w:left w:w="108" w:type="dxa"/>
            <w:bottom w:w="0" w:type="dxa"/>
            <w:right w:w="108" w:type="dxa"/>
          </w:tblCellMar>
        </w:tblPrEx>
        <w:tc>
          <w:tcPr>
            <w:tcW w:w="2958" w:type="dxa"/>
          </w:tcPr>
          <w:p w14:paraId="56744510">
            <w:pPr>
              <w:pStyle w:val="13"/>
              <w:ind w:left="0" w:leftChars="0" w:right="0" w:rightChars="0"/>
              <w:jc w:val="left"/>
              <w:rPr>
                <w:rFonts w:eastAsia="仿宋"/>
                <w:color w:val="000000" w:themeColor="text1"/>
                <w:sz w:val="44"/>
                <w:szCs w:val="44"/>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项  目  名  称：</w:t>
            </w:r>
          </w:p>
        </w:tc>
        <w:tc>
          <w:tcPr>
            <w:tcW w:w="6360" w:type="dxa"/>
          </w:tcPr>
          <w:p w14:paraId="07C1F9D6">
            <w:pPr>
              <w:pStyle w:val="13"/>
              <w:ind w:left="0" w:leftChars="0" w:right="0" w:rightChars="0"/>
              <w:rPr>
                <w:rFonts w:eastAsia="仿宋"/>
                <w:color w:val="000000" w:themeColor="text1"/>
                <w:sz w:val="36"/>
                <w:szCs w:val="36"/>
                <w14:textFill>
                  <w14:solidFill>
                    <w14:schemeClr w14:val="tx1"/>
                  </w14:solidFill>
                </w14:textFill>
              </w:rPr>
            </w:pPr>
            <w:r>
              <w:rPr>
                <w:rFonts w:hint="eastAsia" w:ascii="仿宋_GB2312" w:eastAsia="仿宋_GB2312"/>
                <w:color w:val="000000" w:themeColor="text1"/>
                <w:sz w:val="36"/>
                <w:szCs w:val="36"/>
                <w:u w:val="single"/>
                <w:lang w:val="en-US" w:eastAsia="zh-CN"/>
                <w14:textFill>
                  <w14:solidFill>
                    <w14:schemeClr w14:val="tx1"/>
                  </w14:solidFill>
                </w14:textFill>
              </w:rPr>
              <w:t>西安市正通市政工程试验检测有限公司实验室建设项目</w:t>
            </w:r>
            <w:r>
              <w:rPr>
                <w:rFonts w:hint="eastAsia" w:ascii="仿宋_GB2312" w:eastAsia="仿宋_GB2312"/>
                <w:color w:val="000000" w:themeColor="text1"/>
                <w:sz w:val="36"/>
                <w:szCs w:val="36"/>
                <w:u w:val="single"/>
                <w14:textFill>
                  <w14:solidFill>
                    <w14:schemeClr w14:val="tx1"/>
                  </w14:solidFill>
                </w14:textFill>
              </w:rPr>
              <w:t xml:space="preserve">      </w:t>
            </w:r>
          </w:p>
        </w:tc>
      </w:tr>
      <w:tr w14:paraId="7D43C500">
        <w:tblPrEx>
          <w:tblCellMar>
            <w:top w:w="0" w:type="dxa"/>
            <w:left w:w="108" w:type="dxa"/>
            <w:bottom w:w="0" w:type="dxa"/>
            <w:right w:w="108" w:type="dxa"/>
          </w:tblCellMar>
        </w:tblPrEx>
        <w:tc>
          <w:tcPr>
            <w:tcW w:w="2958" w:type="dxa"/>
          </w:tcPr>
          <w:p w14:paraId="767F21B7">
            <w:pPr>
              <w:pStyle w:val="13"/>
              <w:ind w:left="0" w:leftChars="0" w:right="0" w:rightChars="0"/>
              <w:jc w:val="left"/>
              <w:rPr>
                <w:rFonts w:eastAsia="仿宋"/>
                <w:color w:val="000000" w:themeColor="text1"/>
                <w:sz w:val="44"/>
                <w:szCs w:val="44"/>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建设单位（盖章）：</w:t>
            </w:r>
          </w:p>
        </w:tc>
        <w:tc>
          <w:tcPr>
            <w:tcW w:w="6360" w:type="dxa"/>
          </w:tcPr>
          <w:p w14:paraId="3F246572">
            <w:pPr>
              <w:pStyle w:val="13"/>
              <w:ind w:left="0" w:leftChars="0" w:right="0" w:rightChars="0"/>
              <w:rPr>
                <w:rFonts w:eastAsia="仿宋"/>
                <w:color w:val="000000" w:themeColor="text1"/>
                <w:sz w:val="36"/>
                <w:szCs w:val="36"/>
                <w14:textFill>
                  <w14:solidFill>
                    <w14:schemeClr w14:val="tx1"/>
                  </w14:solidFill>
                </w14:textFill>
              </w:rPr>
            </w:pPr>
            <w:r>
              <w:rPr>
                <w:rFonts w:hint="eastAsia" w:ascii="仿宋_GB2312" w:eastAsia="仿宋_GB2312"/>
                <w:color w:val="000000" w:themeColor="text1"/>
                <w:sz w:val="36"/>
                <w:szCs w:val="36"/>
                <w:u w:val="single"/>
                <w:lang w:val="en-US" w:eastAsia="zh-CN"/>
                <w14:textFill>
                  <w14:solidFill>
                    <w14:schemeClr w14:val="tx1"/>
                  </w14:solidFill>
                </w14:textFill>
              </w:rPr>
              <w:t>西安市正通市政工程试验检测有限公司</w:t>
            </w:r>
            <w:r>
              <w:rPr>
                <w:rFonts w:hint="eastAsia" w:ascii="仿宋_GB2312" w:eastAsia="仿宋_GB2312"/>
                <w:color w:val="000000" w:themeColor="text1"/>
                <w:sz w:val="36"/>
                <w:szCs w:val="36"/>
                <w:u w:val="single"/>
                <w14:textFill>
                  <w14:solidFill>
                    <w14:schemeClr w14:val="tx1"/>
                  </w14:solidFill>
                </w14:textFill>
              </w:rPr>
              <w:t xml:space="preserve">     </w:t>
            </w:r>
          </w:p>
        </w:tc>
      </w:tr>
      <w:tr w14:paraId="407E17B4">
        <w:tblPrEx>
          <w:tblCellMar>
            <w:top w:w="0" w:type="dxa"/>
            <w:left w:w="108" w:type="dxa"/>
            <w:bottom w:w="0" w:type="dxa"/>
            <w:right w:w="108" w:type="dxa"/>
          </w:tblCellMar>
        </w:tblPrEx>
        <w:tc>
          <w:tcPr>
            <w:tcW w:w="2958" w:type="dxa"/>
          </w:tcPr>
          <w:p w14:paraId="6667FBF8">
            <w:pPr>
              <w:pStyle w:val="13"/>
              <w:ind w:left="0" w:leftChars="0" w:right="0" w:rightChars="0"/>
              <w:jc w:val="left"/>
              <w:rPr>
                <w:rFonts w:eastAsia="仿宋"/>
                <w:color w:val="000000" w:themeColor="text1"/>
                <w:sz w:val="44"/>
                <w:szCs w:val="44"/>
                <w14:textFill>
                  <w14:solidFill>
                    <w14:schemeClr w14:val="tx1"/>
                  </w14:solidFill>
                </w14:textFill>
              </w:rPr>
            </w:pPr>
            <w:r>
              <w:rPr>
                <w:rFonts w:hint="eastAsia" w:ascii="仿宋_GB2312" w:eastAsia="仿宋_GB2312"/>
                <w:color w:val="000000" w:themeColor="text1"/>
                <w:sz w:val="36"/>
                <w:szCs w:val="36"/>
                <w14:textFill>
                  <w14:solidFill>
                    <w14:schemeClr w14:val="tx1"/>
                  </w14:solidFill>
                </w14:textFill>
              </w:rPr>
              <w:t>编  制  日  期：</w:t>
            </w:r>
          </w:p>
        </w:tc>
        <w:tc>
          <w:tcPr>
            <w:tcW w:w="6360" w:type="dxa"/>
          </w:tcPr>
          <w:p w14:paraId="4A204F8C">
            <w:pPr>
              <w:pStyle w:val="13"/>
              <w:ind w:left="0" w:leftChars="0" w:right="0" w:rightChars="0"/>
              <w:rPr>
                <w:rFonts w:eastAsia="仿宋"/>
                <w:color w:val="000000" w:themeColor="text1"/>
                <w:sz w:val="36"/>
                <w:szCs w:val="36"/>
                <w14:textFill>
                  <w14:solidFill>
                    <w14:schemeClr w14:val="tx1"/>
                  </w14:solidFill>
                </w14:textFill>
              </w:rPr>
            </w:pPr>
            <w:r>
              <w:rPr>
                <w:rFonts w:hint="eastAsia" w:ascii="仿宋_GB2312" w:eastAsia="仿宋_GB2312"/>
                <w:color w:val="000000" w:themeColor="text1"/>
                <w:sz w:val="36"/>
                <w:szCs w:val="36"/>
                <w:u w:val="single"/>
                <w14:textFill>
                  <w14:solidFill>
                    <w14:schemeClr w14:val="tx1"/>
                  </w14:solidFill>
                </w14:textFill>
              </w:rPr>
              <w:t xml:space="preserve"> </w:t>
            </w:r>
            <w:r>
              <w:rPr>
                <w:rFonts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 xml:space="preserve">      </w:t>
            </w:r>
            <w:r>
              <w:rPr>
                <w:rFonts w:ascii="仿宋_GB2312" w:eastAsia="仿宋_GB2312"/>
                <w:color w:val="000000" w:themeColor="text1"/>
                <w:sz w:val="36"/>
                <w:szCs w:val="36"/>
                <w:u w:val="single"/>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 xml:space="preserve">  202</w:t>
            </w:r>
            <w:r>
              <w:rPr>
                <w:rFonts w:hint="eastAsia" w:ascii="仿宋_GB2312" w:eastAsia="仿宋_GB2312"/>
                <w:color w:val="000000" w:themeColor="text1"/>
                <w:sz w:val="36"/>
                <w:szCs w:val="36"/>
                <w:u w:val="single"/>
                <w:lang w:val="en-US" w:eastAsia="zh-CN"/>
                <w14:textFill>
                  <w14:solidFill>
                    <w14:schemeClr w14:val="tx1"/>
                  </w14:solidFill>
                </w14:textFill>
              </w:rPr>
              <w:t>5</w:t>
            </w:r>
            <w:r>
              <w:rPr>
                <w:rFonts w:hint="eastAsia" w:ascii="仿宋_GB2312" w:eastAsia="仿宋_GB2312"/>
                <w:color w:val="000000" w:themeColor="text1"/>
                <w:sz w:val="36"/>
                <w:szCs w:val="36"/>
                <w:u w:val="single"/>
                <w14:textFill>
                  <w14:solidFill>
                    <w14:schemeClr w14:val="tx1"/>
                  </w14:solidFill>
                </w14:textFill>
              </w:rPr>
              <w:t>年</w:t>
            </w:r>
            <w:r>
              <w:rPr>
                <w:rFonts w:hint="eastAsia" w:ascii="仿宋_GB2312" w:eastAsia="仿宋_GB2312"/>
                <w:color w:val="000000" w:themeColor="text1"/>
                <w:sz w:val="36"/>
                <w:szCs w:val="36"/>
                <w:u w:val="single"/>
                <w:lang w:val="en-US" w:eastAsia="zh-CN"/>
                <w14:textFill>
                  <w14:solidFill>
                    <w14:schemeClr w14:val="tx1"/>
                  </w14:solidFill>
                </w14:textFill>
              </w:rPr>
              <w:t>7</w:t>
            </w:r>
            <w:r>
              <w:rPr>
                <w:rFonts w:hint="eastAsia" w:ascii="仿宋_GB2312" w:eastAsia="仿宋_GB2312"/>
                <w:color w:val="000000" w:themeColor="text1"/>
                <w:sz w:val="36"/>
                <w:szCs w:val="36"/>
                <w:u w:val="single"/>
                <w14:textFill>
                  <w14:solidFill>
                    <w14:schemeClr w14:val="tx1"/>
                  </w14:solidFill>
                </w14:textFill>
              </w:rPr>
              <w:t xml:space="preserve">月   </w:t>
            </w:r>
            <w:r>
              <w:rPr>
                <w:rFonts w:hint="eastAsia" w:ascii="仿宋_GB2312" w:eastAsia="仿宋_GB2312"/>
                <w:color w:val="000000" w:themeColor="text1"/>
                <w:sz w:val="36"/>
                <w:szCs w:val="36"/>
                <w:u w:val="single"/>
                <w:lang w:val="en-US" w:eastAsia="zh-CN"/>
                <w14:textFill>
                  <w14:solidFill>
                    <w14:schemeClr w14:val="tx1"/>
                  </w14:solidFill>
                </w14:textFill>
              </w:rPr>
              <w:t xml:space="preserve">  </w:t>
            </w:r>
            <w:r>
              <w:rPr>
                <w:rFonts w:hint="eastAsia" w:ascii="仿宋_GB2312" w:eastAsia="仿宋_GB2312"/>
                <w:color w:val="000000" w:themeColor="text1"/>
                <w:sz w:val="36"/>
                <w:szCs w:val="36"/>
                <w:u w:val="single"/>
                <w14:textFill>
                  <w14:solidFill>
                    <w14:schemeClr w14:val="tx1"/>
                  </w14:solidFill>
                </w14:textFill>
              </w:rPr>
              <w:t xml:space="preserve">        </w:t>
            </w:r>
          </w:p>
        </w:tc>
      </w:tr>
    </w:tbl>
    <w:p w14:paraId="786054A5">
      <w:pPr>
        <w:pStyle w:val="13"/>
        <w:rPr>
          <w:rFonts w:eastAsia="仿宋"/>
          <w:color w:val="000000" w:themeColor="text1"/>
          <w:sz w:val="44"/>
          <w:szCs w:val="44"/>
          <w14:textFill>
            <w14:solidFill>
              <w14:schemeClr w14:val="tx1"/>
            </w14:solidFill>
          </w14:textFill>
        </w:rPr>
      </w:pPr>
    </w:p>
    <w:p w14:paraId="5DF469B7">
      <w:pPr>
        <w:adjustRightInd w:val="0"/>
        <w:snapToGrid w:val="0"/>
        <w:spacing w:line="288" w:lineRule="auto"/>
        <w:ind w:firstLine="1040"/>
        <w:rPr>
          <w:rFonts w:ascii="仿宋_GB2312" w:eastAsia="仿宋_GB2312"/>
          <w:color w:val="000000" w:themeColor="text1"/>
          <w:sz w:val="36"/>
          <w:szCs w:val="36"/>
          <w:u w:val="single"/>
          <w14:textFill>
            <w14:solidFill>
              <w14:schemeClr w14:val="tx1"/>
            </w14:solidFill>
          </w14:textFill>
        </w:rPr>
      </w:pPr>
      <w:bookmarkStart w:id="0" w:name="_Hlk57884087"/>
    </w:p>
    <w:p w14:paraId="695577FF">
      <w:pPr>
        <w:adjustRightInd w:val="0"/>
        <w:snapToGrid w:val="0"/>
        <w:spacing w:line="288" w:lineRule="auto"/>
        <w:ind w:firstLine="1040"/>
        <w:rPr>
          <w:rFonts w:ascii="仿宋_GB2312" w:eastAsia="仿宋_GB2312"/>
          <w:color w:val="000000" w:themeColor="text1"/>
          <w:sz w:val="36"/>
          <w:szCs w:val="36"/>
          <w14:textFill>
            <w14:solidFill>
              <w14:schemeClr w14:val="tx1"/>
            </w14:solidFill>
          </w14:textFill>
        </w:rPr>
      </w:pPr>
    </w:p>
    <w:bookmarkEnd w:id="0"/>
    <w:p w14:paraId="6A116E2F">
      <w:pPr>
        <w:adjustRightInd w:val="0"/>
        <w:snapToGrid w:val="0"/>
        <w:spacing w:line="288" w:lineRule="auto"/>
        <w:jc w:val="center"/>
        <w:outlineLvl w:val="0"/>
        <w:rPr>
          <w:rFonts w:ascii="楷体_GB2312" w:eastAsia="楷体_GB2312"/>
          <w:color w:val="000000" w:themeColor="text1"/>
          <w:sz w:val="36"/>
          <w:szCs w:val="36"/>
          <w14:textFill>
            <w14:solidFill>
              <w14:schemeClr w14:val="tx1"/>
            </w14:solidFill>
          </w14:textFill>
        </w:rPr>
      </w:pPr>
      <w:r>
        <w:rPr>
          <w:rFonts w:hint="eastAsia" w:ascii="楷体_GB2312" w:eastAsia="楷体_GB2312"/>
          <w:color w:val="000000" w:themeColor="text1"/>
          <w:sz w:val="36"/>
          <w:szCs w:val="36"/>
          <w14:textFill>
            <w14:solidFill>
              <w14:schemeClr w14:val="tx1"/>
            </w14:solidFill>
          </w14:textFill>
        </w:rPr>
        <w:t>中华人民共和国生态环境部制</w:t>
      </w:r>
    </w:p>
    <w:p w14:paraId="752954FD">
      <w:pPr>
        <w:adjustRightInd w:val="0"/>
        <w:snapToGrid w:val="0"/>
        <w:spacing w:line="288" w:lineRule="auto"/>
        <w:ind w:firstLine="1040"/>
        <w:rPr>
          <w:rFonts w:ascii="仿宋_GB2312" w:eastAsia="仿宋_GB2312"/>
          <w:color w:val="000000" w:themeColor="text1"/>
          <w:sz w:val="36"/>
          <w:szCs w:val="36"/>
          <w14:textFill>
            <w14:solidFill>
              <w14:schemeClr w14:val="tx1"/>
            </w14:solidFill>
          </w14:textFill>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69B22787">
      <w:pPr>
        <w:pStyle w:val="9"/>
        <w:rPr>
          <w:color w:val="000000" w:themeColor="text1"/>
          <w14:textFill>
            <w14:solidFill>
              <w14:schemeClr w14:val="tx1"/>
            </w14:solidFill>
          </w14:textFill>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7668DF46">
      <w:pPr>
        <w:pStyle w:val="9"/>
        <w:rPr>
          <w:color w:val="000000" w:themeColor="text1"/>
          <w14:textFill>
            <w14:solidFill>
              <w14:schemeClr w14:val="tx1"/>
            </w14:solidFill>
          </w14:textFill>
        </w:rPr>
      </w:pPr>
    </w:p>
    <w:p w14:paraId="2E849F70">
      <w:pPr>
        <w:pStyle w:val="25"/>
        <w:spacing w:before="0" w:beforeAutospacing="0" w:after="0" w:afterAutospacing="0" w:line="360" w:lineRule="auto"/>
        <w:jc w:val="center"/>
        <w:outlineLvl w:val="0"/>
        <w:rPr>
          <w:rFonts w:cs="宋体"/>
          <w:b/>
          <w:bCs/>
          <w:snapToGrid w:val="0"/>
          <w:color w:val="000000" w:themeColor="text1"/>
          <w:sz w:val="30"/>
          <w:szCs w:val="30"/>
          <w14:textFill>
            <w14:solidFill>
              <w14:schemeClr w14:val="tx1"/>
            </w14:solidFill>
          </w14:textFill>
        </w:rPr>
      </w:pPr>
      <w:r>
        <w:rPr>
          <w:rFonts w:hint="eastAsia" w:cs="宋体"/>
          <w:b/>
          <w:bCs/>
          <w:snapToGrid w:val="0"/>
          <w:color w:val="000000" w:themeColor="text1"/>
          <w:sz w:val="30"/>
          <w:szCs w:val="30"/>
          <w14:textFill>
            <w14:solidFill>
              <w14:schemeClr w14:val="tx1"/>
            </w14:solidFill>
          </w14:textFill>
        </w:rPr>
        <w:t>一、建设项目基本情况</w:t>
      </w:r>
    </w:p>
    <w:tbl>
      <w:tblPr>
        <w:tblStyle w:val="28"/>
        <w:tblW w:w="887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554"/>
        <w:gridCol w:w="1804"/>
        <w:gridCol w:w="2330"/>
        <w:gridCol w:w="3185"/>
      </w:tblGrid>
      <w:tr w14:paraId="06FFF4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4C882945">
            <w:pPr>
              <w:adjustRightInd w:val="0"/>
              <w:snapToGrid w:val="0"/>
              <w:jc w:val="center"/>
              <w:rPr>
                <w:color w:val="auto"/>
                <w:sz w:val="24"/>
              </w:rPr>
            </w:pPr>
            <w:r>
              <w:rPr>
                <w:color w:val="auto"/>
                <w:sz w:val="24"/>
              </w:rPr>
              <w:t>建设项目名称</w:t>
            </w:r>
          </w:p>
        </w:tc>
        <w:tc>
          <w:tcPr>
            <w:tcW w:w="7316" w:type="dxa"/>
            <w:gridSpan w:val="3"/>
            <w:vAlign w:val="center"/>
          </w:tcPr>
          <w:p w14:paraId="1C276993">
            <w:pPr>
              <w:adjustRightInd w:val="0"/>
              <w:snapToGrid w:val="0"/>
              <w:jc w:val="center"/>
              <w:rPr>
                <w:color w:val="auto"/>
                <w:sz w:val="24"/>
              </w:rPr>
            </w:pPr>
            <w:r>
              <w:rPr>
                <w:rFonts w:hint="eastAsia"/>
                <w:color w:val="auto"/>
                <w:sz w:val="24"/>
                <w:lang w:val="en-US" w:eastAsia="zh-CN"/>
              </w:rPr>
              <w:t>西安市正通市政工程试验检测有限公司实验室建设项目</w:t>
            </w:r>
          </w:p>
        </w:tc>
      </w:tr>
      <w:tr w14:paraId="264616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25F5C155">
            <w:pPr>
              <w:adjustRightInd w:val="0"/>
              <w:snapToGrid w:val="0"/>
              <w:jc w:val="center"/>
              <w:rPr>
                <w:color w:val="auto"/>
                <w:sz w:val="24"/>
              </w:rPr>
            </w:pPr>
            <w:r>
              <w:rPr>
                <w:color w:val="auto"/>
                <w:sz w:val="24"/>
              </w:rPr>
              <w:t>项目代码</w:t>
            </w:r>
          </w:p>
        </w:tc>
        <w:tc>
          <w:tcPr>
            <w:tcW w:w="7316" w:type="dxa"/>
            <w:gridSpan w:val="3"/>
            <w:vAlign w:val="center"/>
          </w:tcPr>
          <w:p w14:paraId="3C6CB44C">
            <w:pPr>
              <w:adjustRightInd w:val="0"/>
              <w:snapToGrid w:val="0"/>
              <w:jc w:val="center"/>
              <w:rPr>
                <w:rFonts w:hint="eastAsia" w:eastAsia="宋体"/>
                <w:color w:val="auto"/>
                <w:sz w:val="24"/>
                <w:lang w:eastAsia="zh-CN"/>
              </w:rPr>
            </w:pPr>
            <w:r>
              <w:rPr>
                <w:rFonts w:hint="eastAsia" w:eastAsia="宋体"/>
                <w:color w:val="auto"/>
                <w:sz w:val="24"/>
                <w:lang w:eastAsia="zh-CN"/>
              </w:rPr>
              <w:t>2505-611203-04-01-516873</w:t>
            </w:r>
          </w:p>
        </w:tc>
      </w:tr>
      <w:tr w14:paraId="1086E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40E28A02">
            <w:pPr>
              <w:adjustRightInd w:val="0"/>
              <w:snapToGrid w:val="0"/>
              <w:jc w:val="center"/>
              <w:rPr>
                <w:color w:val="auto"/>
                <w:sz w:val="24"/>
              </w:rPr>
            </w:pPr>
            <w:r>
              <w:rPr>
                <w:color w:val="auto"/>
                <w:sz w:val="24"/>
              </w:rPr>
              <w:t>建设单位联系人</w:t>
            </w:r>
          </w:p>
        </w:tc>
        <w:tc>
          <w:tcPr>
            <w:tcW w:w="1804" w:type="dxa"/>
            <w:vAlign w:val="center"/>
          </w:tcPr>
          <w:p w14:paraId="083BC826">
            <w:pPr>
              <w:adjustRightInd w:val="0"/>
              <w:snapToGrid w:val="0"/>
              <w:jc w:val="center"/>
              <w:rPr>
                <w:rFonts w:hint="eastAsia" w:eastAsia="宋体"/>
                <w:color w:val="auto"/>
                <w:sz w:val="24"/>
                <w:lang w:eastAsia="zh-CN"/>
              </w:rPr>
            </w:pPr>
            <w:r>
              <w:rPr>
                <w:rFonts w:hint="eastAsia"/>
                <w:color w:val="auto"/>
                <w:sz w:val="24"/>
                <w:lang w:val="en-US" w:eastAsia="zh-CN"/>
              </w:rPr>
              <w:t>赵天奇</w:t>
            </w:r>
          </w:p>
        </w:tc>
        <w:tc>
          <w:tcPr>
            <w:tcW w:w="2330" w:type="dxa"/>
            <w:vAlign w:val="center"/>
          </w:tcPr>
          <w:p w14:paraId="423C8020">
            <w:pPr>
              <w:adjustRightInd w:val="0"/>
              <w:snapToGrid w:val="0"/>
              <w:jc w:val="center"/>
              <w:rPr>
                <w:color w:val="auto"/>
                <w:sz w:val="24"/>
              </w:rPr>
            </w:pPr>
            <w:r>
              <w:rPr>
                <w:color w:val="auto"/>
                <w:sz w:val="24"/>
              </w:rPr>
              <w:t>联系方式</w:t>
            </w:r>
          </w:p>
        </w:tc>
        <w:tc>
          <w:tcPr>
            <w:tcW w:w="3182" w:type="dxa"/>
            <w:vAlign w:val="center"/>
          </w:tcPr>
          <w:p w14:paraId="35DDC5D5">
            <w:pPr>
              <w:adjustRightInd w:val="0"/>
              <w:snapToGrid w:val="0"/>
              <w:jc w:val="center"/>
              <w:rPr>
                <w:color w:val="auto"/>
                <w:sz w:val="24"/>
              </w:rPr>
            </w:pPr>
            <w:r>
              <w:rPr>
                <w:rFonts w:hint="eastAsia" w:cs="Times New Roman"/>
                <w:color w:val="auto"/>
                <w:kern w:val="0"/>
                <w:sz w:val="24"/>
                <w:szCs w:val="22"/>
                <w:lang w:val="en-US" w:eastAsia="zh-CN"/>
              </w:rPr>
              <w:t>13572202095</w:t>
            </w:r>
          </w:p>
        </w:tc>
      </w:tr>
      <w:tr w14:paraId="43C26A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417B1630">
            <w:pPr>
              <w:adjustRightInd w:val="0"/>
              <w:snapToGrid w:val="0"/>
              <w:jc w:val="center"/>
              <w:rPr>
                <w:color w:val="auto"/>
                <w:sz w:val="24"/>
              </w:rPr>
            </w:pPr>
            <w:r>
              <w:rPr>
                <w:color w:val="auto"/>
                <w:sz w:val="24"/>
              </w:rPr>
              <w:t>建设地点</w:t>
            </w:r>
          </w:p>
        </w:tc>
        <w:tc>
          <w:tcPr>
            <w:tcW w:w="7316" w:type="dxa"/>
            <w:gridSpan w:val="3"/>
            <w:vAlign w:val="center"/>
          </w:tcPr>
          <w:p w14:paraId="4CBD5399">
            <w:pPr>
              <w:adjustRightInd w:val="0"/>
              <w:snapToGrid w:val="0"/>
              <w:jc w:val="center"/>
              <w:rPr>
                <w:color w:val="auto"/>
                <w:sz w:val="24"/>
              </w:rPr>
            </w:pPr>
            <w:r>
              <w:rPr>
                <w:rFonts w:hint="eastAsia" w:ascii="宋体" w:hAnsi="宋体" w:eastAsiaTheme="minorEastAsia" w:cstheme="minorBidi"/>
                <w:color w:val="auto"/>
                <w:kern w:val="0"/>
                <w:sz w:val="24"/>
                <w:szCs w:val="24"/>
                <w:lang w:val="en-US" w:eastAsia="zh-CN" w:bidi="ar-SA"/>
              </w:rPr>
              <w:t>陕西省西安市沣东新城天章大道与丰安路十字东南角（西安众汇电子科技有限公司办公楼一层）</w:t>
            </w:r>
          </w:p>
        </w:tc>
      </w:tr>
      <w:tr w14:paraId="50D531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6FE8BFAA">
            <w:pPr>
              <w:adjustRightInd w:val="0"/>
              <w:snapToGrid w:val="0"/>
              <w:jc w:val="center"/>
              <w:rPr>
                <w:color w:val="auto"/>
                <w:sz w:val="24"/>
              </w:rPr>
            </w:pPr>
            <w:r>
              <w:rPr>
                <w:color w:val="auto"/>
                <w:sz w:val="24"/>
              </w:rPr>
              <w:t>地理坐标</w:t>
            </w:r>
          </w:p>
        </w:tc>
        <w:tc>
          <w:tcPr>
            <w:tcW w:w="7316" w:type="dxa"/>
            <w:gridSpan w:val="3"/>
            <w:vAlign w:val="center"/>
          </w:tcPr>
          <w:p w14:paraId="11B57B27">
            <w:pPr>
              <w:jc w:val="center"/>
              <w:rPr>
                <w:color w:val="auto"/>
                <w:sz w:val="24"/>
              </w:rPr>
            </w:pPr>
            <w:r>
              <w:rPr>
                <w:color w:val="auto"/>
                <w:sz w:val="24"/>
              </w:rPr>
              <w:t>（东经</w:t>
            </w:r>
            <w:r>
              <w:rPr>
                <w:color w:val="auto"/>
                <w:sz w:val="24"/>
                <w:u w:val="single"/>
              </w:rPr>
              <w:t xml:space="preserve">108 </w:t>
            </w:r>
            <w:r>
              <w:rPr>
                <w:color w:val="auto"/>
                <w:sz w:val="24"/>
              </w:rPr>
              <w:t>度</w:t>
            </w:r>
            <w:r>
              <w:rPr>
                <w:color w:val="auto"/>
                <w:sz w:val="24"/>
                <w:u w:val="single"/>
              </w:rPr>
              <w:t xml:space="preserve"> </w:t>
            </w:r>
            <w:r>
              <w:rPr>
                <w:rFonts w:hint="eastAsia"/>
                <w:color w:val="auto"/>
                <w:sz w:val="24"/>
                <w:u w:val="single"/>
                <w:lang w:val="en-US" w:eastAsia="zh-CN"/>
              </w:rPr>
              <w:t>49</w:t>
            </w:r>
            <w:r>
              <w:rPr>
                <w:color w:val="auto"/>
                <w:sz w:val="24"/>
                <w:u w:val="single"/>
              </w:rPr>
              <w:t xml:space="preserve"> </w:t>
            </w:r>
            <w:r>
              <w:rPr>
                <w:color w:val="auto"/>
                <w:sz w:val="24"/>
              </w:rPr>
              <w:t>分</w:t>
            </w:r>
            <w:r>
              <w:rPr>
                <w:color w:val="auto"/>
                <w:sz w:val="24"/>
                <w:u w:val="single"/>
              </w:rPr>
              <w:t xml:space="preserve"> </w:t>
            </w:r>
            <w:r>
              <w:rPr>
                <w:rFonts w:hint="eastAsia"/>
                <w:color w:val="auto"/>
                <w:sz w:val="24"/>
                <w:u w:val="single"/>
                <w:lang w:val="en-US" w:eastAsia="zh-CN"/>
              </w:rPr>
              <w:t>13.160</w:t>
            </w:r>
            <w:r>
              <w:rPr>
                <w:color w:val="auto"/>
                <w:sz w:val="24"/>
                <w:u w:val="single"/>
              </w:rPr>
              <w:t xml:space="preserve"> </w:t>
            </w:r>
            <w:r>
              <w:rPr>
                <w:color w:val="auto"/>
                <w:sz w:val="24"/>
              </w:rPr>
              <w:t>秒，北纬</w:t>
            </w:r>
            <w:r>
              <w:rPr>
                <w:color w:val="auto"/>
                <w:sz w:val="24"/>
                <w:u w:val="single"/>
              </w:rPr>
              <w:t xml:space="preserve">34 </w:t>
            </w:r>
            <w:r>
              <w:rPr>
                <w:color w:val="auto"/>
                <w:sz w:val="24"/>
              </w:rPr>
              <w:t>度</w:t>
            </w:r>
            <w:r>
              <w:rPr>
                <w:color w:val="auto"/>
                <w:sz w:val="24"/>
                <w:u w:val="single"/>
              </w:rPr>
              <w:t xml:space="preserve"> </w:t>
            </w:r>
            <w:r>
              <w:rPr>
                <w:rFonts w:hint="eastAsia"/>
                <w:color w:val="auto"/>
                <w:sz w:val="24"/>
                <w:u w:val="single"/>
              </w:rPr>
              <w:t>1</w:t>
            </w:r>
            <w:r>
              <w:rPr>
                <w:rFonts w:hint="eastAsia"/>
                <w:color w:val="auto"/>
                <w:sz w:val="24"/>
                <w:u w:val="single"/>
                <w:lang w:val="en-US" w:eastAsia="zh-CN"/>
              </w:rPr>
              <w:t>9</w:t>
            </w:r>
            <w:r>
              <w:rPr>
                <w:color w:val="auto"/>
                <w:sz w:val="24"/>
                <w:u w:val="single"/>
              </w:rPr>
              <w:t xml:space="preserve"> </w:t>
            </w:r>
            <w:r>
              <w:rPr>
                <w:color w:val="auto"/>
                <w:sz w:val="24"/>
              </w:rPr>
              <w:t>分</w:t>
            </w:r>
            <w:r>
              <w:rPr>
                <w:color w:val="auto"/>
                <w:sz w:val="24"/>
                <w:u w:val="single"/>
              </w:rPr>
              <w:t xml:space="preserve"> </w:t>
            </w:r>
            <w:r>
              <w:rPr>
                <w:rFonts w:hint="eastAsia"/>
                <w:color w:val="auto"/>
                <w:sz w:val="24"/>
                <w:u w:val="single"/>
                <w:lang w:val="en-US" w:eastAsia="zh-CN"/>
              </w:rPr>
              <w:t>36.950</w:t>
            </w:r>
            <w:r>
              <w:rPr>
                <w:color w:val="auto"/>
                <w:sz w:val="24"/>
                <w:u w:val="single"/>
              </w:rPr>
              <w:t xml:space="preserve"> </w:t>
            </w:r>
            <w:r>
              <w:rPr>
                <w:color w:val="auto"/>
                <w:sz w:val="24"/>
              </w:rPr>
              <w:t>秒）</w:t>
            </w:r>
          </w:p>
        </w:tc>
      </w:tr>
      <w:tr w14:paraId="06D394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554" w:type="dxa"/>
            <w:tcMar>
              <w:top w:w="16" w:type="dxa"/>
              <w:left w:w="16" w:type="dxa"/>
              <w:right w:w="16" w:type="dxa"/>
            </w:tcMar>
            <w:vAlign w:val="center"/>
          </w:tcPr>
          <w:p w14:paraId="37187ECC">
            <w:pPr>
              <w:adjustRightInd w:val="0"/>
              <w:snapToGrid w:val="0"/>
              <w:jc w:val="center"/>
              <w:rPr>
                <w:color w:val="auto"/>
                <w:sz w:val="24"/>
              </w:rPr>
            </w:pPr>
            <w:r>
              <w:rPr>
                <w:color w:val="auto"/>
                <w:sz w:val="24"/>
              </w:rPr>
              <w:t>国民经济</w:t>
            </w:r>
          </w:p>
          <w:p w14:paraId="49B7CFEA">
            <w:pPr>
              <w:adjustRightInd w:val="0"/>
              <w:snapToGrid w:val="0"/>
              <w:jc w:val="center"/>
              <w:rPr>
                <w:color w:val="auto"/>
                <w:sz w:val="24"/>
              </w:rPr>
            </w:pPr>
            <w:r>
              <w:rPr>
                <w:color w:val="auto"/>
                <w:sz w:val="24"/>
              </w:rPr>
              <w:t>行业类别</w:t>
            </w:r>
          </w:p>
        </w:tc>
        <w:tc>
          <w:tcPr>
            <w:tcW w:w="1804" w:type="dxa"/>
            <w:vAlign w:val="center"/>
          </w:tcPr>
          <w:p w14:paraId="77CEC13B">
            <w:pPr>
              <w:adjustRightInd w:val="0"/>
              <w:snapToGrid w:val="0"/>
              <w:jc w:val="center"/>
              <w:rPr>
                <w:color w:val="auto"/>
                <w:sz w:val="24"/>
              </w:rPr>
            </w:pPr>
            <w:r>
              <w:rPr>
                <w:rFonts w:hint="eastAsia"/>
                <w:color w:val="auto"/>
                <w:sz w:val="24"/>
                <w:highlight w:val="none"/>
              </w:rPr>
              <w:t>M7452 检测服务</w:t>
            </w:r>
          </w:p>
        </w:tc>
        <w:tc>
          <w:tcPr>
            <w:tcW w:w="2330" w:type="dxa"/>
            <w:vAlign w:val="center"/>
          </w:tcPr>
          <w:p w14:paraId="587B5701">
            <w:pPr>
              <w:adjustRightInd w:val="0"/>
              <w:snapToGrid w:val="0"/>
              <w:jc w:val="center"/>
              <w:rPr>
                <w:color w:val="auto"/>
                <w:sz w:val="24"/>
              </w:rPr>
            </w:pPr>
            <w:bookmarkStart w:id="1" w:name="_Hlk49843745"/>
            <w:r>
              <w:rPr>
                <w:color w:val="auto"/>
                <w:sz w:val="24"/>
              </w:rPr>
              <w:t>建设项目</w:t>
            </w:r>
          </w:p>
          <w:p w14:paraId="011D18A0">
            <w:pPr>
              <w:adjustRightInd w:val="0"/>
              <w:snapToGrid w:val="0"/>
              <w:jc w:val="center"/>
              <w:rPr>
                <w:color w:val="auto"/>
                <w:sz w:val="24"/>
              </w:rPr>
            </w:pPr>
            <w:r>
              <w:rPr>
                <w:color w:val="auto"/>
                <w:sz w:val="24"/>
              </w:rPr>
              <w:t>行业类别</w:t>
            </w:r>
            <w:bookmarkEnd w:id="1"/>
          </w:p>
        </w:tc>
        <w:tc>
          <w:tcPr>
            <w:tcW w:w="3182" w:type="dxa"/>
            <w:vAlign w:val="center"/>
          </w:tcPr>
          <w:p w14:paraId="7E2A05DB">
            <w:pPr>
              <w:jc w:val="center"/>
              <w:rPr>
                <w:color w:val="auto"/>
                <w:sz w:val="24"/>
              </w:rPr>
            </w:pPr>
            <w:r>
              <w:rPr>
                <w:rFonts w:hint="eastAsia"/>
                <w:color w:val="auto"/>
                <w:sz w:val="24"/>
                <w:highlight w:val="none"/>
              </w:rPr>
              <w:t>四十五、研究和试验发展98、专业试验室、研发（试验）基地中的其他（不产生</w:t>
            </w:r>
            <w:r>
              <w:rPr>
                <w:rFonts w:hint="eastAsia"/>
                <w:color w:val="auto"/>
                <w:sz w:val="24"/>
                <w:highlight w:val="none"/>
                <w:lang w:eastAsia="zh-CN"/>
              </w:rPr>
              <w:t>试验</w:t>
            </w:r>
            <w:r>
              <w:rPr>
                <w:rFonts w:hint="eastAsia"/>
                <w:color w:val="auto"/>
                <w:sz w:val="24"/>
                <w:highlight w:val="none"/>
              </w:rPr>
              <w:t>废气、废水、危险废物的除外）</w:t>
            </w:r>
          </w:p>
        </w:tc>
      </w:tr>
      <w:tr w14:paraId="402A36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554" w:type="dxa"/>
            <w:tcMar>
              <w:top w:w="16" w:type="dxa"/>
              <w:left w:w="16" w:type="dxa"/>
              <w:right w:w="16" w:type="dxa"/>
            </w:tcMar>
            <w:vAlign w:val="center"/>
          </w:tcPr>
          <w:p w14:paraId="7365F80A">
            <w:pPr>
              <w:adjustRightInd w:val="0"/>
              <w:snapToGrid w:val="0"/>
              <w:jc w:val="center"/>
              <w:rPr>
                <w:color w:val="auto"/>
                <w:sz w:val="24"/>
              </w:rPr>
            </w:pPr>
            <w:r>
              <w:rPr>
                <w:color w:val="auto"/>
                <w:sz w:val="24"/>
              </w:rPr>
              <w:t>建设性质</w:t>
            </w:r>
          </w:p>
        </w:tc>
        <w:tc>
          <w:tcPr>
            <w:tcW w:w="1804" w:type="dxa"/>
            <w:vAlign w:val="center"/>
          </w:tcPr>
          <w:p w14:paraId="6B7661FE">
            <w:pPr>
              <w:jc w:val="left"/>
              <w:rPr>
                <w:color w:val="auto"/>
                <w:sz w:val="24"/>
              </w:rPr>
            </w:pPr>
            <w:r>
              <w:rPr>
                <w:color w:val="auto"/>
                <w:sz w:val="24"/>
              </w:rPr>
              <w:sym w:font="Wingdings 2" w:char="0052"/>
            </w:r>
            <w:r>
              <w:rPr>
                <w:rFonts w:hint="eastAsia"/>
                <w:color w:val="auto"/>
                <w:sz w:val="24"/>
                <w:lang w:val="en-US" w:eastAsia="zh-CN"/>
              </w:rPr>
              <w:t>新建（</w:t>
            </w:r>
            <w:r>
              <w:rPr>
                <w:color w:val="auto"/>
                <w:sz w:val="24"/>
              </w:rPr>
              <w:t>迁建</w:t>
            </w:r>
            <w:r>
              <w:rPr>
                <w:rFonts w:hint="eastAsia"/>
                <w:color w:val="auto"/>
                <w:sz w:val="24"/>
                <w:lang w:val="en-US" w:eastAsia="zh-CN"/>
              </w:rPr>
              <w:t>）</w:t>
            </w:r>
          </w:p>
          <w:p w14:paraId="3E2F4E12">
            <w:pPr>
              <w:jc w:val="left"/>
              <w:rPr>
                <w:color w:val="auto"/>
                <w:sz w:val="24"/>
              </w:rPr>
            </w:pPr>
            <w:r>
              <w:rPr>
                <w:color w:val="auto"/>
                <w:sz w:val="24"/>
              </w:rPr>
              <w:sym w:font="Wingdings 2" w:char="00A3"/>
            </w:r>
            <w:r>
              <w:rPr>
                <w:color w:val="auto"/>
                <w:sz w:val="24"/>
              </w:rPr>
              <w:t>改建</w:t>
            </w:r>
          </w:p>
          <w:p w14:paraId="4D1CF92B">
            <w:pPr>
              <w:jc w:val="left"/>
              <w:rPr>
                <w:color w:val="auto"/>
                <w:sz w:val="24"/>
              </w:rPr>
            </w:pPr>
            <w:r>
              <w:rPr>
                <w:color w:val="auto"/>
                <w:sz w:val="24"/>
              </w:rPr>
              <w:sym w:font="Wingdings 2" w:char="00A3"/>
            </w:r>
            <w:r>
              <w:rPr>
                <w:color w:val="auto"/>
                <w:sz w:val="24"/>
              </w:rPr>
              <w:t>扩建</w:t>
            </w:r>
          </w:p>
          <w:p w14:paraId="42D0A042">
            <w:pPr>
              <w:jc w:val="left"/>
              <w:rPr>
                <w:color w:val="auto"/>
                <w:sz w:val="24"/>
              </w:rPr>
            </w:pPr>
            <w:r>
              <w:rPr>
                <w:color w:val="auto"/>
                <w:sz w:val="24"/>
              </w:rPr>
              <w:sym w:font="Wingdings 2" w:char="00A3"/>
            </w:r>
            <w:r>
              <w:rPr>
                <w:color w:val="auto"/>
                <w:sz w:val="24"/>
              </w:rPr>
              <w:t>技术改造</w:t>
            </w:r>
          </w:p>
        </w:tc>
        <w:tc>
          <w:tcPr>
            <w:tcW w:w="2330" w:type="dxa"/>
            <w:vAlign w:val="center"/>
          </w:tcPr>
          <w:p w14:paraId="02086E82">
            <w:pPr>
              <w:adjustRightInd w:val="0"/>
              <w:snapToGrid w:val="0"/>
              <w:jc w:val="center"/>
              <w:rPr>
                <w:color w:val="auto"/>
                <w:sz w:val="24"/>
              </w:rPr>
            </w:pPr>
            <w:r>
              <w:rPr>
                <w:color w:val="auto"/>
                <w:sz w:val="24"/>
              </w:rPr>
              <w:t>建设项目</w:t>
            </w:r>
          </w:p>
          <w:p w14:paraId="001DD398">
            <w:pPr>
              <w:adjustRightInd w:val="0"/>
              <w:snapToGrid w:val="0"/>
              <w:jc w:val="center"/>
              <w:rPr>
                <w:color w:val="auto"/>
                <w:sz w:val="24"/>
              </w:rPr>
            </w:pPr>
            <w:r>
              <w:rPr>
                <w:color w:val="auto"/>
                <w:sz w:val="24"/>
              </w:rPr>
              <w:t>申报情形</w:t>
            </w:r>
          </w:p>
        </w:tc>
        <w:tc>
          <w:tcPr>
            <w:tcW w:w="3182" w:type="dxa"/>
            <w:vAlign w:val="center"/>
          </w:tcPr>
          <w:p w14:paraId="0CCB5188">
            <w:pPr>
              <w:jc w:val="left"/>
              <w:rPr>
                <w:color w:val="auto"/>
                <w:sz w:val="24"/>
              </w:rPr>
            </w:pPr>
            <w:r>
              <w:rPr>
                <w:color w:val="auto"/>
                <w:sz w:val="24"/>
              </w:rPr>
              <w:sym w:font="Wingdings 2" w:char="0052"/>
            </w:r>
            <w:r>
              <w:rPr>
                <w:color w:val="auto"/>
                <w:sz w:val="24"/>
              </w:rPr>
              <w:t>首次申报项目</w:t>
            </w:r>
          </w:p>
          <w:p w14:paraId="67487BC1">
            <w:pPr>
              <w:jc w:val="left"/>
              <w:rPr>
                <w:color w:val="auto"/>
                <w:sz w:val="24"/>
              </w:rPr>
            </w:pPr>
            <w:r>
              <w:rPr>
                <w:color w:val="auto"/>
                <w:sz w:val="24"/>
              </w:rPr>
              <w:sym w:font="Wingdings 2" w:char="00A3"/>
            </w:r>
            <w:r>
              <w:rPr>
                <w:color w:val="auto"/>
                <w:sz w:val="24"/>
              </w:rPr>
              <w:t>不予批准后再次申报项目</w:t>
            </w:r>
          </w:p>
          <w:p w14:paraId="49938049">
            <w:pPr>
              <w:jc w:val="left"/>
              <w:rPr>
                <w:color w:val="auto"/>
                <w:sz w:val="24"/>
              </w:rPr>
            </w:pPr>
            <w:r>
              <w:rPr>
                <w:color w:val="auto"/>
                <w:sz w:val="24"/>
              </w:rPr>
              <w:sym w:font="Wingdings 2" w:char="00A3"/>
            </w:r>
            <w:r>
              <w:rPr>
                <w:color w:val="auto"/>
                <w:sz w:val="24"/>
              </w:rPr>
              <w:t>超五年重新审核项目</w:t>
            </w:r>
          </w:p>
          <w:p w14:paraId="1E812C72">
            <w:pPr>
              <w:jc w:val="left"/>
              <w:rPr>
                <w:color w:val="auto"/>
                <w:sz w:val="24"/>
              </w:rPr>
            </w:pPr>
            <w:r>
              <w:rPr>
                <w:color w:val="auto"/>
                <w:sz w:val="24"/>
              </w:rPr>
              <w:sym w:font="Wingdings 2" w:char="00A3"/>
            </w:r>
            <w:r>
              <w:rPr>
                <w:color w:val="auto"/>
                <w:sz w:val="24"/>
              </w:rPr>
              <w:t>重大变动重新报批项目</w:t>
            </w:r>
          </w:p>
        </w:tc>
      </w:tr>
      <w:tr w14:paraId="1535D0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59" w:hRule="atLeast"/>
          <w:jc w:val="center"/>
        </w:trPr>
        <w:tc>
          <w:tcPr>
            <w:tcW w:w="1554" w:type="dxa"/>
            <w:tcMar>
              <w:top w:w="16" w:type="dxa"/>
              <w:left w:w="16" w:type="dxa"/>
              <w:right w:w="16" w:type="dxa"/>
            </w:tcMar>
            <w:vAlign w:val="center"/>
          </w:tcPr>
          <w:p w14:paraId="3FF06BBC">
            <w:pPr>
              <w:adjustRightInd w:val="0"/>
              <w:snapToGrid w:val="0"/>
              <w:jc w:val="center"/>
              <w:rPr>
                <w:color w:val="auto"/>
                <w:sz w:val="24"/>
              </w:rPr>
            </w:pPr>
            <w:r>
              <w:rPr>
                <w:color w:val="auto"/>
                <w:sz w:val="24"/>
              </w:rPr>
              <w:t>项目审批（核准/备案）部门（选填）</w:t>
            </w:r>
          </w:p>
        </w:tc>
        <w:tc>
          <w:tcPr>
            <w:tcW w:w="1804" w:type="dxa"/>
            <w:vAlign w:val="center"/>
          </w:tcPr>
          <w:p w14:paraId="4C5C62BD">
            <w:pPr>
              <w:adjustRightInd w:val="0"/>
              <w:snapToGrid w:val="0"/>
              <w:jc w:val="center"/>
              <w:rPr>
                <w:rFonts w:hint="eastAsia" w:eastAsia="宋体"/>
                <w:color w:val="auto"/>
                <w:sz w:val="24"/>
                <w:lang w:eastAsia="zh-CN"/>
              </w:rPr>
            </w:pPr>
            <w:r>
              <w:rPr>
                <w:rFonts w:hint="eastAsia" w:eastAsia="宋体"/>
                <w:color w:val="auto"/>
                <w:sz w:val="24"/>
                <w:lang w:eastAsia="zh-CN"/>
              </w:rPr>
              <w:t>陕西省西咸新区沣东新城管理委员会</w:t>
            </w:r>
          </w:p>
        </w:tc>
        <w:tc>
          <w:tcPr>
            <w:tcW w:w="2330" w:type="dxa"/>
            <w:vAlign w:val="center"/>
          </w:tcPr>
          <w:p w14:paraId="1D8DB5F1">
            <w:pPr>
              <w:adjustRightInd w:val="0"/>
              <w:snapToGrid w:val="0"/>
              <w:jc w:val="center"/>
              <w:rPr>
                <w:color w:val="auto"/>
                <w:sz w:val="24"/>
              </w:rPr>
            </w:pPr>
            <w:r>
              <w:rPr>
                <w:color w:val="auto"/>
                <w:sz w:val="24"/>
              </w:rPr>
              <w:t>项目审批（核准/</w:t>
            </w:r>
          </w:p>
          <w:p w14:paraId="23C0CE01">
            <w:pPr>
              <w:adjustRightInd w:val="0"/>
              <w:snapToGrid w:val="0"/>
              <w:jc w:val="center"/>
              <w:rPr>
                <w:color w:val="auto"/>
                <w:sz w:val="24"/>
              </w:rPr>
            </w:pPr>
            <w:r>
              <w:rPr>
                <w:color w:val="auto"/>
                <w:sz w:val="24"/>
              </w:rPr>
              <w:t>备案）文号（选填）</w:t>
            </w:r>
          </w:p>
        </w:tc>
        <w:tc>
          <w:tcPr>
            <w:tcW w:w="3182" w:type="dxa"/>
            <w:vAlign w:val="center"/>
          </w:tcPr>
          <w:p w14:paraId="359A26EE">
            <w:pPr>
              <w:adjustRightInd w:val="0"/>
              <w:snapToGrid w:val="0"/>
              <w:jc w:val="center"/>
              <w:rPr>
                <w:color w:val="auto"/>
                <w:sz w:val="24"/>
              </w:rPr>
            </w:pPr>
            <w:r>
              <w:rPr>
                <w:color w:val="auto"/>
                <w:sz w:val="24"/>
              </w:rPr>
              <w:t>/</w:t>
            </w:r>
          </w:p>
        </w:tc>
      </w:tr>
      <w:tr w14:paraId="7778C8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76CBE2BF">
            <w:pPr>
              <w:adjustRightInd w:val="0"/>
              <w:snapToGrid w:val="0"/>
              <w:jc w:val="center"/>
              <w:rPr>
                <w:color w:val="auto"/>
                <w:sz w:val="24"/>
              </w:rPr>
            </w:pPr>
            <w:r>
              <w:rPr>
                <w:color w:val="auto"/>
                <w:sz w:val="24"/>
              </w:rPr>
              <w:t>总投资（万元）</w:t>
            </w:r>
          </w:p>
        </w:tc>
        <w:tc>
          <w:tcPr>
            <w:tcW w:w="1804" w:type="dxa"/>
            <w:vAlign w:val="center"/>
          </w:tcPr>
          <w:p w14:paraId="380CD402">
            <w:pPr>
              <w:adjustRightInd w:val="0"/>
              <w:snapToGrid w:val="0"/>
              <w:jc w:val="center"/>
              <w:rPr>
                <w:color w:val="auto"/>
                <w:sz w:val="24"/>
              </w:rPr>
            </w:pPr>
            <w:r>
              <w:rPr>
                <w:rFonts w:hint="eastAsia"/>
                <w:color w:val="auto"/>
                <w:sz w:val="24"/>
                <w:highlight w:val="none"/>
                <w:lang w:val="en-US" w:eastAsia="zh-CN"/>
              </w:rPr>
              <w:t>7</w:t>
            </w:r>
            <w:r>
              <w:rPr>
                <w:rFonts w:hint="eastAsia"/>
                <w:color w:val="auto"/>
                <w:sz w:val="24"/>
                <w:highlight w:val="none"/>
              </w:rPr>
              <w:t>00</w:t>
            </w:r>
          </w:p>
        </w:tc>
        <w:tc>
          <w:tcPr>
            <w:tcW w:w="2330" w:type="dxa"/>
            <w:tcMar>
              <w:top w:w="16" w:type="dxa"/>
              <w:left w:w="16" w:type="dxa"/>
              <w:right w:w="16" w:type="dxa"/>
            </w:tcMar>
            <w:vAlign w:val="center"/>
          </w:tcPr>
          <w:p w14:paraId="11716932">
            <w:pPr>
              <w:adjustRightInd w:val="0"/>
              <w:snapToGrid w:val="0"/>
              <w:jc w:val="center"/>
              <w:rPr>
                <w:color w:val="auto"/>
                <w:sz w:val="24"/>
              </w:rPr>
            </w:pPr>
            <w:r>
              <w:rPr>
                <w:color w:val="auto"/>
                <w:sz w:val="24"/>
              </w:rPr>
              <w:t>环保投资（万元）</w:t>
            </w:r>
          </w:p>
        </w:tc>
        <w:tc>
          <w:tcPr>
            <w:tcW w:w="3182" w:type="dxa"/>
            <w:vAlign w:val="center"/>
          </w:tcPr>
          <w:p w14:paraId="7DBA6D01">
            <w:pPr>
              <w:adjustRightInd w:val="0"/>
              <w:snapToGrid w:val="0"/>
              <w:jc w:val="center"/>
              <w:rPr>
                <w:rFonts w:hint="default" w:eastAsia="宋体"/>
                <w:color w:val="auto"/>
                <w:sz w:val="24"/>
                <w:lang w:val="en-US" w:eastAsia="zh-CN"/>
              </w:rPr>
            </w:pPr>
            <w:r>
              <w:rPr>
                <w:rFonts w:hint="eastAsia"/>
                <w:color w:val="auto"/>
                <w:sz w:val="24"/>
                <w:lang w:val="en-US" w:eastAsia="zh-CN"/>
              </w:rPr>
              <w:t>15</w:t>
            </w:r>
          </w:p>
        </w:tc>
      </w:tr>
      <w:tr w14:paraId="3BB36D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554" w:type="dxa"/>
            <w:tcMar>
              <w:top w:w="16" w:type="dxa"/>
              <w:left w:w="16" w:type="dxa"/>
              <w:right w:w="16" w:type="dxa"/>
            </w:tcMar>
            <w:vAlign w:val="center"/>
          </w:tcPr>
          <w:p w14:paraId="628AF821">
            <w:pPr>
              <w:adjustRightInd w:val="0"/>
              <w:snapToGrid w:val="0"/>
              <w:jc w:val="center"/>
              <w:rPr>
                <w:color w:val="auto"/>
                <w:sz w:val="24"/>
              </w:rPr>
            </w:pPr>
            <w:r>
              <w:rPr>
                <w:color w:val="auto"/>
                <w:sz w:val="24"/>
              </w:rPr>
              <w:t>环保投资占比（%）</w:t>
            </w:r>
          </w:p>
        </w:tc>
        <w:tc>
          <w:tcPr>
            <w:tcW w:w="1804" w:type="dxa"/>
            <w:vAlign w:val="center"/>
          </w:tcPr>
          <w:p w14:paraId="5B42305E">
            <w:pPr>
              <w:adjustRightInd w:val="0"/>
              <w:snapToGrid w:val="0"/>
              <w:jc w:val="center"/>
              <w:rPr>
                <w:color w:val="auto"/>
                <w:sz w:val="24"/>
              </w:rPr>
            </w:pPr>
            <w:r>
              <w:rPr>
                <w:rFonts w:hint="eastAsia"/>
                <w:color w:val="auto"/>
                <w:sz w:val="24"/>
                <w:highlight w:val="none"/>
                <w:lang w:val="en-US" w:eastAsia="zh-CN"/>
              </w:rPr>
              <w:t>2.14</w:t>
            </w:r>
            <w:r>
              <w:rPr>
                <w:color w:val="auto"/>
                <w:sz w:val="24"/>
                <w:highlight w:val="none"/>
              </w:rPr>
              <w:t>%</w:t>
            </w:r>
          </w:p>
        </w:tc>
        <w:tc>
          <w:tcPr>
            <w:tcW w:w="2330" w:type="dxa"/>
            <w:tcMar>
              <w:top w:w="16" w:type="dxa"/>
              <w:left w:w="16" w:type="dxa"/>
              <w:right w:w="16" w:type="dxa"/>
            </w:tcMar>
            <w:vAlign w:val="center"/>
          </w:tcPr>
          <w:p w14:paraId="24BFDEF3">
            <w:pPr>
              <w:adjustRightInd w:val="0"/>
              <w:snapToGrid w:val="0"/>
              <w:jc w:val="center"/>
              <w:rPr>
                <w:color w:val="auto"/>
                <w:sz w:val="24"/>
              </w:rPr>
            </w:pPr>
            <w:r>
              <w:rPr>
                <w:color w:val="auto"/>
                <w:sz w:val="24"/>
              </w:rPr>
              <w:t>施工工期</w:t>
            </w:r>
          </w:p>
        </w:tc>
        <w:tc>
          <w:tcPr>
            <w:tcW w:w="3182" w:type="dxa"/>
            <w:vAlign w:val="center"/>
          </w:tcPr>
          <w:p w14:paraId="0978AC8E">
            <w:pPr>
              <w:adjustRightInd w:val="0"/>
              <w:snapToGrid w:val="0"/>
              <w:jc w:val="center"/>
              <w:rPr>
                <w:color w:val="auto"/>
                <w:sz w:val="24"/>
              </w:rPr>
            </w:pPr>
            <w:r>
              <w:rPr>
                <w:rFonts w:hint="eastAsia"/>
                <w:color w:val="auto"/>
                <w:sz w:val="24"/>
              </w:rPr>
              <w:t>1个月</w:t>
            </w:r>
          </w:p>
        </w:tc>
      </w:tr>
      <w:tr w14:paraId="693D5E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607" w:hRule="atLeast"/>
          <w:jc w:val="center"/>
        </w:trPr>
        <w:tc>
          <w:tcPr>
            <w:tcW w:w="1554" w:type="dxa"/>
            <w:tcMar>
              <w:top w:w="16" w:type="dxa"/>
              <w:left w:w="16" w:type="dxa"/>
              <w:right w:w="16" w:type="dxa"/>
            </w:tcMar>
            <w:vAlign w:val="center"/>
          </w:tcPr>
          <w:p w14:paraId="4BA40388">
            <w:pPr>
              <w:adjustRightInd w:val="0"/>
              <w:snapToGrid w:val="0"/>
              <w:jc w:val="center"/>
              <w:rPr>
                <w:color w:val="auto"/>
                <w:sz w:val="24"/>
              </w:rPr>
            </w:pPr>
            <w:r>
              <w:rPr>
                <w:color w:val="auto"/>
                <w:sz w:val="24"/>
              </w:rPr>
              <w:t>是否开工建设</w:t>
            </w:r>
          </w:p>
        </w:tc>
        <w:tc>
          <w:tcPr>
            <w:tcW w:w="1804" w:type="dxa"/>
            <w:vAlign w:val="center"/>
          </w:tcPr>
          <w:p w14:paraId="2A78D838">
            <w:pPr>
              <w:adjustRightInd w:val="0"/>
              <w:snapToGrid w:val="0"/>
              <w:jc w:val="left"/>
              <w:rPr>
                <w:color w:val="auto"/>
                <w:sz w:val="24"/>
              </w:rPr>
            </w:pPr>
            <w:r>
              <w:rPr>
                <w:color w:val="auto"/>
                <w:sz w:val="24"/>
              </w:rPr>
              <w:sym w:font="Wingdings 2" w:char="0052"/>
            </w:r>
            <w:r>
              <w:rPr>
                <w:color w:val="auto"/>
                <w:sz w:val="24"/>
              </w:rPr>
              <w:t>否</w:t>
            </w:r>
          </w:p>
          <w:p w14:paraId="10D67E2D">
            <w:pPr>
              <w:adjustRightInd w:val="0"/>
              <w:snapToGrid w:val="0"/>
              <w:jc w:val="left"/>
              <w:rPr>
                <w:color w:val="auto"/>
                <w:sz w:val="24"/>
              </w:rPr>
            </w:pPr>
            <w:r>
              <w:rPr>
                <w:color w:val="auto"/>
                <w:sz w:val="24"/>
              </w:rPr>
              <w:sym w:font="Wingdings 2" w:char="00A3"/>
            </w:r>
            <w:r>
              <w:rPr>
                <w:color w:val="auto"/>
                <w:sz w:val="24"/>
              </w:rPr>
              <w:t>是</w:t>
            </w:r>
            <w:r>
              <w:rPr>
                <w:color w:val="auto"/>
                <w:sz w:val="24"/>
                <w:highlight w:val="none"/>
              </w:rPr>
              <w:t>：</w:t>
            </w:r>
          </w:p>
        </w:tc>
        <w:tc>
          <w:tcPr>
            <w:tcW w:w="2330" w:type="dxa"/>
            <w:tcMar>
              <w:top w:w="16" w:type="dxa"/>
              <w:left w:w="16" w:type="dxa"/>
              <w:right w:w="16" w:type="dxa"/>
            </w:tcMar>
            <w:vAlign w:val="center"/>
          </w:tcPr>
          <w:p w14:paraId="09ECAA66">
            <w:pPr>
              <w:adjustRightInd w:val="0"/>
              <w:snapToGrid w:val="0"/>
              <w:jc w:val="center"/>
              <w:rPr>
                <w:color w:val="auto"/>
                <w:sz w:val="24"/>
              </w:rPr>
            </w:pPr>
            <w:r>
              <w:rPr>
                <w:color w:val="auto"/>
                <w:spacing w:val="-6"/>
                <w:sz w:val="24"/>
              </w:rPr>
              <w:t>用地面积（m</w:t>
            </w:r>
            <w:r>
              <w:rPr>
                <w:color w:val="auto"/>
                <w:spacing w:val="-6"/>
                <w:sz w:val="24"/>
                <w:vertAlign w:val="superscript"/>
              </w:rPr>
              <w:t>2</w:t>
            </w:r>
            <w:r>
              <w:rPr>
                <w:color w:val="auto"/>
                <w:spacing w:val="-6"/>
                <w:sz w:val="24"/>
              </w:rPr>
              <w:t>）</w:t>
            </w:r>
          </w:p>
        </w:tc>
        <w:tc>
          <w:tcPr>
            <w:tcW w:w="3182" w:type="dxa"/>
            <w:vAlign w:val="center"/>
          </w:tcPr>
          <w:p w14:paraId="2D001241">
            <w:pPr>
              <w:adjustRightInd w:val="0"/>
              <w:snapToGrid w:val="0"/>
              <w:jc w:val="center"/>
              <w:rPr>
                <w:color w:val="auto"/>
                <w:sz w:val="24"/>
              </w:rPr>
            </w:pPr>
            <w:r>
              <w:rPr>
                <w:rFonts w:hint="eastAsia"/>
                <w:color w:val="auto"/>
                <w:sz w:val="24"/>
                <w:lang w:val="en-US" w:eastAsia="zh-CN"/>
              </w:rPr>
              <w:t>854.37</w:t>
            </w:r>
          </w:p>
        </w:tc>
      </w:tr>
      <w:tr w14:paraId="1CE4A7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4" w:type="dxa"/>
            <w:vAlign w:val="center"/>
          </w:tcPr>
          <w:p w14:paraId="7ADDE28A">
            <w:pPr>
              <w:autoSpaceDE w:val="0"/>
              <w:autoSpaceDN w:val="0"/>
              <w:adjustRightInd w:val="0"/>
              <w:snapToGrid w:val="0"/>
              <w:jc w:val="center"/>
              <w:rPr>
                <w:color w:val="auto"/>
                <w:kern w:val="0"/>
                <w:sz w:val="24"/>
              </w:rPr>
            </w:pPr>
            <w:r>
              <w:rPr>
                <w:color w:val="auto"/>
                <w:kern w:val="0"/>
                <w:sz w:val="24"/>
              </w:rPr>
              <w:t>专项评价设置情况</w:t>
            </w:r>
          </w:p>
        </w:tc>
        <w:tc>
          <w:tcPr>
            <w:tcW w:w="7316" w:type="dxa"/>
            <w:gridSpan w:val="3"/>
            <w:vAlign w:val="center"/>
          </w:tcPr>
          <w:p w14:paraId="618B90A9">
            <w:pPr>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480" w:firstLineChars="200"/>
              <w:jc w:val="left"/>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根据《建设项目环境影响报告表编制技术指南（污染影响类）（试行）》表1设置原则，</w:t>
            </w:r>
            <w:r>
              <w:rPr>
                <w:rFonts w:hint="default" w:ascii="Times New Roman" w:hAnsi="Times New Roman" w:cs="Times New Roman"/>
                <w:color w:val="auto"/>
                <w:kern w:val="0"/>
                <w:sz w:val="24"/>
                <w:szCs w:val="24"/>
                <w:highlight w:val="none"/>
              </w:rPr>
              <w:t>本项目设置</w:t>
            </w:r>
            <w:r>
              <w:rPr>
                <w:rFonts w:hint="eastAsia" w:cs="Times New Roman"/>
                <w:color w:val="auto"/>
                <w:kern w:val="0"/>
                <w:sz w:val="24"/>
                <w:szCs w:val="24"/>
                <w:highlight w:val="none"/>
                <w:lang w:val="en-US" w:eastAsia="zh-CN"/>
              </w:rPr>
              <w:t>环境影响</w:t>
            </w:r>
            <w:r>
              <w:rPr>
                <w:rFonts w:hint="default" w:ascii="Times New Roman" w:hAnsi="Times New Roman" w:cs="Times New Roman"/>
                <w:color w:val="auto"/>
                <w:kern w:val="0"/>
                <w:sz w:val="24"/>
                <w:szCs w:val="24"/>
                <w:highlight w:val="none"/>
              </w:rPr>
              <w:t>专项评价具体判定情况见下</w:t>
            </w:r>
            <w:r>
              <w:rPr>
                <w:rFonts w:hint="default" w:ascii="Times New Roman" w:hAnsi="Times New Roman" w:cs="Times New Roman"/>
                <w:color w:val="auto"/>
                <w:kern w:val="0"/>
                <w:sz w:val="24"/>
                <w:szCs w:val="24"/>
                <w:highlight w:val="none"/>
                <w:lang w:val="en-US" w:eastAsia="zh-CN"/>
              </w:rPr>
              <w:t>表1-1。</w:t>
            </w:r>
          </w:p>
          <w:p w14:paraId="07465018">
            <w:pPr>
              <w:pStyle w:val="91"/>
              <w:bidi w:val="0"/>
              <w:rPr>
                <w:rFonts w:hint="eastAsia"/>
                <w:color w:val="auto"/>
                <w:sz w:val="24"/>
                <w:szCs w:val="21"/>
                <w:highlight w:val="none"/>
                <w:lang w:val="en-US" w:eastAsia="zh-CN"/>
              </w:rPr>
            </w:pPr>
            <w:r>
              <w:rPr>
                <w:rFonts w:hint="eastAsia"/>
                <w:color w:val="auto"/>
                <w:sz w:val="24"/>
                <w:szCs w:val="21"/>
                <w:highlight w:val="none"/>
                <w:lang w:val="en-US" w:eastAsia="zh-CN"/>
              </w:rPr>
              <w:t>表1-1 专项评价判定情况表</w:t>
            </w:r>
          </w:p>
          <w:tbl>
            <w:tblPr>
              <w:tblStyle w:val="28"/>
              <w:tblW w:w="499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Layout w:type="autofit"/>
              <w:tblCellMar>
                <w:top w:w="0" w:type="dxa"/>
                <w:left w:w="0" w:type="dxa"/>
                <w:bottom w:w="0" w:type="dxa"/>
                <w:right w:w="0" w:type="dxa"/>
              </w:tblCellMar>
            </w:tblPr>
            <w:tblGrid>
              <w:gridCol w:w="554"/>
              <w:gridCol w:w="3226"/>
              <w:gridCol w:w="2128"/>
              <w:gridCol w:w="1194"/>
            </w:tblGrid>
            <w:tr w14:paraId="3FD0472F">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28" w:hRule="atLeast"/>
                <w:jc w:val="center"/>
              </w:trPr>
              <w:tc>
                <w:tcPr>
                  <w:tcW w:w="390" w:type="pct"/>
                  <w:tcBorders>
                    <w:tl2br w:val="nil"/>
                    <w:tr2bl w:val="nil"/>
                  </w:tcBorders>
                  <w:noWrap w:val="0"/>
                  <w:vAlign w:val="center"/>
                </w:tcPr>
                <w:p w14:paraId="1921CA2B">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auto"/>
                      <w:spacing w:val="0"/>
                      <w:kern w:val="21"/>
                      <w:sz w:val="21"/>
                      <w:szCs w:val="21"/>
                    </w:rPr>
                  </w:pPr>
                  <w:r>
                    <w:rPr>
                      <w:rFonts w:hint="default" w:ascii="Times New Roman" w:hAnsi="Times New Roman" w:eastAsia="宋体" w:cs="Times New Roman"/>
                      <w:color w:val="auto"/>
                      <w:spacing w:val="0"/>
                      <w:kern w:val="21"/>
                      <w:sz w:val="21"/>
                      <w:szCs w:val="21"/>
                    </w:rPr>
                    <w:t>专项评价的类别</w:t>
                  </w:r>
                </w:p>
              </w:tc>
              <w:tc>
                <w:tcPr>
                  <w:tcW w:w="2271" w:type="pct"/>
                  <w:tcBorders>
                    <w:tl2br w:val="nil"/>
                    <w:tr2bl w:val="nil"/>
                  </w:tcBorders>
                  <w:noWrap w:val="0"/>
                  <w:vAlign w:val="center"/>
                </w:tcPr>
                <w:p w14:paraId="6BECDFF9">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auto"/>
                      <w:spacing w:val="0"/>
                      <w:kern w:val="21"/>
                      <w:sz w:val="21"/>
                      <w:szCs w:val="21"/>
                    </w:rPr>
                  </w:pPr>
                  <w:r>
                    <w:rPr>
                      <w:rFonts w:hint="default" w:ascii="Times New Roman" w:hAnsi="Times New Roman" w:eastAsia="宋体" w:cs="Times New Roman"/>
                      <w:color w:val="auto"/>
                      <w:spacing w:val="0"/>
                      <w:kern w:val="21"/>
                      <w:sz w:val="21"/>
                      <w:szCs w:val="21"/>
                    </w:rPr>
                    <w:t>设置原则</w:t>
                  </w:r>
                </w:p>
              </w:tc>
              <w:tc>
                <w:tcPr>
                  <w:tcW w:w="1498" w:type="pct"/>
                  <w:tcBorders>
                    <w:tl2br w:val="nil"/>
                    <w:tr2bl w:val="nil"/>
                  </w:tcBorders>
                  <w:noWrap w:val="0"/>
                  <w:vAlign w:val="center"/>
                </w:tcPr>
                <w:p w14:paraId="456FB50F">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auto"/>
                      <w:spacing w:val="0"/>
                      <w:kern w:val="21"/>
                      <w:sz w:val="21"/>
                      <w:szCs w:val="21"/>
                      <w:lang w:val="en-US" w:eastAsia="zh-CN"/>
                    </w:rPr>
                  </w:pPr>
                  <w:r>
                    <w:rPr>
                      <w:rFonts w:hint="eastAsia" w:ascii="Times New Roman" w:hAnsi="Times New Roman" w:eastAsia="宋体" w:cs="Times New Roman"/>
                      <w:color w:val="auto"/>
                      <w:spacing w:val="0"/>
                      <w:kern w:val="21"/>
                      <w:sz w:val="21"/>
                      <w:szCs w:val="21"/>
                      <w:lang w:val="en-US" w:eastAsia="zh-CN"/>
                    </w:rPr>
                    <w:t>本项目情况</w:t>
                  </w:r>
                </w:p>
              </w:tc>
              <w:tc>
                <w:tcPr>
                  <w:tcW w:w="840" w:type="pct"/>
                  <w:tcBorders>
                    <w:tl2br w:val="nil"/>
                    <w:tr2bl w:val="nil"/>
                  </w:tcBorders>
                  <w:noWrap w:val="0"/>
                  <w:vAlign w:val="center"/>
                </w:tcPr>
                <w:p w14:paraId="42A904E0">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default" w:ascii="Times New Roman" w:hAnsi="Times New Roman" w:eastAsia="宋体" w:cs="Times New Roman"/>
                      <w:color w:val="auto"/>
                      <w:spacing w:val="0"/>
                      <w:kern w:val="21"/>
                      <w:sz w:val="21"/>
                      <w:szCs w:val="21"/>
                    </w:rPr>
                  </w:pPr>
                  <w:r>
                    <w:rPr>
                      <w:rFonts w:hint="eastAsia" w:ascii="Times New Roman" w:hAnsi="Times New Roman" w:eastAsia="宋体" w:cs="Times New Roman"/>
                      <w:color w:val="auto"/>
                      <w:spacing w:val="0"/>
                      <w:kern w:val="21"/>
                      <w:sz w:val="21"/>
                      <w:szCs w:val="21"/>
                      <w:lang w:val="en-US" w:eastAsia="zh-CN"/>
                    </w:rPr>
                    <w:t>是否需要设置专项评价</w:t>
                  </w:r>
                </w:p>
              </w:tc>
            </w:tr>
            <w:tr w14:paraId="257175AB">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28" w:hRule="atLeast"/>
                <w:jc w:val="center"/>
              </w:trPr>
              <w:tc>
                <w:tcPr>
                  <w:tcW w:w="390" w:type="pct"/>
                  <w:tcBorders>
                    <w:tl2br w:val="nil"/>
                    <w:tr2bl w:val="nil"/>
                  </w:tcBorders>
                  <w:noWrap w:val="0"/>
                  <w:vAlign w:val="center"/>
                </w:tcPr>
                <w:p w14:paraId="22CF2E09">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0"/>
                      <w:kern w:val="21"/>
                      <w:sz w:val="21"/>
                      <w:szCs w:val="21"/>
                    </w:rPr>
                  </w:pPr>
                  <w:r>
                    <w:rPr>
                      <w:rFonts w:hint="eastAsia" w:ascii="Times New Roman" w:hAnsi="Times New Roman" w:eastAsia="宋体" w:cs="Times New Roman"/>
                      <w:color w:val="auto"/>
                      <w:highlight w:val="none"/>
                      <w:lang w:val="en-US" w:eastAsia="zh-CN"/>
                    </w:rPr>
                    <w:t>大气</w:t>
                  </w:r>
                </w:p>
              </w:tc>
              <w:tc>
                <w:tcPr>
                  <w:tcW w:w="2271" w:type="pct"/>
                  <w:tcBorders>
                    <w:tl2br w:val="nil"/>
                    <w:tr2bl w:val="nil"/>
                  </w:tcBorders>
                  <w:noWrap w:val="0"/>
                  <w:vAlign w:val="center"/>
                </w:tcPr>
                <w:p w14:paraId="383C6B5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0"/>
                      <w:kern w:val="21"/>
                      <w:sz w:val="21"/>
                      <w:szCs w:val="21"/>
                    </w:rPr>
                  </w:pPr>
                  <w:r>
                    <w:rPr>
                      <w:rFonts w:hint="eastAsia" w:ascii="Times New Roman" w:hAnsi="Times New Roman" w:eastAsia="宋体" w:cs="Times New Roman"/>
                      <w:color w:val="auto"/>
                      <w:highlight w:val="none"/>
                      <w:lang w:val="en-US" w:eastAsia="zh-CN"/>
                    </w:rPr>
                    <w:t>排放废气含有毒有害污染物、二噁英、苯并[a]芘、氰化物、氯气且厂界外500米范围内有环境空气保护目标的建设项目</w:t>
                  </w:r>
                </w:p>
              </w:tc>
              <w:tc>
                <w:tcPr>
                  <w:tcW w:w="1498" w:type="pct"/>
                  <w:tcBorders>
                    <w:tl2br w:val="nil"/>
                    <w:tr2bl w:val="nil"/>
                  </w:tcBorders>
                  <w:noWrap w:val="0"/>
                  <w:vAlign w:val="center"/>
                </w:tcPr>
                <w:p w14:paraId="063E1788">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Times New Roman" w:hAnsi="Times New Roman" w:eastAsia="宋体" w:cs="Times New Roman"/>
                      <w:color w:val="auto"/>
                      <w:spacing w:val="0"/>
                      <w:kern w:val="21"/>
                      <w:sz w:val="21"/>
                      <w:szCs w:val="21"/>
                      <w:lang w:val="en-US" w:eastAsia="zh-CN"/>
                    </w:rPr>
                  </w:pPr>
                  <w:r>
                    <w:rPr>
                      <w:rFonts w:hint="eastAsia" w:ascii="Times New Roman" w:hAnsi="Times New Roman" w:eastAsia="宋体" w:cs="Times New Roman"/>
                      <w:color w:val="auto"/>
                      <w:spacing w:val="0"/>
                      <w:kern w:val="21"/>
                      <w:sz w:val="21"/>
                      <w:szCs w:val="21"/>
                      <w:lang w:val="en-US" w:eastAsia="zh-CN"/>
                    </w:rPr>
                    <w:t>本项目排放废气含</w:t>
                  </w:r>
                  <w:r>
                    <w:rPr>
                      <w:rFonts w:hint="default" w:ascii="Times New Roman" w:hAnsi="Times New Roman" w:eastAsia="宋体" w:cs="Times New Roman"/>
                      <w:color w:val="auto"/>
                      <w:spacing w:val="0"/>
                      <w:kern w:val="21"/>
                      <w:sz w:val="21"/>
                      <w:szCs w:val="21"/>
                    </w:rPr>
                    <w:t>苯并[a]芘</w:t>
                  </w:r>
                  <w:r>
                    <w:rPr>
                      <w:rFonts w:hint="eastAsia" w:cs="Times New Roman"/>
                      <w:color w:val="auto"/>
                      <w:spacing w:val="0"/>
                      <w:kern w:val="21"/>
                      <w:sz w:val="21"/>
                      <w:szCs w:val="21"/>
                      <w:lang w:eastAsia="zh-CN"/>
                    </w:rPr>
                    <w:t>，</w:t>
                  </w:r>
                  <w:r>
                    <w:rPr>
                      <w:rFonts w:hint="eastAsia" w:cs="Times New Roman"/>
                      <w:color w:val="auto"/>
                      <w:spacing w:val="0"/>
                      <w:kern w:val="21"/>
                      <w:sz w:val="21"/>
                      <w:szCs w:val="21"/>
                      <w:lang w:val="en-US" w:eastAsia="zh-CN"/>
                    </w:rPr>
                    <w:t>厂界外</w:t>
                  </w:r>
                  <w:r>
                    <w:rPr>
                      <w:rFonts w:hint="default" w:ascii="Times New Roman" w:hAnsi="Times New Roman" w:eastAsia="宋体" w:cs="Times New Roman"/>
                      <w:color w:val="auto"/>
                      <w:spacing w:val="0"/>
                      <w:kern w:val="21"/>
                      <w:sz w:val="21"/>
                      <w:szCs w:val="21"/>
                    </w:rPr>
                    <w:t>500米范围内</w:t>
                  </w:r>
                  <w:r>
                    <w:rPr>
                      <w:rFonts w:hint="eastAsia" w:cs="Times New Roman"/>
                      <w:color w:val="auto"/>
                      <w:spacing w:val="0"/>
                      <w:kern w:val="21"/>
                      <w:sz w:val="21"/>
                      <w:szCs w:val="21"/>
                      <w:lang w:val="en-US" w:eastAsia="zh-CN"/>
                    </w:rPr>
                    <w:t>有</w:t>
                  </w:r>
                  <w:r>
                    <w:rPr>
                      <w:rFonts w:hint="default" w:ascii="Times New Roman" w:hAnsi="Times New Roman" w:eastAsia="宋体" w:cs="Times New Roman"/>
                      <w:color w:val="auto"/>
                      <w:spacing w:val="0"/>
                      <w:kern w:val="21"/>
                      <w:sz w:val="21"/>
                      <w:szCs w:val="21"/>
                    </w:rPr>
                    <w:t>环境空气保护目标</w:t>
                  </w:r>
                  <w:r>
                    <w:rPr>
                      <w:rFonts w:hint="eastAsia" w:cs="Times New Roman"/>
                      <w:color w:val="auto"/>
                      <w:spacing w:val="0"/>
                      <w:kern w:val="21"/>
                      <w:sz w:val="21"/>
                      <w:szCs w:val="21"/>
                      <w:lang w:eastAsia="zh-CN"/>
                    </w:rPr>
                    <w:t>。</w:t>
                  </w:r>
                </w:p>
              </w:tc>
              <w:tc>
                <w:tcPr>
                  <w:tcW w:w="840" w:type="pct"/>
                  <w:tcBorders>
                    <w:tl2br w:val="nil"/>
                    <w:tr2bl w:val="nil"/>
                  </w:tcBorders>
                  <w:noWrap w:val="0"/>
                  <w:vAlign w:val="center"/>
                </w:tcPr>
                <w:p w14:paraId="6469B94E">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Times New Roman" w:hAnsi="Times New Roman" w:eastAsia="宋体" w:cs="Times New Roman"/>
                      <w:color w:val="auto"/>
                      <w:spacing w:val="0"/>
                      <w:kern w:val="21"/>
                      <w:sz w:val="21"/>
                      <w:szCs w:val="21"/>
                      <w:lang w:val="en-US" w:eastAsia="zh-CN"/>
                    </w:rPr>
                  </w:pPr>
                  <w:r>
                    <w:rPr>
                      <w:rFonts w:hint="eastAsia" w:cs="Times New Roman"/>
                      <w:color w:val="auto"/>
                      <w:spacing w:val="0"/>
                      <w:kern w:val="21"/>
                      <w:sz w:val="21"/>
                      <w:szCs w:val="21"/>
                      <w:lang w:val="en-US" w:eastAsia="zh-CN"/>
                    </w:rPr>
                    <w:t>是</w:t>
                  </w:r>
                </w:p>
              </w:tc>
            </w:tr>
            <w:tr w14:paraId="3D1CC1EA">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28" w:hRule="atLeast"/>
                <w:jc w:val="center"/>
              </w:trPr>
              <w:tc>
                <w:tcPr>
                  <w:tcW w:w="390" w:type="pct"/>
                  <w:tcBorders>
                    <w:tl2br w:val="nil"/>
                    <w:tr2bl w:val="nil"/>
                  </w:tcBorders>
                  <w:noWrap w:val="0"/>
                  <w:vAlign w:val="center"/>
                </w:tcPr>
                <w:p w14:paraId="3C2F3A0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0"/>
                      <w:kern w:val="21"/>
                      <w:sz w:val="21"/>
                      <w:szCs w:val="21"/>
                    </w:rPr>
                  </w:pPr>
                  <w:r>
                    <w:rPr>
                      <w:rFonts w:hint="eastAsia" w:ascii="Times New Roman" w:hAnsi="Times New Roman" w:eastAsia="宋体" w:cs="Times New Roman"/>
                      <w:color w:val="auto"/>
                      <w:highlight w:val="none"/>
                      <w:lang w:val="en-US" w:eastAsia="zh-CN"/>
                    </w:rPr>
                    <w:t>地表水</w:t>
                  </w:r>
                </w:p>
              </w:tc>
              <w:tc>
                <w:tcPr>
                  <w:tcW w:w="2271" w:type="pct"/>
                  <w:tcBorders>
                    <w:tl2br w:val="nil"/>
                    <w:tr2bl w:val="nil"/>
                  </w:tcBorders>
                  <w:noWrap w:val="0"/>
                  <w:vAlign w:val="center"/>
                </w:tcPr>
                <w:p w14:paraId="05D5A790">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0"/>
                      <w:kern w:val="21"/>
                      <w:sz w:val="21"/>
                      <w:szCs w:val="21"/>
                    </w:rPr>
                  </w:pPr>
                  <w:r>
                    <w:rPr>
                      <w:rFonts w:hint="eastAsia" w:ascii="Times New Roman" w:hAnsi="Times New Roman" w:eastAsia="宋体" w:cs="Times New Roman"/>
                      <w:color w:val="auto"/>
                      <w:highlight w:val="none"/>
                      <w:lang w:val="en-US" w:eastAsia="zh-CN"/>
                    </w:rPr>
                    <w:t>新增工业废水直排建设项目（槽罐车外送污水处理厂的除外）；新增废水直排的污水集中处理厂</w:t>
                  </w:r>
                </w:p>
              </w:tc>
              <w:tc>
                <w:tcPr>
                  <w:tcW w:w="1498" w:type="pct"/>
                  <w:tcBorders>
                    <w:tl2br w:val="nil"/>
                    <w:tr2bl w:val="nil"/>
                  </w:tcBorders>
                  <w:shd w:val="clear" w:color="auto" w:fill="auto"/>
                  <w:noWrap w:val="0"/>
                  <w:vAlign w:val="center"/>
                </w:tcPr>
                <w:p w14:paraId="385465DC">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b w:val="0"/>
                      <w:bCs/>
                      <w:color w:val="auto"/>
                      <w:sz w:val="21"/>
                      <w:szCs w:val="21"/>
                      <w:highlight w:val="none"/>
                      <w:lang w:eastAsia="zh-CN"/>
                    </w:rPr>
                    <w:t>本项目</w:t>
                  </w:r>
                  <w:r>
                    <w:rPr>
                      <w:rFonts w:hint="eastAsia" w:ascii="Times New Roman" w:hAnsi="Times New Roman" w:cs="Times New Roman"/>
                      <w:b w:val="0"/>
                      <w:bCs/>
                      <w:color w:val="auto"/>
                      <w:sz w:val="21"/>
                      <w:szCs w:val="21"/>
                      <w:highlight w:val="none"/>
                      <w:lang w:val="en-US" w:eastAsia="zh-CN"/>
                    </w:rPr>
                    <w:t>不涉及工业废水直排</w:t>
                  </w:r>
                </w:p>
              </w:tc>
              <w:tc>
                <w:tcPr>
                  <w:tcW w:w="840" w:type="pct"/>
                  <w:tcBorders>
                    <w:tl2br w:val="nil"/>
                    <w:tr2bl w:val="nil"/>
                  </w:tcBorders>
                  <w:shd w:val="clear" w:color="auto" w:fill="auto"/>
                  <w:noWrap w:val="0"/>
                  <w:vAlign w:val="center"/>
                </w:tcPr>
                <w:p w14:paraId="5822C40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val="en-US" w:eastAsia="zh-CN"/>
                    </w:rPr>
                    <w:t>否</w:t>
                  </w:r>
                </w:p>
              </w:tc>
            </w:tr>
            <w:tr w14:paraId="045A0B0B">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28" w:hRule="atLeast"/>
                <w:jc w:val="center"/>
              </w:trPr>
              <w:tc>
                <w:tcPr>
                  <w:tcW w:w="390" w:type="pct"/>
                  <w:tcBorders>
                    <w:tl2br w:val="nil"/>
                    <w:tr2bl w:val="nil"/>
                  </w:tcBorders>
                  <w:noWrap w:val="0"/>
                  <w:vAlign w:val="center"/>
                </w:tcPr>
                <w:p w14:paraId="7826036A">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0"/>
                      <w:kern w:val="21"/>
                      <w:sz w:val="21"/>
                      <w:szCs w:val="21"/>
                    </w:rPr>
                  </w:pPr>
                  <w:r>
                    <w:rPr>
                      <w:rFonts w:hint="eastAsia" w:ascii="Times New Roman" w:hAnsi="Times New Roman" w:eastAsia="宋体" w:cs="Times New Roman"/>
                      <w:color w:val="auto"/>
                      <w:highlight w:val="none"/>
                      <w:lang w:val="en-US" w:eastAsia="zh-CN"/>
                    </w:rPr>
                    <w:t>环境风险</w:t>
                  </w:r>
                </w:p>
              </w:tc>
              <w:tc>
                <w:tcPr>
                  <w:tcW w:w="2271" w:type="pct"/>
                  <w:tcBorders>
                    <w:tl2br w:val="nil"/>
                    <w:tr2bl w:val="nil"/>
                  </w:tcBorders>
                  <w:noWrap w:val="0"/>
                  <w:vAlign w:val="center"/>
                </w:tcPr>
                <w:p w14:paraId="678BAE0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0"/>
                      <w:kern w:val="21"/>
                      <w:sz w:val="21"/>
                      <w:szCs w:val="21"/>
                    </w:rPr>
                  </w:pPr>
                  <w:r>
                    <w:rPr>
                      <w:rFonts w:hint="eastAsia" w:ascii="Times New Roman" w:hAnsi="Times New Roman" w:eastAsia="宋体" w:cs="Times New Roman"/>
                      <w:color w:val="auto"/>
                      <w:highlight w:val="none"/>
                      <w:lang w:val="en-US" w:eastAsia="zh-CN"/>
                    </w:rPr>
                    <w:t>有毒有害和易燃易爆危险物质存储量超过临界量的建设项目</w:t>
                  </w:r>
                </w:p>
              </w:tc>
              <w:tc>
                <w:tcPr>
                  <w:tcW w:w="1498" w:type="pct"/>
                  <w:tcBorders>
                    <w:tl2br w:val="nil"/>
                    <w:tr2bl w:val="nil"/>
                  </w:tcBorders>
                  <w:shd w:val="clear" w:color="auto" w:fill="auto"/>
                  <w:noWrap w:val="0"/>
                  <w:vAlign w:val="center"/>
                </w:tcPr>
                <w:p w14:paraId="78D03A9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eastAsia="zh-CN"/>
                    </w:rPr>
                    <w:t>本项目储存易燃易爆危险物质存储量</w:t>
                  </w:r>
                  <w:r>
                    <w:rPr>
                      <w:rFonts w:hint="default" w:ascii="Times New Roman" w:hAnsi="Times New Roman" w:eastAsia="宋体" w:cs="Times New Roman"/>
                      <w:b w:val="0"/>
                      <w:bCs/>
                      <w:color w:val="auto"/>
                      <w:sz w:val="21"/>
                      <w:szCs w:val="21"/>
                      <w:highlight w:val="none"/>
                      <w:lang w:val="en-US" w:eastAsia="zh-CN"/>
                    </w:rPr>
                    <w:t>未超过临界量</w:t>
                  </w:r>
                  <w:r>
                    <w:rPr>
                      <w:rFonts w:hint="eastAsia" w:cs="Times New Roman"/>
                      <w:b w:val="0"/>
                      <w:bCs/>
                      <w:color w:val="auto"/>
                      <w:sz w:val="21"/>
                      <w:szCs w:val="21"/>
                      <w:highlight w:val="none"/>
                      <w:lang w:val="en-US" w:eastAsia="zh-CN"/>
                    </w:rPr>
                    <w:t>，本项目无</w:t>
                  </w:r>
                  <w:r>
                    <w:rPr>
                      <w:rFonts w:hint="default" w:ascii="Times New Roman" w:hAnsi="Times New Roman" w:eastAsia="宋体" w:cs="Times New Roman"/>
                      <w:b w:val="0"/>
                      <w:bCs/>
                      <w:color w:val="auto"/>
                      <w:sz w:val="21"/>
                      <w:szCs w:val="21"/>
                      <w:highlight w:val="none"/>
                      <w:lang w:eastAsia="zh-CN"/>
                    </w:rPr>
                    <w:t>有毒有害</w:t>
                  </w:r>
                  <w:r>
                    <w:rPr>
                      <w:rFonts w:hint="eastAsia" w:cs="Times New Roman"/>
                      <w:b w:val="0"/>
                      <w:bCs/>
                      <w:color w:val="auto"/>
                      <w:sz w:val="21"/>
                      <w:szCs w:val="21"/>
                      <w:highlight w:val="none"/>
                      <w:lang w:val="en-US" w:eastAsia="zh-CN"/>
                    </w:rPr>
                    <w:t>物质储存</w:t>
                  </w:r>
                </w:p>
              </w:tc>
              <w:tc>
                <w:tcPr>
                  <w:tcW w:w="840" w:type="pct"/>
                  <w:tcBorders>
                    <w:tl2br w:val="nil"/>
                    <w:tr2bl w:val="nil"/>
                  </w:tcBorders>
                  <w:shd w:val="clear" w:color="auto" w:fill="auto"/>
                  <w:noWrap w:val="0"/>
                  <w:vAlign w:val="center"/>
                </w:tcPr>
                <w:p w14:paraId="1470DFAA">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val="en-US" w:eastAsia="zh-CN"/>
                    </w:rPr>
                    <w:t>否</w:t>
                  </w:r>
                </w:p>
              </w:tc>
            </w:tr>
            <w:tr w14:paraId="4527EC07">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28" w:hRule="atLeast"/>
                <w:jc w:val="center"/>
              </w:trPr>
              <w:tc>
                <w:tcPr>
                  <w:tcW w:w="390" w:type="pct"/>
                  <w:tcBorders>
                    <w:tl2br w:val="nil"/>
                    <w:tr2bl w:val="nil"/>
                  </w:tcBorders>
                  <w:noWrap w:val="0"/>
                  <w:vAlign w:val="center"/>
                </w:tcPr>
                <w:p w14:paraId="59DA3B6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0"/>
                      <w:kern w:val="21"/>
                      <w:sz w:val="21"/>
                      <w:szCs w:val="21"/>
                    </w:rPr>
                  </w:pPr>
                  <w:r>
                    <w:rPr>
                      <w:rFonts w:hint="eastAsia" w:ascii="Times New Roman" w:hAnsi="Times New Roman" w:eastAsia="宋体" w:cs="Times New Roman"/>
                      <w:color w:val="auto"/>
                      <w:highlight w:val="none"/>
                      <w:lang w:val="en-US" w:eastAsia="zh-CN"/>
                    </w:rPr>
                    <w:t>生态</w:t>
                  </w:r>
                </w:p>
              </w:tc>
              <w:tc>
                <w:tcPr>
                  <w:tcW w:w="2271" w:type="pct"/>
                  <w:tcBorders>
                    <w:tl2br w:val="nil"/>
                    <w:tr2bl w:val="nil"/>
                  </w:tcBorders>
                  <w:noWrap w:val="0"/>
                  <w:vAlign w:val="center"/>
                </w:tcPr>
                <w:p w14:paraId="1DCF6E2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0"/>
                      <w:kern w:val="21"/>
                      <w:sz w:val="21"/>
                      <w:szCs w:val="21"/>
                    </w:rPr>
                  </w:pPr>
                  <w:r>
                    <w:rPr>
                      <w:rFonts w:hint="eastAsia" w:ascii="Times New Roman" w:hAnsi="Times New Roman" w:eastAsia="宋体" w:cs="Times New Roman"/>
                      <w:color w:val="auto"/>
                      <w:highlight w:val="none"/>
                      <w:lang w:val="en-US" w:eastAsia="zh-CN"/>
                    </w:rPr>
                    <w:t>取水口下游500米范围内有重要水生生物的自然产卵场、索饵场、越冬场和洄游通道的新增河道取水的污染类建设项目</w:t>
                  </w:r>
                </w:p>
              </w:tc>
              <w:tc>
                <w:tcPr>
                  <w:tcW w:w="1498" w:type="pct"/>
                  <w:tcBorders>
                    <w:tl2br w:val="nil"/>
                    <w:tr2bl w:val="nil"/>
                  </w:tcBorders>
                  <w:shd w:val="clear" w:color="auto" w:fill="auto"/>
                  <w:noWrap w:val="0"/>
                  <w:vAlign w:val="center"/>
                </w:tcPr>
                <w:p w14:paraId="58B33A91">
                  <w:pPr>
                    <w:pStyle w:val="8"/>
                    <w:spacing w:line="240" w:lineRule="auto"/>
                    <w:jc w:val="center"/>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本项目为市政工程试验检测项目，不涉及取水口。</w:t>
                  </w:r>
                </w:p>
              </w:tc>
              <w:tc>
                <w:tcPr>
                  <w:tcW w:w="840" w:type="pct"/>
                  <w:tcBorders>
                    <w:tl2br w:val="nil"/>
                    <w:tr2bl w:val="nil"/>
                  </w:tcBorders>
                  <w:shd w:val="clear" w:color="auto" w:fill="auto"/>
                  <w:noWrap w:val="0"/>
                  <w:vAlign w:val="center"/>
                </w:tcPr>
                <w:p w14:paraId="7830A3C3">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val="en-US" w:eastAsia="zh-CN"/>
                    </w:rPr>
                    <w:t>否</w:t>
                  </w:r>
                </w:p>
              </w:tc>
            </w:tr>
            <w:tr w14:paraId="0F96A1E8">
              <w:tblPrEx>
                <w:tblBorders>
                  <w:top w:val="single" w:color="000000" w:sz="12" w:space="0"/>
                  <w:left w:val="none" w:color="auto" w:sz="0" w:space="0"/>
                  <w:bottom w:val="single" w:color="000000" w:sz="12" w:space="0"/>
                  <w:right w:val="none" w:color="auto" w:sz="0" w:space="0"/>
                  <w:insideH w:val="single" w:color="000000" w:sz="4" w:space="0"/>
                  <w:insideV w:val="single" w:color="000000" w:sz="8" w:space="0"/>
                </w:tblBorders>
                <w:tblCellMar>
                  <w:top w:w="0" w:type="dxa"/>
                  <w:left w:w="0" w:type="dxa"/>
                  <w:bottom w:w="0" w:type="dxa"/>
                  <w:right w:w="0" w:type="dxa"/>
                </w:tblCellMar>
              </w:tblPrEx>
              <w:trPr>
                <w:trHeight w:val="28" w:hRule="atLeast"/>
                <w:jc w:val="center"/>
              </w:trPr>
              <w:tc>
                <w:tcPr>
                  <w:tcW w:w="390" w:type="pct"/>
                  <w:tcBorders>
                    <w:tl2br w:val="nil"/>
                    <w:tr2bl w:val="nil"/>
                  </w:tcBorders>
                  <w:noWrap w:val="0"/>
                  <w:vAlign w:val="center"/>
                </w:tcPr>
                <w:p w14:paraId="55CAE61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0"/>
                      <w:kern w:val="21"/>
                      <w:sz w:val="21"/>
                      <w:szCs w:val="21"/>
                    </w:rPr>
                  </w:pPr>
                  <w:r>
                    <w:rPr>
                      <w:rFonts w:hint="eastAsia" w:ascii="Times New Roman" w:hAnsi="Times New Roman" w:eastAsia="宋体" w:cs="Times New Roman"/>
                      <w:color w:val="auto"/>
                      <w:highlight w:val="none"/>
                      <w:lang w:val="en-US" w:eastAsia="zh-CN"/>
                    </w:rPr>
                    <w:t>海洋</w:t>
                  </w:r>
                </w:p>
              </w:tc>
              <w:tc>
                <w:tcPr>
                  <w:tcW w:w="2271" w:type="pct"/>
                  <w:tcBorders>
                    <w:tl2br w:val="nil"/>
                    <w:tr2bl w:val="nil"/>
                  </w:tcBorders>
                  <w:noWrap w:val="0"/>
                  <w:vAlign w:val="center"/>
                </w:tcPr>
                <w:p w14:paraId="58AE56A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0"/>
                      <w:kern w:val="21"/>
                      <w:sz w:val="21"/>
                      <w:szCs w:val="21"/>
                    </w:rPr>
                  </w:pPr>
                  <w:r>
                    <w:rPr>
                      <w:rFonts w:hint="eastAsia" w:ascii="Times New Roman" w:hAnsi="Times New Roman" w:eastAsia="宋体" w:cs="Times New Roman"/>
                      <w:color w:val="auto"/>
                      <w:highlight w:val="none"/>
                      <w:lang w:val="en-US" w:eastAsia="zh-CN"/>
                    </w:rPr>
                    <w:t>直接向海排放污染物的海洋工程建设项目</w:t>
                  </w:r>
                </w:p>
              </w:tc>
              <w:tc>
                <w:tcPr>
                  <w:tcW w:w="1498" w:type="pct"/>
                  <w:tcBorders>
                    <w:tl2br w:val="nil"/>
                    <w:tr2bl w:val="nil"/>
                  </w:tcBorders>
                  <w:shd w:val="clear" w:color="auto" w:fill="auto"/>
                  <w:noWrap w:val="0"/>
                  <w:vAlign w:val="center"/>
                </w:tcPr>
                <w:p w14:paraId="2D9A76E9">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eastAsia="zh-CN"/>
                    </w:rPr>
                    <w:t>项目不属于海洋工程</w:t>
                  </w:r>
                </w:p>
              </w:tc>
              <w:tc>
                <w:tcPr>
                  <w:tcW w:w="840" w:type="pct"/>
                  <w:tcBorders>
                    <w:tl2br w:val="nil"/>
                    <w:tr2bl w:val="nil"/>
                  </w:tcBorders>
                  <w:shd w:val="clear" w:color="auto" w:fill="auto"/>
                  <w:noWrap w:val="0"/>
                  <w:vAlign w:val="center"/>
                </w:tcPr>
                <w:p w14:paraId="0C78245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val="en-US" w:eastAsia="zh-CN"/>
                    </w:rPr>
                    <w:t>否</w:t>
                  </w:r>
                </w:p>
              </w:tc>
            </w:tr>
          </w:tbl>
          <w:p w14:paraId="546239A7">
            <w:pPr>
              <w:autoSpaceDE w:val="0"/>
              <w:autoSpaceDN w:val="0"/>
              <w:adjustRightInd w:val="0"/>
              <w:snapToGrid w:val="0"/>
              <w:jc w:val="both"/>
              <w:rPr>
                <w:color w:val="auto"/>
                <w:kern w:val="0"/>
                <w:sz w:val="24"/>
              </w:rPr>
            </w:pPr>
          </w:p>
        </w:tc>
      </w:tr>
      <w:tr w14:paraId="22D01F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4" w:type="dxa"/>
            <w:vAlign w:val="center"/>
          </w:tcPr>
          <w:p w14:paraId="539EE794">
            <w:pPr>
              <w:autoSpaceDE w:val="0"/>
              <w:autoSpaceDN w:val="0"/>
              <w:adjustRightInd w:val="0"/>
              <w:snapToGrid w:val="0"/>
              <w:jc w:val="center"/>
              <w:rPr>
                <w:color w:val="auto"/>
                <w:kern w:val="0"/>
                <w:sz w:val="24"/>
              </w:rPr>
            </w:pPr>
            <w:r>
              <w:rPr>
                <w:color w:val="auto"/>
                <w:sz w:val="24"/>
              </w:rPr>
              <w:t>规划情况</w:t>
            </w:r>
          </w:p>
        </w:tc>
        <w:tc>
          <w:tcPr>
            <w:tcW w:w="7316" w:type="dxa"/>
            <w:gridSpan w:val="3"/>
            <w:vAlign w:val="center"/>
          </w:tcPr>
          <w:p w14:paraId="00CD4745">
            <w:pPr>
              <w:autoSpaceDE w:val="0"/>
              <w:autoSpaceDN w:val="0"/>
              <w:adjustRightInd w:val="0"/>
              <w:snapToGrid w:val="0"/>
              <w:spacing w:line="360" w:lineRule="auto"/>
              <w:rPr>
                <w:color w:val="auto"/>
                <w:sz w:val="24"/>
              </w:rPr>
            </w:pPr>
            <w:r>
              <w:rPr>
                <w:rFonts w:hint="eastAsia"/>
                <w:color w:val="auto"/>
                <w:sz w:val="24"/>
              </w:rPr>
              <w:t>规划名称：</w:t>
            </w:r>
            <w:r>
              <w:rPr>
                <w:color w:val="auto"/>
                <w:sz w:val="24"/>
              </w:rPr>
              <w:t>《西咸新区—沣东新城分区规划（2010-2020）》</w:t>
            </w:r>
          </w:p>
          <w:p w14:paraId="08FF5782">
            <w:pPr>
              <w:autoSpaceDE w:val="0"/>
              <w:autoSpaceDN w:val="0"/>
              <w:adjustRightInd w:val="0"/>
              <w:snapToGrid w:val="0"/>
              <w:spacing w:line="360" w:lineRule="auto"/>
              <w:rPr>
                <w:color w:val="auto"/>
                <w:sz w:val="24"/>
              </w:rPr>
            </w:pPr>
            <w:r>
              <w:rPr>
                <w:rFonts w:hint="eastAsia"/>
                <w:color w:val="auto"/>
                <w:sz w:val="24"/>
              </w:rPr>
              <w:t>审查机关：陕西省人民政府；</w:t>
            </w:r>
          </w:p>
          <w:p w14:paraId="5F40E0DA">
            <w:pPr>
              <w:autoSpaceDE w:val="0"/>
              <w:autoSpaceDN w:val="0"/>
              <w:adjustRightInd w:val="0"/>
              <w:snapToGrid w:val="0"/>
              <w:spacing w:line="360" w:lineRule="auto"/>
              <w:rPr>
                <w:color w:val="auto"/>
              </w:rPr>
            </w:pPr>
            <w:r>
              <w:rPr>
                <w:rFonts w:hint="eastAsia"/>
                <w:color w:val="auto"/>
                <w:sz w:val="24"/>
              </w:rPr>
              <w:t>审查文件名称及文号：陕西省人民政府关于《西咸新区总体规划》的批复（陕政函</w:t>
            </w:r>
            <w:r>
              <w:rPr>
                <w:rFonts w:hint="eastAsia"/>
                <w:color w:val="auto"/>
                <w:sz w:val="24"/>
                <w:lang w:eastAsia="zh-CN"/>
              </w:rPr>
              <w:t>〔2011〕110号</w:t>
            </w:r>
            <w:r>
              <w:rPr>
                <w:rFonts w:hint="eastAsia"/>
                <w:color w:val="auto"/>
                <w:sz w:val="24"/>
              </w:rPr>
              <w:t>）。</w:t>
            </w:r>
          </w:p>
        </w:tc>
      </w:tr>
      <w:tr w14:paraId="5F2724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554" w:type="dxa"/>
            <w:vAlign w:val="center"/>
          </w:tcPr>
          <w:p w14:paraId="48114723">
            <w:pPr>
              <w:adjustRightInd w:val="0"/>
              <w:snapToGrid w:val="0"/>
              <w:jc w:val="center"/>
              <w:rPr>
                <w:color w:val="auto"/>
                <w:kern w:val="0"/>
                <w:sz w:val="24"/>
              </w:rPr>
            </w:pPr>
            <w:r>
              <w:rPr>
                <w:color w:val="auto"/>
                <w:sz w:val="24"/>
              </w:rPr>
              <w:t>规划环境影响评价情况</w:t>
            </w:r>
          </w:p>
        </w:tc>
        <w:tc>
          <w:tcPr>
            <w:tcW w:w="7316" w:type="dxa"/>
            <w:gridSpan w:val="3"/>
            <w:vAlign w:val="center"/>
          </w:tcPr>
          <w:p w14:paraId="014B60E7">
            <w:pPr>
              <w:autoSpaceDE w:val="0"/>
              <w:autoSpaceDN w:val="0"/>
              <w:adjustRightInd w:val="0"/>
              <w:snapToGrid w:val="0"/>
              <w:spacing w:line="360" w:lineRule="auto"/>
              <w:rPr>
                <w:rFonts w:hint="eastAsia"/>
                <w:color w:val="auto"/>
                <w:sz w:val="24"/>
              </w:rPr>
            </w:pPr>
            <w:r>
              <w:rPr>
                <w:rFonts w:hint="eastAsia"/>
                <w:color w:val="auto"/>
                <w:sz w:val="24"/>
              </w:rPr>
              <w:t>规划环评文件名称：《西咸新区—沣东新城分区规划（2010-2020）环境影响报告书》；</w:t>
            </w:r>
          </w:p>
          <w:p w14:paraId="7EBCBA76">
            <w:pPr>
              <w:autoSpaceDE w:val="0"/>
              <w:autoSpaceDN w:val="0"/>
              <w:adjustRightInd w:val="0"/>
              <w:snapToGrid w:val="0"/>
              <w:spacing w:line="360" w:lineRule="auto"/>
              <w:rPr>
                <w:rFonts w:hint="eastAsia"/>
                <w:color w:val="auto"/>
                <w:sz w:val="24"/>
              </w:rPr>
            </w:pPr>
            <w:r>
              <w:rPr>
                <w:rFonts w:hint="eastAsia"/>
                <w:color w:val="auto"/>
                <w:sz w:val="24"/>
              </w:rPr>
              <w:t>审批机关：西安市生态环境局</w:t>
            </w:r>
          </w:p>
          <w:p w14:paraId="62AFF2FB">
            <w:pPr>
              <w:autoSpaceDE w:val="0"/>
              <w:autoSpaceDN w:val="0"/>
              <w:adjustRightInd w:val="0"/>
              <w:snapToGrid w:val="0"/>
              <w:spacing w:line="360" w:lineRule="auto"/>
              <w:rPr>
                <w:color w:val="auto"/>
                <w:sz w:val="24"/>
              </w:rPr>
            </w:pPr>
            <w:r>
              <w:rPr>
                <w:rFonts w:hint="eastAsia"/>
                <w:color w:val="auto"/>
                <w:sz w:val="24"/>
              </w:rPr>
              <w:t>审批文件名称及文号：西安市环境保护局关于《西咸新区—沣东新城分区规划（2010-2020）环境影响报告书》的审查意见</w:t>
            </w:r>
            <w:r>
              <w:rPr>
                <w:rFonts w:hint="eastAsia"/>
                <w:color w:val="auto"/>
                <w:sz w:val="24"/>
                <w:lang w:eastAsia="zh-CN"/>
              </w:rPr>
              <w:t>（</w:t>
            </w:r>
            <w:r>
              <w:rPr>
                <w:rFonts w:hint="eastAsia"/>
                <w:color w:val="auto"/>
                <w:sz w:val="24"/>
              </w:rPr>
              <w:t>市环函〔2014〕20号</w:t>
            </w:r>
            <w:r>
              <w:rPr>
                <w:rFonts w:hint="eastAsia"/>
                <w:color w:val="auto"/>
                <w:sz w:val="24"/>
                <w:lang w:eastAsia="zh-CN"/>
              </w:rPr>
              <w:t>）</w:t>
            </w:r>
            <w:r>
              <w:rPr>
                <w:rFonts w:hint="eastAsia"/>
                <w:color w:val="auto"/>
                <w:sz w:val="24"/>
              </w:rPr>
              <w:t>。</w:t>
            </w:r>
          </w:p>
        </w:tc>
      </w:tr>
      <w:tr w14:paraId="531537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554" w:type="dxa"/>
            <w:vAlign w:val="center"/>
          </w:tcPr>
          <w:p w14:paraId="7C5874D9">
            <w:pPr>
              <w:autoSpaceDE w:val="0"/>
              <w:autoSpaceDN w:val="0"/>
              <w:adjustRightInd w:val="0"/>
              <w:snapToGrid w:val="0"/>
              <w:jc w:val="center"/>
              <w:rPr>
                <w:color w:val="auto"/>
                <w:kern w:val="0"/>
                <w:sz w:val="24"/>
              </w:rPr>
            </w:pPr>
            <w:r>
              <w:rPr>
                <w:color w:val="auto"/>
                <w:kern w:val="0"/>
                <w:sz w:val="24"/>
              </w:rPr>
              <w:t>规划及规划环境</w:t>
            </w:r>
          </w:p>
          <w:p w14:paraId="63893B8F">
            <w:pPr>
              <w:autoSpaceDE w:val="0"/>
              <w:autoSpaceDN w:val="0"/>
              <w:adjustRightInd w:val="0"/>
              <w:snapToGrid w:val="0"/>
              <w:jc w:val="center"/>
              <w:rPr>
                <w:color w:val="auto"/>
                <w:kern w:val="0"/>
                <w:sz w:val="24"/>
              </w:rPr>
            </w:pPr>
            <w:r>
              <w:rPr>
                <w:color w:val="auto"/>
                <w:kern w:val="0"/>
                <w:sz w:val="24"/>
              </w:rPr>
              <w:t>影响评价符合性分析</w:t>
            </w:r>
          </w:p>
        </w:tc>
        <w:tc>
          <w:tcPr>
            <w:tcW w:w="7316" w:type="dxa"/>
            <w:gridSpan w:val="3"/>
            <w:vAlign w:val="center"/>
          </w:tcPr>
          <w:p w14:paraId="0434517C">
            <w:pPr>
              <w:autoSpaceDE w:val="0"/>
              <w:autoSpaceDN w:val="0"/>
              <w:adjustRightInd w:val="0"/>
              <w:snapToGrid w:val="0"/>
              <w:jc w:val="center"/>
              <w:rPr>
                <w:rFonts w:ascii="宋体" w:hAnsi="宋体" w:cs="宋体"/>
                <w:b/>
                <w:bCs/>
                <w:color w:val="auto"/>
                <w:kern w:val="0"/>
                <w:sz w:val="24"/>
              </w:rPr>
            </w:pPr>
            <w:r>
              <w:rPr>
                <w:rFonts w:hint="eastAsia" w:ascii="宋体" w:hAnsi="宋体" w:cs="宋体"/>
                <w:b/>
                <w:bCs/>
                <w:color w:val="auto"/>
                <w:kern w:val="0"/>
                <w:sz w:val="24"/>
              </w:rPr>
              <w:t>表1-1  项目与相关规划及规划环评符合性分析</w:t>
            </w:r>
          </w:p>
          <w:tbl>
            <w:tblPr>
              <w:tblStyle w:val="28"/>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autofit"/>
              <w:tblCellMar>
                <w:top w:w="0" w:type="dxa"/>
                <w:left w:w="108" w:type="dxa"/>
                <w:bottom w:w="0" w:type="dxa"/>
                <w:right w:w="108" w:type="dxa"/>
              </w:tblCellMar>
            </w:tblPr>
            <w:tblGrid>
              <w:gridCol w:w="1756"/>
              <w:gridCol w:w="2869"/>
              <w:gridCol w:w="2049"/>
              <w:gridCol w:w="428"/>
            </w:tblGrid>
            <w:tr w14:paraId="0507AFE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2905" w:type="pct"/>
                  <w:gridSpan w:val="2"/>
                  <w:vAlign w:val="center"/>
                </w:tcPr>
                <w:p w14:paraId="7EC5CA99">
                  <w:pPr>
                    <w:jc w:val="center"/>
                    <w:rPr>
                      <w:rFonts w:eastAsiaTheme="minorEastAsia"/>
                      <w:b/>
                      <w:color w:val="auto"/>
                      <w:szCs w:val="21"/>
                    </w:rPr>
                  </w:pPr>
                  <w:r>
                    <w:rPr>
                      <w:rFonts w:eastAsiaTheme="minorEastAsia"/>
                      <w:b/>
                      <w:color w:val="auto"/>
                      <w:szCs w:val="21"/>
                    </w:rPr>
                    <w:t>分析判定内容</w:t>
                  </w:r>
                </w:p>
              </w:tc>
              <w:tc>
                <w:tcPr>
                  <w:tcW w:w="1689" w:type="pct"/>
                  <w:vAlign w:val="center"/>
                </w:tcPr>
                <w:p w14:paraId="68368872">
                  <w:pPr>
                    <w:adjustRightInd w:val="0"/>
                    <w:snapToGrid w:val="0"/>
                    <w:jc w:val="center"/>
                    <w:rPr>
                      <w:rFonts w:eastAsiaTheme="minorEastAsia"/>
                      <w:b/>
                      <w:color w:val="auto"/>
                      <w:szCs w:val="21"/>
                    </w:rPr>
                  </w:pPr>
                  <w:r>
                    <w:rPr>
                      <w:rFonts w:eastAsiaTheme="minorEastAsia"/>
                      <w:b/>
                      <w:color w:val="auto"/>
                      <w:szCs w:val="21"/>
                    </w:rPr>
                    <w:t>本项目情况</w:t>
                  </w:r>
                </w:p>
              </w:tc>
              <w:tc>
                <w:tcPr>
                  <w:tcW w:w="404" w:type="pct"/>
                  <w:vAlign w:val="center"/>
                </w:tcPr>
                <w:p w14:paraId="2F41AEC4">
                  <w:pPr>
                    <w:adjustRightInd w:val="0"/>
                    <w:snapToGrid w:val="0"/>
                    <w:jc w:val="center"/>
                    <w:rPr>
                      <w:rFonts w:eastAsiaTheme="minorEastAsia"/>
                      <w:b/>
                      <w:color w:val="auto"/>
                      <w:szCs w:val="21"/>
                    </w:rPr>
                  </w:pPr>
                  <w:r>
                    <w:rPr>
                      <w:rFonts w:eastAsiaTheme="minorEastAsia"/>
                      <w:b/>
                      <w:color w:val="auto"/>
                      <w:szCs w:val="21"/>
                    </w:rPr>
                    <w:t>判定</w:t>
                  </w:r>
                </w:p>
                <w:p w14:paraId="68EE4D79">
                  <w:pPr>
                    <w:adjustRightInd w:val="0"/>
                    <w:snapToGrid w:val="0"/>
                    <w:jc w:val="center"/>
                    <w:rPr>
                      <w:rFonts w:eastAsiaTheme="minorEastAsia"/>
                      <w:b/>
                      <w:color w:val="auto"/>
                      <w:szCs w:val="21"/>
                    </w:rPr>
                  </w:pPr>
                  <w:r>
                    <w:rPr>
                      <w:rFonts w:eastAsiaTheme="minorEastAsia"/>
                      <w:b/>
                      <w:color w:val="auto"/>
                      <w:szCs w:val="21"/>
                    </w:rPr>
                    <w:t>结论</w:t>
                  </w:r>
                </w:p>
              </w:tc>
            </w:tr>
            <w:tr w14:paraId="4CEAC6B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126" w:hRule="atLeast"/>
                <w:jc w:val="center"/>
              </w:trPr>
              <w:tc>
                <w:tcPr>
                  <w:tcW w:w="639" w:type="pct"/>
                  <w:vMerge w:val="restart"/>
                  <w:vAlign w:val="center"/>
                </w:tcPr>
                <w:p w14:paraId="78D08215">
                  <w:pPr>
                    <w:autoSpaceDE w:val="0"/>
                    <w:autoSpaceDN w:val="0"/>
                    <w:adjustRightInd w:val="0"/>
                    <w:snapToGrid w:val="0"/>
                    <w:jc w:val="center"/>
                    <w:rPr>
                      <w:rFonts w:eastAsiaTheme="minorEastAsia"/>
                      <w:color w:val="auto"/>
                      <w:szCs w:val="21"/>
                    </w:rPr>
                  </w:pPr>
                  <w:r>
                    <w:rPr>
                      <w:rFonts w:eastAsiaTheme="minorEastAsia"/>
                      <w:color w:val="auto"/>
                      <w:szCs w:val="21"/>
                    </w:rPr>
                    <w:t>《西咸新区—沣东新城分区规划（2010-2020）》</w:t>
                  </w:r>
                </w:p>
              </w:tc>
              <w:tc>
                <w:tcPr>
                  <w:tcW w:w="2265" w:type="pct"/>
                  <w:vAlign w:val="center"/>
                </w:tcPr>
                <w:p w14:paraId="65163E4E">
                  <w:pPr>
                    <w:rPr>
                      <w:rFonts w:eastAsiaTheme="minorEastAsia"/>
                      <w:b/>
                      <w:bCs/>
                      <w:color w:val="auto"/>
                      <w:szCs w:val="21"/>
                    </w:rPr>
                  </w:pPr>
                  <w:r>
                    <w:rPr>
                      <w:rFonts w:eastAsiaTheme="minorEastAsia"/>
                      <w:color w:val="auto"/>
                      <w:kern w:val="21"/>
                      <w:szCs w:val="21"/>
                    </w:rPr>
                    <w:t>沣东新城的定位为西部地区统筹科技资源示范基地，高新技术研发和会展中心，大西安未来将建设成为具有东方人文特色的生态化国际新城。规划形成“两带、七板块”的空间格局，两带：周秦汉历史文化景观带、</w:t>
                  </w:r>
                  <w:r>
                    <w:rPr>
                      <w:rFonts w:hint="eastAsia" w:eastAsiaTheme="minorEastAsia"/>
                      <w:color w:val="auto"/>
                      <w:kern w:val="21"/>
                      <w:szCs w:val="21"/>
                      <w:lang w:val="en-US" w:eastAsia="zh-CN"/>
                    </w:rPr>
                    <w:t>沣</w:t>
                  </w:r>
                  <w:r>
                    <w:rPr>
                      <w:rFonts w:eastAsiaTheme="minorEastAsia"/>
                      <w:color w:val="auto"/>
                      <w:kern w:val="21"/>
                      <w:szCs w:val="21"/>
                    </w:rPr>
                    <w:t>河景观风貌带，七板块：</w:t>
                  </w:r>
                  <w:r>
                    <w:rPr>
                      <w:rFonts w:hint="eastAsia" w:eastAsiaTheme="minorEastAsia"/>
                      <w:color w:val="auto"/>
                      <w:kern w:val="21"/>
                      <w:szCs w:val="21"/>
                      <w:lang w:val="en-US" w:eastAsia="zh-CN"/>
                    </w:rPr>
                    <w:t>沣</w:t>
                  </w:r>
                  <w:r>
                    <w:rPr>
                      <w:rFonts w:eastAsiaTheme="minorEastAsia"/>
                      <w:color w:val="auto"/>
                      <w:kern w:val="21"/>
                      <w:szCs w:val="21"/>
                    </w:rPr>
                    <w:t>河田园</w:t>
                  </w:r>
                  <w:r>
                    <w:rPr>
                      <w:rFonts w:hint="eastAsia" w:eastAsiaTheme="minorEastAsia"/>
                      <w:color w:val="auto"/>
                      <w:kern w:val="21"/>
                      <w:szCs w:val="21"/>
                      <w:lang w:val="en-US" w:eastAsia="zh-CN"/>
                    </w:rPr>
                    <w:t>城市</w:t>
                  </w:r>
                  <w:r>
                    <w:rPr>
                      <w:rFonts w:eastAsiaTheme="minorEastAsia"/>
                      <w:color w:val="auto"/>
                      <w:kern w:val="21"/>
                      <w:szCs w:val="21"/>
                    </w:rPr>
                    <w:t>板块、六村堡现代产业板块、三桥</w:t>
                  </w:r>
                  <w:r>
                    <w:rPr>
                      <w:rFonts w:hint="eastAsia" w:eastAsiaTheme="minorEastAsia"/>
                      <w:color w:val="auto"/>
                      <w:kern w:val="21"/>
                      <w:szCs w:val="21"/>
                      <w:lang w:val="en-US" w:eastAsia="zh-CN"/>
                    </w:rPr>
                    <w:t>现代商贸</w:t>
                  </w:r>
                  <w:r>
                    <w:rPr>
                      <w:rFonts w:eastAsiaTheme="minorEastAsia"/>
                      <w:color w:val="auto"/>
                      <w:kern w:val="21"/>
                      <w:szCs w:val="21"/>
                    </w:rPr>
                    <w:t>板块、阿房宫人文旅游板块、</w:t>
                  </w:r>
                  <w:r>
                    <w:rPr>
                      <w:rFonts w:hint="eastAsia" w:eastAsiaTheme="minorEastAsia"/>
                      <w:color w:val="auto"/>
                      <w:kern w:val="21"/>
                      <w:szCs w:val="21"/>
                      <w:lang w:val="en-US" w:eastAsia="zh-CN"/>
                    </w:rPr>
                    <w:t>科学城</w:t>
                  </w:r>
                  <w:r>
                    <w:rPr>
                      <w:rFonts w:eastAsiaTheme="minorEastAsia"/>
                      <w:color w:val="auto"/>
                      <w:kern w:val="21"/>
                      <w:szCs w:val="21"/>
                    </w:rPr>
                    <w:t>科技统筹板块、镐京</w:t>
                  </w:r>
                  <w:r>
                    <w:rPr>
                      <w:rFonts w:hint="eastAsia" w:eastAsiaTheme="minorEastAsia"/>
                      <w:color w:val="auto"/>
                      <w:kern w:val="21"/>
                      <w:szCs w:val="21"/>
                      <w:lang w:val="en-US" w:eastAsia="zh-CN"/>
                    </w:rPr>
                    <w:t>立体城市</w:t>
                  </w:r>
                  <w:r>
                    <w:rPr>
                      <w:rFonts w:eastAsiaTheme="minorEastAsia"/>
                      <w:color w:val="auto"/>
                      <w:kern w:val="21"/>
                      <w:szCs w:val="21"/>
                    </w:rPr>
                    <w:t>板块、昆明池生态</w:t>
                  </w:r>
                  <w:r>
                    <w:rPr>
                      <w:rFonts w:hint="eastAsia" w:eastAsiaTheme="minorEastAsia"/>
                      <w:color w:val="auto"/>
                      <w:kern w:val="21"/>
                      <w:szCs w:val="21"/>
                      <w:lang w:val="en-US" w:eastAsia="zh-CN"/>
                    </w:rPr>
                    <w:t>文化</w:t>
                  </w:r>
                  <w:r>
                    <w:rPr>
                      <w:rFonts w:eastAsiaTheme="minorEastAsia"/>
                      <w:color w:val="auto"/>
                      <w:kern w:val="21"/>
                      <w:szCs w:val="21"/>
                    </w:rPr>
                    <w:t>板块。</w:t>
                  </w:r>
                </w:p>
              </w:tc>
              <w:tc>
                <w:tcPr>
                  <w:tcW w:w="1689" w:type="pct"/>
                  <w:vMerge w:val="restart"/>
                  <w:vAlign w:val="center"/>
                </w:tcPr>
                <w:p w14:paraId="64997617">
                  <w:pPr>
                    <w:widowControl/>
                    <w:rPr>
                      <w:rFonts w:eastAsiaTheme="minorEastAsia"/>
                      <w:color w:val="auto"/>
                      <w:szCs w:val="21"/>
                    </w:rPr>
                  </w:pPr>
                  <w:r>
                    <w:rPr>
                      <w:rFonts w:eastAsiaTheme="minorEastAsia"/>
                      <w:color w:val="auto"/>
                      <w:kern w:val="21"/>
                      <w:szCs w:val="21"/>
                    </w:rPr>
                    <w:t>本项目位于</w:t>
                  </w:r>
                  <w:r>
                    <w:rPr>
                      <w:rFonts w:hint="eastAsia" w:eastAsiaTheme="minorEastAsia"/>
                      <w:color w:val="auto"/>
                      <w:kern w:val="21"/>
                      <w:szCs w:val="21"/>
                      <w:lang w:val="en-US" w:eastAsia="zh-CN"/>
                    </w:rPr>
                    <w:t>沣东新城天章大道与丰安路十字东南角（西安众汇电子科技有限公司办公楼一层）</w:t>
                  </w:r>
                  <w:r>
                    <w:rPr>
                      <w:rFonts w:eastAsiaTheme="minorEastAsia"/>
                      <w:color w:val="auto"/>
                      <w:kern w:val="21"/>
                      <w:szCs w:val="21"/>
                    </w:rPr>
                    <w:t>，位于规划范围内。</w:t>
                  </w:r>
                  <w:r>
                    <w:rPr>
                      <w:rFonts w:eastAsiaTheme="minorEastAsia"/>
                      <w:color w:val="auto"/>
                      <w:szCs w:val="21"/>
                    </w:rPr>
                    <w:t>根据《西咸新区-沣东新城分区规划(2010-2020)》，</w:t>
                  </w:r>
                  <w:r>
                    <w:rPr>
                      <w:rFonts w:hint="eastAsia" w:eastAsiaTheme="minorEastAsia"/>
                      <w:color w:val="auto"/>
                      <w:szCs w:val="21"/>
                      <w:lang w:val="en-US" w:eastAsia="zh-CN"/>
                    </w:rPr>
                    <w:t>本项目位于六村堡现代产业板块，</w:t>
                  </w:r>
                  <w:r>
                    <w:rPr>
                      <w:rFonts w:eastAsiaTheme="minorEastAsia"/>
                      <w:color w:val="auto"/>
                      <w:szCs w:val="21"/>
                    </w:rPr>
                    <w:t>本企业国民经济行业类别为</w:t>
                  </w:r>
                  <w:r>
                    <w:rPr>
                      <w:rFonts w:hint="eastAsia" w:eastAsiaTheme="minorEastAsia"/>
                      <w:color w:val="auto"/>
                      <w:szCs w:val="21"/>
                    </w:rPr>
                    <w:t>M7452 检测服务，符合规划产业定位</w:t>
                  </w:r>
                  <w:r>
                    <w:rPr>
                      <w:rFonts w:eastAsiaTheme="minorEastAsia"/>
                      <w:color w:val="auto"/>
                      <w:kern w:val="0"/>
                      <w:szCs w:val="21"/>
                    </w:rPr>
                    <w:t>。</w:t>
                  </w:r>
                </w:p>
              </w:tc>
              <w:tc>
                <w:tcPr>
                  <w:tcW w:w="404" w:type="pct"/>
                  <w:vMerge w:val="restart"/>
                  <w:vAlign w:val="center"/>
                </w:tcPr>
                <w:p w14:paraId="5CAD8994">
                  <w:pPr>
                    <w:adjustRightInd w:val="0"/>
                    <w:snapToGrid w:val="0"/>
                    <w:jc w:val="center"/>
                    <w:rPr>
                      <w:rFonts w:eastAsiaTheme="minorEastAsia"/>
                      <w:color w:val="auto"/>
                      <w:szCs w:val="21"/>
                    </w:rPr>
                  </w:pPr>
                  <w:r>
                    <w:rPr>
                      <w:rFonts w:eastAsiaTheme="minorEastAsia"/>
                      <w:bCs/>
                      <w:color w:val="auto"/>
                      <w:szCs w:val="21"/>
                    </w:rPr>
                    <w:t>符合</w:t>
                  </w:r>
                </w:p>
              </w:tc>
            </w:tr>
            <w:tr w14:paraId="2C684CA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81" w:hRule="atLeast"/>
                <w:jc w:val="center"/>
              </w:trPr>
              <w:tc>
                <w:tcPr>
                  <w:tcW w:w="639" w:type="pct"/>
                  <w:vMerge w:val="continue"/>
                  <w:vAlign w:val="center"/>
                </w:tcPr>
                <w:p w14:paraId="42C34E7E">
                  <w:pPr>
                    <w:rPr>
                      <w:rFonts w:eastAsiaTheme="minorEastAsia"/>
                      <w:color w:val="auto"/>
                      <w:szCs w:val="21"/>
                    </w:rPr>
                  </w:pPr>
                </w:p>
              </w:tc>
              <w:tc>
                <w:tcPr>
                  <w:tcW w:w="2265" w:type="pct"/>
                  <w:vAlign w:val="center"/>
                </w:tcPr>
                <w:p w14:paraId="1CAE05C4">
                  <w:pPr>
                    <w:rPr>
                      <w:rFonts w:eastAsiaTheme="minorEastAsia"/>
                      <w:color w:val="auto"/>
                      <w:kern w:val="21"/>
                      <w:szCs w:val="21"/>
                    </w:rPr>
                  </w:pPr>
                  <w:r>
                    <w:rPr>
                      <w:rFonts w:hint="eastAsia" w:eastAsiaTheme="minorEastAsia"/>
                      <w:color w:val="auto"/>
                      <w:kern w:val="21"/>
                      <w:szCs w:val="21"/>
                    </w:rPr>
                    <w:t>六村堡现代产业板块：依托现有现代产业发展基础，整合区域内小型工业园，秉持“科技创新、绿色文明”的开发理念，优化综合环境，提升服务水平，以“建设</w:t>
                  </w:r>
                  <w:r>
                    <w:rPr>
                      <w:rFonts w:hint="eastAsia" w:eastAsiaTheme="minorEastAsia"/>
                      <w:color w:val="auto"/>
                      <w:kern w:val="21"/>
                      <w:szCs w:val="21"/>
                      <w:lang w:val="en-US" w:eastAsia="zh-CN"/>
                    </w:rPr>
                    <w:t>国</w:t>
                  </w:r>
                  <w:r>
                    <w:rPr>
                      <w:rFonts w:hint="eastAsia" w:eastAsiaTheme="minorEastAsia"/>
                      <w:color w:val="auto"/>
                      <w:kern w:val="21"/>
                      <w:szCs w:val="21"/>
                    </w:rPr>
                    <w:t>内一流、国际先进的专业化、特色化生态产业园”的目标为主旨。重点发展高端制造产业、新材料、新技术研发</w:t>
                  </w:r>
                  <w:r>
                    <w:rPr>
                      <w:rFonts w:hint="eastAsia" w:eastAsiaTheme="minorEastAsia"/>
                      <w:color w:val="auto"/>
                      <w:kern w:val="21"/>
                      <w:szCs w:val="21"/>
                      <w:lang w:val="en-US" w:eastAsia="zh-CN"/>
                    </w:rPr>
                    <w:t>企业</w:t>
                  </w:r>
                  <w:r>
                    <w:rPr>
                      <w:rFonts w:hint="eastAsia" w:eastAsiaTheme="minorEastAsia"/>
                      <w:color w:val="auto"/>
                      <w:kern w:val="21"/>
                      <w:szCs w:val="21"/>
                    </w:rPr>
                    <w:t>、精细化工业、仓储物流等产业为主的现代产业园区。</w:t>
                  </w:r>
                </w:p>
              </w:tc>
              <w:tc>
                <w:tcPr>
                  <w:tcW w:w="1689" w:type="pct"/>
                  <w:vMerge w:val="continue"/>
                  <w:vAlign w:val="center"/>
                </w:tcPr>
                <w:p w14:paraId="44A8818B">
                  <w:pPr>
                    <w:rPr>
                      <w:rFonts w:eastAsiaTheme="minorEastAsia"/>
                      <w:color w:val="auto"/>
                      <w:kern w:val="21"/>
                      <w:szCs w:val="21"/>
                    </w:rPr>
                  </w:pPr>
                </w:p>
              </w:tc>
              <w:tc>
                <w:tcPr>
                  <w:tcW w:w="404" w:type="pct"/>
                  <w:vMerge w:val="continue"/>
                  <w:vAlign w:val="center"/>
                </w:tcPr>
                <w:p w14:paraId="5DE41798">
                  <w:pPr>
                    <w:rPr>
                      <w:rFonts w:eastAsiaTheme="minorEastAsia"/>
                      <w:color w:val="auto"/>
                      <w:kern w:val="21"/>
                      <w:szCs w:val="21"/>
                    </w:rPr>
                  </w:pPr>
                </w:p>
              </w:tc>
            </w:tr>
            <w:tr w14:paraId="5C5CB6C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639" w:type="pct"/>
                  <w:vMerge w:val="restart"/>
                  <w:vAlign w:val="center"/>
                </w:tcPr>
                <w:p w14:paraId="3AEBCCB3">
                  <w:pPr>
                    <w:adjustRightInd w:val="0"/>
                    <w:snapToGrid w:val="0"/>
                    <w:jc w:val="center"/>
                    <w:rPr>
                      <w:rFonts w:eastAsiaTheme="minorEastAsia"/>
                      <w:color w:val="auto"/>
                      <w:szCs w:val="21"/>
                    </w:rPr>
                  </w:pPr>
                  <w:r>
                    <w:rPr>
                      <w:rFonts w:eastAsiaTheme="minorEastAsia"/>
                      <w:color w:val="auto"/>
                      <w:szCs w:val="21"/>
                    </w:rPr>
                    <w:t>《西咸新区－沣东新城分区规划（2010-2020）环境影响报告书》及审查意见</w:t>
                  </w:r>
                </w:p>
              </w:tc>
              <w:tc>
                <w:tcPr>
                  <w:tcW w:w="2265" w:type="pct"/>
                  <w:vAlign w:val="center"/>
                </w:tcPr>
                <w:p w14:paraId="40213ED0">
                  <w:pPr>
                    <w:adjustRightInd w:val="0"/>
                    <w:snapToGrid w:val="0"/>
                    <w:rPr>
                      <w:rFonts w:eastAsiaTheme="minorEastAsia"/>
                      <w:color w:val="auto"/>
                      <w:szCs w:val="21"/>
                    </w:rPr>
                  </w:pPr>
                  <w:r>
                    <w:rPr>
                      <w:rFonts w:eastAsiaTheme="minorEastAsia"/>
                      <w:color w:val="auto"/>
                      <w:szCs w:val="21"/>
                    </w:rPr>
                    <w:t>1.推广清洁能源使用，建立可持续能源体系结构。鼓励使用天然气、风能、太阳能、地热能、生物质能等能源。大力发展城市集中供热，全面普及居民生活燃气，实现“以气代煤”、“以电代煤”。2.大气环境保护对策和措施：严格产业准入制度，控制企业污染排放。设置新城产业准入大气环境标准，对排污量大的行业进行限制，防止对新城产生影响。</w:t>
                  </w:r>
                </w:p>
              </w:tc>
              <w:tc>
                <w:tcPr>
                  <w:tcW w:w="1689" w:type="pct"/>
                  <w:vAlign w:val="center"/>
                </w:tcPr>
                <w:p w14:paraId="3690502F">
                  <w:pPr>
                    <w:widowControl/>
                    <w:rPr>
                      <w:rFonts w:eastAsiaTheme="minorEastAsia"/>
                      <w:color w:val="auto"/>
                      <w:szCs w:val="21"/>
                    </w:rPr>
                  </w:pPr>
                  <w:r>
                    <w:rPr>
                      <w:rFonts w:eastAsiaTheme="minorEastAsia"/>
                      <w:color w:val="auto"/>
                      <w:szCs w:val="21"/>
                    </w:rPr>
                    <w:t>1.本项目运营期所用能源主要为电能，属于清洁能源。</w:t>
                  </w:r>
                </w:p>
                <w:p w14:paraId="623EB4F7">
                  <w:pPr>
                    <w:widowControl/>
                    <w:rPr>
                      <w:rFonts w:eastAsiaTheme="minorEastAsia"/>
                      <w:color w:val="auto"/>
                      <w:szCs w:val="21"/>
                    </w:rPr>
                  </w:pPr>
                  <w:r>
                    <w:rPr>
                      <w:rFonts w:eastAsiaTheme="minorEastAsia"/>
                      <w:color w:val="auto"/>
                      <w:szCs w:val="21"/>
                    </w:rPr>
                    <w:t>2.本项目运营期非甲烷总烃</w:t>
                  </w:r>
                  <w:r>
                    <w:rPr>
                      <w:rFonts w:hint="eastAsia" w:eastAsiaTheme="minorEastAsia"/>
                      <w:color w:val="auto"/>
                      <w:szCs w:val="21"/>
                      <w:lang w:eastAsia="zh-CN"/>
                    </w:rPr>
                    <w:t>、</w:t>
                  </w:r>
                  <w:r>
                    <w:rPr>
                      <w:rFonts w:hint="eastAsia" w:eastAsiaTheme="minorEastAsia"/>
                      <w:color w:val="auto"/>
                      <w:szCs w:val="21"/>
                      <w:lang w:val="en-US" w:eastAsia="zh-CN"/>
                    </w:rPr>
                    <w:t>沥青烟、苯并[a]芘及氯化氢</w:t>
                  </w:r>
                  <w:r>
                    <w:rPr>
                      <w:rFonts w:eastAsiaTheme="minorEastAsia"/>
                      <w:color w:val="auto"/>
                      <w:szCs w:val="21"/>
                    </w:rPr>
                    <w:t>排放执行</w:t>
                  </w:r>
                  <w:r>
                    <w:rPr>
                      <w:rFonts w:hint="eastAsia"/>
                      <w:color w:val="auto"/>
                      <w:szCs w:val="21"/>
                      <w:highlight w:val="none"/>
                    </w:rPr>
                    <w:t>《大气污染物综合排放标准》（</w:t>
                  </w:r>
                  <w:r>
                    <w:rPr>
                      <w:color w:val="auto"/>
                      <w:szCs w:val="21"/>
                      <w:highlight w:val="none"/>
                    </w:rPr>
                    <w:t>GB</w:t>
                  </w:r>
                  <w:r>
                    <w:rPr>
                      <w:rFonts w:hint="eastAsia"/>
                      <w:color w:val="auto"/>
                      <w:szCs w:val="21"/>
                      <w:highlight w:val="none"/>
                    </w:rPr>
                    <w:t>16297-1996）</w:t>
                  </w:r>
                  <w:r>
                    <w:rPr>
                      <w:rFonts w:eastAsiaTheme="minorEastAsia"/>
                      <w:color w:val="auto"/>
                      <w:szCs w:val="21"/>
                    </w:rPr>
                    <w:t>中相关浓度限值，污染物排放均能达到国家控制标准。</w:t>
                  </w:r>
                </w:p>
              </w:tc>
              <w:tc>
                <w:tcPr>
                  <w:tcW w:w="404" w:type="pct"/>
                  <w:vAlign w:val="center"/>
                </w:tcPr>
                <w:p w14:paraId="61EE8266">
                  <w:pPr>
                    <w:adjustRightInd w:val="0"/>
                    <w:snapToGrid w:val="0"/>
                    <w:jc w:val="center"/>
                    <w:rPr>
                      <w:rFonts w:eastAsiaTheme="minorEastAsia"/>
                      <w:color w:val="auto"/>
                      <w:szCs w:val="21"/>
                    </w:rPr>
                  </w:pPr>
                  <w:r>
                    <w:rPr>
                      <w:rFonts w:eastAsiaTheme="minorEastAsia"/>
                      <w:color w:val="auto"/>
                      <w:szCs w:val="21"/>
                    </w:rPr>
                    <w:t>符合</w:t>
                  </w:r>
                </w:p>
              </w:tc>
            </w:tr>
            <w:tr w14:paraId="01DD6F0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90" w:hRule="atLeast"/>
                <w:jc w:val="center"/>
              </w:trPr>
              <w:tc>
                <w:tcPr>
                  <w:tcW w:w="639" w:type="pct"/>
                  <w:vMerge w:val="continue"/>
                  <w:vAlign w:val="center"/>
                </w:tcPr>
                <w:p w14:paraId="508B4C4F">
                  <w:pPr>
                    <w:adjustRightInd w:val="0"/>
                    <w:snapToGrid w:val="0"/>
                    <w:jc w:val="center"/>
                    <w:rPr>
                      <w:rFonts w:eastAsiaTheme="minorEastAsia"/>
                      <w:color w:val="auto"/>
                      <w:szCs w:val="21"/>
                    </w:rPr>
                  </w:pPr>
                </w:p>
              </w:tc>
              <w:tc>
                <w:tcPr>
                  <w:tcW w:w="2265" w:type="pct"/>
                  <w:vAlign w:val="center"/>
                </w:tcPr>
                <w:p w14:paraId="306E279C">
                  <w:pPr>
                    <w:wordWrap w:val="0"/>
                    <w:adjustRightInd w:val="0"/>
                    <w:snapToGrid w:val="0"/>
                    <w:rPr>
                      <w:rFonts w:eastAsiaTheme="minorEastAsia"/>
                      <w:color w:val="auto"/>
                      <w:szCs w:val="21"/>
                    </w:rPr>
                  </w:pPr>
                  <w:r>
                    <w:rPr>
                      <w:rFonts w:hint="eastAsia" w:eastAsiaTheme="minorEastAsia"/>
                      <w:color w:val="auto"/>
                      <w:szCs w:val="21"/>
                    </w:rPr>
                    <w:t>1.</w:t>
                  </w:r>
                  <w:r>
                    <w:rPr>
                      <w:rFonts w:eastAsiaTheme="minorEastAsia"/>
                      <w:color w:val="auto"/>
                      <w:szCs w:val="21"/>
                    </w:rPr>
                    <w:t>实行污水集中处理，生产废水和生活污水必须经处理达到污水处理厂接纳标准后汇入污水管道，排入污水处理厂集中处理。</w:t>
                  </w:r>
                </w:p>
                <w:p w14:paraId="781812CC">
                  <w:pPr>
                    <w:wordWrap w:val="0"/>
                    <w:adjustRightInd w:val="0"/>
                    <w:snapToGrid w:val="0"/>
                    <w:rPr>
                      <w:rFonts w:eastAsiaTheme="minorEastAsia"/>
                      <w:color w:val="auto"/>
                      <w:szCs w:val="21"/>
                    </w:rPr>
                  </w:pPr>
                  <w:r>
                    <w:rPr>
                      <w:rFonts w:eastAsiaTheme="minorEastAsia"/>
                      <w:color w:val="auto"/>
                      <w:szCs w:val="21"/>
                    </w:rPr>
                    <w:t>2.水环境保护对策和措施：严格环境准入制度，防治企业污染排放。在规划建设中，要设置相应的环保准入门槛，限制造纸、化工、食品饮料加工、皮革、电镀等高耗水、重污染行业进入。</w:t>
                  </w:r>
                </w:p>
              </w:tc>
              <w:tc>
                <w:tcPr>
                  <w:tcW w:w="1689" w:type="pct"/>
                  <w:vAlign w:val="center"/>
                </w:tcPr>
                <w:p w14:paraId="5A669246">
                  <w:pPr>
                    <w:adjustRightInd w:val="0"/>
                    <w:snapToGrid w:val="0"/>
                    <w:rPr>
                      <w:rFonts w:eastAsiaTheme="minorEastAsia"/>
                      <w:color w:val="auto"/>
                      <w:szCs w:val="21"/>
                    </w:rPr>
                  </w:pPr>
                  <w:r>
                    <w:rPr>
                      <w:rFonts w:eastAsiaTheme="minorEastAsia"/>
                      <w:color w:val="auto"/>
                      <w:szCs w:val="21"/>
                    </w:rPr>
                    <w:t>1.本项目实施后，</w:t>
                  </w:r>
                  <w:r>
                    <w:rPr>
                      <w:rFonts w:hint="eastAsia" w:eastAsiaTheme="minorEastAsia"/>
                      <w:color w:val="auto"/>
                      <w:szCs w:val="21"/>
                      <w:lang w:val="en-US" w:eastAsia="zh-CN"/>
                    </w:rPr>
                    <w:t>试验废水</w:t>
                  </w:r>
                  <w:r>
                    <w:rPr>
                      <w:rFonts w:eastAsiaTheme="minorEastAsia"/>
                      <w:color w:val="auto"/>
                      <w:szCs w:val="21"/>
                    </w:rPr>
                    <w:t>经</w:t>
                  </w:r>
                  <w:r>
                    <w:rPr>
                      <w:rFonts w:hint="eastAsia" w:eastAsiaTheme="minorEastAsia"/>
                      <w:color w:val="auto"/>
                      <w:szCs w:val="21"/>
                      <w:lang w:val="en-US" w:eastAsia="zh-CN"/>
                    </w:rPr>
                    <w:t>沉淀池收集后排入化粪池处理达标后排入市政污水管网</w:t>
                  </w:r>
                  <w:r>
                    <w:rPr>
                      <w:rFonts w:eastAsiaTheme="minorEastAsia"/>
                      <w:color w:val="auto"/>
                      <w:szCs w:val="21"/>
                    </w:rPr>
                    <w:t>；生活污水经</w:t>
                  </w:r>
                  <w:r>
                    <w:rPr>
                      <w:rFonts w:hint="eastAsia" w:eastAsiaTheme="minorEastAsia"/>
                      <w:color w:val="auto"/>
                      <w:szCs w:val="21"/>
                      <w:lang w:val="en-US" w:eastAsia="zh-CN"/>
                    </w:rPr>
                    <w:t>院</w:t>
                  </w:r>
                  <w:r>
                    <w:rPr>
                      <w:rFonts w:eastAsiaTheme="minorEastAsia"/>
                      <w:color w:val="auto"/>
                      <w:szCs w:val="21"/>
                    </w:rPr>
                    <w:t>内化粪池处理达标后排入市政污水管网。</w:t>
                  </w:r>
                </w:p>
                <w:p w14:paraId="6987E25C">
                  <w:pPr>
                    <w:adjustRightInd w:val="0"/>
                    <w:snapToGrid w:val="0"/>
                    <w:rPr>
                      <w:rFonts w:eastAsiaTheme="minorEastAsia"/>
                      <w:color w:val="auto"/>
                      <w:szCs w:val="21"/>
                    </w:rPr>
                  </w:pPr>
                  <w:r>
                    <w:rPr>
                      <w:rFonts w:eastAsiaTheme="minorEastAsia"/>
                      <w:color w:val="auto"/>
                      <w:szCs w:val="21"/>
                    </w:rPr>
                    <w:t>2.本项目属于</w:t>
                  </w:r>
                  <w:r>
                    <w:rPr>
                      <w:rFonts w:hint="eastAsia" w:eastAsiaTheme="minorEastAsia"/>
                      <w:color w:val="auto"/>
                      <w:kern w:val="21"/>
                      <w:szCs w:val="21"/>
                      <w:lang w:val="en-US" w:eastAsia="zh-CN"/>
                    </w:rPr>
                    <w:t>检测服务</w:t>
                  </w:r>
                  <w:r>
                    <w:rPr>
                      <w:rFonts w:eastAsiaTheme="minorEastAsia"/>
                      <w:color w:val="auto"/>
                      <w:kern w:val="21"/>
                      <w:szCs w:val="21"/>
                    </w:rPr>
                    <w:t>业，不属于</w:t>
                  </w:r>
                  <w:r>
                    <w:rPr>
                      <w:rFonts w:eastAsiaTheme="minorEastAsia"/>
                      <w:color w:val="auto"/>
                      <w:szCs w:val="21"/>
                    </w:rPr>
                    <w:t>造纸、化工、食品饮料加工、皮革、电镀等高耗水、重污染行业。</w:t>
                  </w:r>
                </w:p>
              </w:tc>
              <w:tc>
                <w:tcPr>
                  <w:tcW w:w="404" w:type="pct"/>
                  <w:vAlign w:val="center"/>
                </w:tcPr>
                <w:p w14:paraId="37F0A0ED">
                  <w:pPr>
                    <w:adjustRightInd w:val="0"/>
                    <w:snapToGrid w:val="0"/>
                    <w:jc w:val="center"/>
                    <w:rPr>
                      <w:rFonts w:eastAsiaTheme="minorEastAsia"/>
                      <w:color w:val="auto"/>
                      <w:szCs w:val="21"/>
                    </w:rPr>
                  </w:pPr>
                  <w:r>
                    <w:rPr>
                      <w:rFonts w:eastAsiaTheme="minorEastAsia"/>
                      <w:color w:val="auto"/>
                      <w:szCs w:val="21"/>
                    </w:rPr>
                    <w:t>符合</w:t>
                  </w:r>
                </w:p>
              </w:tc>
            </w:tr>
            <w:tr w14:paraId="004C625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639" w:type="pct"/>
                  <w:vMerge w:val="continue"/>
                  <w:vAlign w:val="center"/>
                </w:tcPr>
                <w:p w14:paraId="04ED1293">
                  <w:pPr>
                    <w:adjustRightInd w:val="0"/>
                    <w:snapToGrid w:val="0"/>
                    <w:jc w:val="center"/>
                    <w:rPr>
                      <w:rFonts w:eastAsiaTheme="minorEastAsia"/>
                      <w:color w:val="auto"/>
                      <w:szCs w:val="21"/>
                    </w:rPr>
                  </w:pPr>
                </w:p>
              </w:tc>
              <w:tc>
                <w:tcPr>
                  <w:tcW w:w="2265" w:type="pct"/>
                  <w:vAlign w:val="center"/>
                </w:tcPr>
                <w:p w14:paraId="634BD405">
                  <w:pPr>
                    <w:adjustRightInd w:val="0"/>
                    <w:snapToGrid w:val="0"/>
                    <w:rPr>
                      <w:rFonts w:eastAsiaTheme="minorEastAsia"/>
                      <w:color w:val="auto"/>
                      <w:szCs w:val="21"/>
                    </w:rPr>
                  </w:pPr>
                  <w:r>
                    <w:rPr>
                      <w:rFonts w:eastAsiaTheme="minorEastAsia"/>
                      <w:color w:val="auto"/>
                      <w:szCs w:val="21"/>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689" w:type="pct"/>
                  <w:vAlign w:val="center"/>
                </w:tcPr>
                <w:p w14:paraId="62C5B23B">
                  <w:pPr>
                    <w:rPr>
                      <w:rFonts w:eastAsiaTheme="minorEastAsia"/>
                      <w:color w:val="auto"/>
                      <w:szCs w:val="21"/>
                    </w:rPr>
                  </w:pPr>
                  <w:r>
                    <w:rPr>
                      <w:rFonts w:hint="eastAsia" w:eastAsiaTheme="minorEastAsia"/>
                      <w:color w:val="auto"/>
                      <w:szCs w:val="21"/>
                    </w:rPr>
                    <w:t>本</w:t>
                  </w:r>
                  <w:r>
                    <w:rPr>
                      <w:rFonts w:eastAsiaTheme="minorEastAsia"/>
                      <w:color w:val="auto"/>
                      <w:szCs w:val="21"/>
                    </w:rPr>
                    <w:t>项目选用低噪声设备，运营期定期对设备进行检查维护，保证设备正常运转，封闭</w:t>
                  </w:r>
                  <w:r>
                    <w:rPr>
                      <w:rFonts w:hint="eastAsia" w:eastAsiaTheme="minorEastAsia"/>
                      <w:color w:val="auto"/>
                      <w:szCs w:val="21"/>
                      <w:lang w:val="en-US" w:eastAsia="zh-CN"/>
                    </w:rPr>
                    <w:t>室内</w:t>
                  </w:r>
                  <w:r>
                    <w:rPr>
                      <w:rFonts w:eastAsiaTheme="minorEastAsia"/>
                      <w:color w:val="auto"/>
                      <w:szCs w:val="21"/>
                    </w:rPr>
                    <w:t>隔声，安装基座减振以此来降低项目生产过程噪声对周边环境的影响。</w:t>
                  </w:r>
                </w:p>
              </w:tc>
              <w:tc>
                <w:tcPr>
                  <w:tcW w:w="404" w:type="pct"/>
                  <w:vAlign w:val="center"/>
                </w:tcPr>
                <w:p w14:paraId="2A356422">
                  <w:pPr>
                    <w:adjustRightInd w:val="0"/>
                    <w:snapToGrid w:val="0"/>
                    <w:jc w:val="center"/>
                    <w:rPr>
                      <w:rFonts w:eastAsiaTheme="minorEastAsia"/>
                      <w:color w:val="auto"/>
                      <w:szCs w:val="21"/>
                    </w:rPr>
                  </w:pPr>
                  <w:r>
                    <w:rPr>
                      <w:rFonts w:eastAsiaTheme="minorEastAsia"/>
                      <w:color w:val="auto"/>
                      <w:szCs w:val="21"/>
                    </w:rPr>
                    <w:t>符合</w:t>
                  </w:r>
                </w:p>
              </w:tc>
            </w:tr>
            <w:tr w14:paraId="7C87C84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639" w:type="pct"/>
                  <w:vMerge w:val="continue"/>
                  <w:vAlign w:val="center"/>
                </w:tcPr>
                <w:p w14:paraId="2EA2838D">
                  <w:pPr>
                    <w:adjustRightInd w:val="0"/>
                    <w:snapToGrid w:val="0"/>
                    <w:jc w:val="center"/>
                    <w:rPr>
                      <w:rFonts w:eastAsiaTheme="minorEastAsia"/>
                      <w:color w:val="auto"/>
                      <w:szCs w:val="21"/>
                    </w:rPr>
                  </w:pPr>
                </w:p>
              </w:tc>
              <w:tc>
                <w:tcPr>
                  <w:tcW w:w="2265" w:type="pct"/>
                  <w:vAlign w:val="center"/>
                </w:tcPr>
                <w:p w14:paraId="4A112551">
                  <w:pPr>
                    <w:pStyle w:val="78"/>
                    <w:kinsoku w:val="0"/>
                    <w:overflowPunct w:val="0"/>
                    <w:jc w:val="both"/>
                    <w:rPr>
                      <w:rFonts w:ascii="Times New Roman" w:hAnsi="Times New Roman" w:eastAsiaTheme="minorEastAsia"/>
                      <w:color w:val="auto"/>
                      <w:sz w:val="21"/>
                      <w:szCs w:val="21"/>
                    </w:rPr>
                  </w:pPr>
                  <w:r>
                    <w:rPr>
                      <w:rFonts w:ascii="Times New Roman" w:hAnsi="Times New Roman" w:eastAsiaTheme="minorEastAsia"/>
                      <w:color w:val="auto"/>
                      <w:sz w:val="21"/>
                      <w:szCs w:val="21"/>
                    </w:rPr>
                    <w:t>固体废物综合整治对策：提高全民的环境意识，提倡节约，减少城市生活垃圾产生量，推行生活垃圾分类收集，提高生活垃圾无害化处理率和固体废物的综合利用率。提高危险固废和医疗垃圾的安全处理、处置能力。</w:t>
                  </w:r>
                </w:p>
              </w:tc>
              <w:tc>
                <w:tcPr>
                  <w:tcW w:w="1689" w:type="pct"/>
                  <w:vAlign w:val="center"/>
                </w:tcPr>
                <w:p w14:paraId="0A34A2ED">
                  <w:pPr>
                    <w:pStyle w:val="78"/>
                    <w:kinsoku w:val="0"/>
                    <w:overflowPunct w:val="0"/>
                    <w:jc w:val="both"/>
                    <w:rPr>
                      <w:rFonts w:ascii="Times New Roman" w:hAnsi="Times New Roman" w:eastAsiaTheme="minorEastAsia"/>
                      <w:color w:val="auto"/>
                      <w:sz w:val="21"/>
                      <w:szCs w:val="21"/>
                    </w:rPr>
                  </w:pPr>
                  <w:r>
                    <w:rPr>
                      <w:rFonts w:ascii="Times New Roman" w:hAnsi="Times New Roman" w:eastAsiaTheme="minorEastAsia"/>
                      <w:color w:val="auto"/>
                      <w:sz w:val="21"/>
                      <w:szCs w:val="21"/>
                    </w:rPr>
                    <w:t>本项目产生的一般固体废物</w:t>
                  </w:r>
                  <w:r>
                    <w:rPr>
                      <w:rFonts w:hint="eastAsia" w:ascii="Times New Roman" w:hAnsi="Times New Roman" w:eastAsiaTheme="minorEastAsia"/>
                      <w:color w:val="auto"/>
                      <w:sz w:val="21"/>
                      <w:szCs w:val="21"/>
                      <w:lang w:val="en-US" w:eastAsia="zh-CN"/>
                    </w:rPr>
                    <w:t>集中收集后定期外售或处理</w:t>
                  </w:r>
                  <w:r>
                    <w:rPr>
                      <w:rFonts w:ascii="Times New Roman" w:hAnsi="Times New Roman" w:eastAsiaTheme="minorEastAsia"/>
                      <w:color w:val="auto"/>
                      <w:sz w:val="21"/>
                      <w:szCs w:val="21"/>
                    </w:rPr>
                    <w:t>；危险废物</w:t>
                  </w:r>
                  <w:r>
                    <w:rPr>
                      <w:rFonts w:hint="eastAsia" w:ascii="Times New Roman" w:hAnsi="Times New Roman" w:eastAsiaTheme="minorEastAsia"/>
                      <w:color w:val="auto"/>
                      <w:sz w:val="21"/>
                      <w:szCs w:val="21"/>
                      <w:lang w:val="en-US" w:eastAsia="zh-CN"/>
                    </w:rPr>
                    <w:t>暂存于危废贮存库，</w:t>
                  </w:r>
                  <w:r>
                    <w:rPr>
                      <w:rFonts w:ascii="Times New Roman" w:hAnsi="Times New Roman" w:eastAsiaTheme="minorEastAsia"/>
                      <w:color w:val="auto"/>
                      <w:sz w:val="21"/>
                      <w:szCs w:val="21"/>
                    </w:rPr>
                    <w:t>定期交</w:t>
                  </w:r>
                  <w:r>
                    <w:rPr>
                      <w:rFonts w:hint="eastAsia" w:ascii="Times New Roman" w:hAnsi="Times New Roman" w:cs="Times New Roman"/>
                      <w:color w:val="auto"/>
                      <w:sz w:val="21"/>
                      <w:szCs w:val="21"/>
                      <w:highlight w:val="none"/>
                      <w:lang w:val="en-US"/>
                    </w:rPr>
                    <w:t>有资质单位处置</w:t>
                  </w:r>
                  <w:r>
                    <w:rPr>
                      <w:rFonts w:ascii="Times New Roman" w:hAnsi="Times New Roman" w:eastAsiaTheme="minorEastAsia"/>
                      <w:color w:val="auto"/>
                      <w:sz w:val="21"/>
                      <w:szCs w:val="21"/>
                    </w:rPr>
                    <w:t>。</w:t>
                  </w:r>
                </w:p>
              </w:tc>
              <w:tc>
                <w:tcPr>
                  <w:tcW w:w="404" w:type="pct"/>
                  <w:vAlign w:val="center"/>
                </w:tcPr>
                <w:p w14:paraId="2817FB32">
                  <w:pPr>
                    <w:adjustRightInd w:val="0"/>
                    <w:snapToGrid w:val="0"/>
                    <w:jc w:val="center"/>
                    <w:rPr>
                      <w:rFonts w:eastAsiaTheme="minorEastAsia"/>
                      <w:color w:val="auto"/>
                      <w:szCs w:val="21"/>
                    </w:rPr>
                  </w:pPr>
                  <w:r>
                    <w:rPr>
                      <w:rFonts w:eastAsiaTheme="minorEastAsia"/>
                      <w:color w:val="auto"/>
                      <w:szCs w:val="21"/>
                    </w:rPr>
                    <w:t>符合</w:t>
                  </w:r>
                </w:p>
              </w:tc>
            </w:tr>
            <w:tr w14:paraId="4198CB7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639" w:type="pct"/>
                  <w:vMerge w:val="continue"/>
                  <w:vAlign w:val="center"/>
                </w:tcPr>
                <w:p w14:paraId="555AAA29">
                  <w:pPr>
                    <w:adjustRightInd w:val="0"/>
                    <w:snapToGrid w:val="0"/>
                    <w:jc w:val="center"/>
                    <w:rPr>
                      <w:rFonts w:eastAsiaTheme="minorEastAsia"/>
                      <w:color w:val="auto"/>
                      <w:szCs w:val="21"/>
                    </w:rPr>
                  </w:pPr>
                </w:p>
              </w:tc>
              <w:tc>
                <w:tcPr>
                  <w:tcW w:w="2265" w:type="pct"/>
                  <w:vAlign w:val="center"/>
                </w:tcPr>
                <w:p w14:paraId="5ECAD437">
                  <w:pPr>
                    <w:pStyle w:val="78"/>
                    <w:kinsoku w:val="0"/>
                    <w:overflowPunct w:val="0"/>
                    <w:jc w:val="both"/>
                    <w:rPr>
                      <w:rFonts w:ascii="Times New Roman" w:hAnsi="Times New Roman" w:eastAsiaTheme="minorEastAsia"/>
                      <w:color w:val="auto"/>
                      <w:sz w:val="21"/>
                      <w:szCs w:val="21"/>
                    </w:rPr>
                  </w:pPr>
                  <w:r>
                    <w:rPr>
                      <w:rFonts w:ascii="Times New Roman" w:hAnsi="Times New Roman" w:eastAsiaTheme="minorEastAsia"/>
                      <w:color w:val="auto"/>
                      <w:sz w:val="21"/>
                      <w:szCs w:val="21"/>
                    </w:rPr>
                    <w:t>沣东新城管理部门应结合本区域总体发展方向、定位；产业发展类型和行业限制；规划区域环境功能和环境保护目标提出：入区企业清洁生产必须达到国内先进水平、严禁“三高一低”企业入区、由总量指标限制企业类型和规模、污染物排放指标等工业企业的准入条件。</w:t>
                  </w:r>
                </w:p>
              </w:tc>
              <w:tc>
                <w:tcPr>
                  <w:tcW w:w="1689" w:type="pct"/>
                  <w:vAlign w:val="center"/>
                </w:tcPr>
                <w:p w14:paraId="7A8DD561">
                  <w:pPr>
                    <w:pStyle w:val="78"/>
                    <w:kinsoku w:val="0"/>
                    <w:overflowPunct w:val="0"/>
                    <w:jc w:val="both"/>
                    <w:rPr>
                      <w:rFonts w:ascii="Times New Roman" w:hAnsi="Times New Roman" w:eastAsiaTheme="minorEastAsia"/>
                      <w:color w:val="auto"/>
                      <w:sz w:val="21"/>
                      <w:szCs w:val="21"/>
                    </w:rPr>
                  </w:pPr>
                  <w:r>
                    <w:rPr>
                      <w:rFonts w:ascii="Times New Roman" w:hAnsi="Times New Roman" w:eastAsiaTheme="minorEastAsia"/>
                      <w:color w:val="auto"/>
                      <w:sz w:val="21"/>
                      <w:szCs w:val="21"/>
                    </w:rPr>
                    <w:t>本项目属于</w:t>
                  </w:r>
                  <w:r>
                    <w:rPr>
                      <w:rFonts w:hint="eastAsia" w:ascii="Times New Roman" w:hAnsi="Times New Roman" w:eastAsiaTheme="minorEastAsia"/>
                      <w:color w:val="auto"/>
                      <w:kern w:val="21"/>
                      <w:sz w:val="21"/>
                      <w:szCs w:val="21"/>
                      <w:lang w:val="en-US" w:eastAsia="zh-CN"/>
                    </w:rPr>
                    <w:t>检测服务业</w:t>
                  </w:r>
                  <w:r>
                    <w:rPr>
                      <w:rFonts w:ascii="Times New Roman" w:hAnsi="Times New Roman" w:eastAsiaTheme="minorEastAsia"/>
                      <w:color w:val="auto"/>
                      <w:kern w:val="21"/>
                      <w:sz w:val="21"/>
                      <w:szCs w:val="21"/>
                    </w:rPr>
                    <w:t>，不属于</w:t>
                  </w:r>
                  <w:r>
                    <w:rPr>
                      <w:rFonts w:ascii="Times New Roman" w:hAnsi="Times New Roman" w:eastAsiaTheme="minorEastAsia"/>
                      <w:color w:val="auto"/>
                      <w:sz w:val="21"/>
                      <w:szCs w:val="21"/>
                    </w:rPr>
                    <w:t>“三高一低”企业。</w:t>
                  </w:r>
                </w:p>
              </w:tc>
              <w:tc>
                <w:tcPr>
                  <w:tcW w:w="404" w:type="pct"/>
                  <w:vAlign w:val="center"/>
                </w:tcPr>
                <w:p w14:paraId="27FCF729">
                  <w:pPr>
                    <w:adjustRightInd w:val="0"/>
                    <w:snapToGrid w:val="0"/>
                    <w:jc w:val="center"/>
                    <w:rPr>
                      <w:rFonts w:eastAsiaTheme="minorEastAsia"/>
                      <w:color w:val="auto"/>
                      <w:szCs w:val="21"/>
                    </w:rPr>
                  </w:pPr>
                  <w:r>
                    <w:rPr>
                      <w:rFonts w:eastAsiaTheme="minorEastAsia"/>
                      <w:color w:val="auto"/>
                      <w:szCs w:val="21"/>
                    </w:rPr>
                    <w:t>符合</w:t>
                  </w:r>
                </w:p>
              </w:tc>
            </w:tr>
          </w:tbl>
          <w:p w14:paraId="4E487C89">
            <w:pPr>
              <w:autoSpaceDE w:val="0"/>
              <w:autoSpaceDN w:val="0"/>
              <w:adjustRightInd w:val="0"/>
              <w:snapToGrid w:val="0"/>
              <w:jc w:val="center"/>
              <w:rPr>
                <w:color w:val="auto"/>
                <w:sz w:val="24"/>
              </w:rPr>
            </w:pPr>
          </w:p>
        </w:tc>
      </w:tr>
      <w:tr w14:paraId="33113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5" w:hRule="atLeast"/>
          <w:jc w:val="center"/>
        </w:trPr>
        <w:tc>
          <w:tcPr>
            <w:tcW w:w="1551" w:type="dxa"/>
            <w:vAlign w:val="center"/>
          </w:tcPr>
          <w:p w14:paraId="5D49284C">
            <w:pPr>
              <w:pStyle w:val="9"/>
              <w:jc w:val="center"/>
              <w:rPr>
                <w:color w:val="auto"/>
              </w:rPr>
            </w:pPr>
            <w:r>
              <w:rPr>
                <w:rFonts w:hint="eastAsia"/>
                <w:color w:val="auto"/>
                <w:sz w:val="24"/>
                <w:szCs w:val="24"/>
              </w:rPr>
              <w:t>其他符合性分析</w:t>
            </w:r>
          </w:p>
        </w:tc>
        <w:tc>
          <w:tcPr>
            <w:tcW w:w="7319" w:type="dxa"/>
            <w:gridSpan w:val="3"/>
          </w:tcPr>
          <w:p w14:paraId="5BF9D2E2">
            <w:pPr>
              <w:spacing w:line="360" w:lineRule="auto"/>
              <w:ind w:firstLine="482" w:firstLineChars="200"/>
              <w:rPr>
                <w:b/>
                <w:bCs/>
                <w:color w:val="auto"/>
                <w:sz w:val="24"/>
              </w:rPr>
            </w:pPr>
            <w:r>
              <w:rPr>
                <w:b/>
                <w:bCs/>
                <w:color w:val="auto"/>
                <w:sz w:val="24"/>
              </w:rPr>
              <w:t>1、“三线一单”符合性分析</w:t>
            </w:r>
          </w:p>
          <w:p w14:paraId="430310D9">
            <w:pPr>
              <w:pStyle w:val="37"/>
              <w:spacing w:line="360" w:lineRule="auto"/>
              <w:ind w:firstLine="480" w:firstLineChars="200"/>
              <w:rPr>
                <w:rFonts w:ascii="Times New Roman" w:cs="Times New Roman"/>
                <w:color w:val="auto"/>
              </w:rPr>
            </w:pPr>
            <w:r>
              <w:rPr>
                <w:rFonts w:hint="default" w:ascii="Times New Roman" w:hAnsi="Times New Roman" w:eastAsia="宋体" w:cs="Times New Roman"/>
                <w:color w:val="auto"/>
                <w:sz w:val="24"/>
                <w:szCs w:val="24"/>
              </w:rPr>
              <w:t>根据西安市人民政府《关于印发“三线一单”生态环境分区管控方案的通知》（市政发〔2021〕22号）</w:t>
            </w:r>
            <w:r>
              <w:rPr>
                <w:rFonts w:hint="default" w:ascii="Times New Roman" w:hAnsi="Times New Roman" w:eastAsia="宋体" w:cs="Times New Roman"/>
                <w:color w:val="auto"/>
                <w:sz w:val="24"/>
                <w:szCs w:val="24"/>
                <w:lang w:val="en-US" w:eastAsia="zh-CN"/>
              </w:rPr>
              <w:t>和《2023年西安市生态环境分区管控调整方案》</w:t>
            </w:r>
            <w:r>
              <w:rPr>
                <w:rFonts w:hint="default" w:ascii="Times New Roman" w:hAnsi="Times New Roman" w:eastAsia="宋体" w:cs="Times New Roman"/>
                <w:color w:val="auto"/>
                <w:sz w:val="24"/>
                <w:szCs w:val="24"/>
              </w:rPr>
              <w:t>，项目空间冲突图见图1-1，与环境管控单元符合性分析表见表1-</w:t>
            </w:r>
            <w:r>
              <w:rPr>
                <w:rFonts w:hint="eastAsia" w:ascii="Times New Roman" w:cs="Times New Roman"/>
                <w:color w:val="auto"/>
                <w:sz w:val="24"/>
                <w:szCs w:val="24"/>
                <w:lang w:val="en-US" w:eastAsia="zh-CN"/>
              </w:rPr>
              <w:t>2</w:t>
            </w:r>
            <w:r>
              <w:rPr>
                <w:rFonts w:hint="default" w:ascii="Times New Roman" w:hAnsi="Times New Roman" w:eastAsia="宋体" w:cs="Times New Roman"/>
                <w:color w:val="auto"/>
                <w:sz w:val="24"/>
                <w:szCs w:val="24"/>
              </w:rPr>
              <w:t>。生态环境管控单元对照分析报告详见附件</w:t>
            </w:r>
            <w:r>
              <w:rPr>
                <w:rFonts w:hint="eastAsia" w:ascii="Times New Roman" w:hAnsi="Times New Roman" w:eastAsia="宋体" w:cs="Times New Roman"/>
                <w:color w:val="auto"/>
                <w:sz w:val="24"/>
                <w:szCs w:val="24"/>
                <w:lang w:val="en-US" w:eastAsia="zh-CN"/>
              </w:rPr>
              <w:t>5</w:t>
            </w:r>
            <w:r>
              <w:rPr>
                <w:rFonts w:ascii="Times New Roman" w:cs="Times New Roman"/>
                <w:color w:val="auto"/>
              </w:rPr>
              <w:t>：</w:t>
            </w:r>
          </w:p>
          <w:p w14:paraId="2A5676E0">
            <w:pPr>
              <w:spacing w:line="360" w:lineRule="auto"/>
              <w:jc w:val="center"/>
              <w:rPr>
                <w:color w:val="auto"/>
              </w:rPr>
            </w:pPr>
            <w:r>
              <w:rPr>
                <w:color w:val="auto"/>
              </w:rPr>
              <w:drawing>
                <wp:inline distT="0" distB="0" distL="114300" distR="114300">
                  <wp:extent cx="3114675" cy="516255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3114675" cy="5162550"/>
                          </a:xfrm>
                          <a:prstGeom prst="rect">
                            <a:avLst/>
                          </a:prstGeom>
                          <a:noFill/>
                          <a:ln>
                            <a:noFill/>
                          </a:ln>
                        </pic:spPr>
                      </pic:pic>
                    </a:graphicData>
                  </a:graphic>
                </wp:inline>
              </w:drawing>
            </w:r>
          </w:p>
          <w:p w14:paraId="6F27E2EE">
            <w:pPr>
              <w:spacing w:line="360" w:lineRule="auto"/>
              <w:ind w:firstLine="482" w:firstLineChars="200"/>
              <w:jc w:val="center"/>
              <w:rPr>
                <w:b/>
                <w:bCs/>
                <w:color w:val="auto"/>
                <w:sz w:val="24"/>
              </w:rPr>
            </w:pPr>
            <w:r>
              <w:rPr>
                <w:rFonts w:hint="eastAsia"/>
                <w:b/>
                <w:bCs/>
                <w:color w:val="auto"/>
                <w:sz w:val="24"/>
              </w:rPr>
              <w:t>图1-1  本项目与环境管控单元对照分析示意图</w:t>
            </w:r>
          </w:p>
          <w:p w14:paraId="2FD18D71">
            <w:pPr>
              <w:pStyle w:val="70"/>
              <w:spacing w:line="360" w:lineRule="auto"/>
              <w:ind w:firstLine="488"/>
              <w:rPr>
                <w:rFonts w:ascii="宋体" w:cs="宋体"/>
                <w:color w:val="auto"/>
                <w:kern w:val="0"/>
              </w:rPr>
            </w:pPr>
          </w:p>
        </w:tc>
      </w:tr>
    </w:tbl>
    <w:p w14:paraId="705E006E">
      <w:pPr>
        <w:pStyle w:val="12"/>
        <w:ind w:firstLine="560"/>
        <w:rPr>
          <w:color w:val="000000" w:themeColor="text1"/>
          <w14:textFill>
            <w14:solidFill>
              <w14:schemeClr w14:val="tx1"/>
            </w14:solidFill>
          </w14:textFill>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tbl>
      <w:tblPr>
        <w:tblStyle w:val="28"/>
        <w:tblW w:w="4832" w:type="pct"/>
        <w:tblInd w:w="2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12340"/>
      </w:tblGrid>
      <w:tr w14:paraId="7337E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9" w:hRule="atLeast"/>
        </w:trPr>
        <w:tc>
          <w:tcPr>
            <w:tcW w:w="341" w:type="pct"/>
          </w:tcPr>
          <w:p w14:paraId="2BBFE0F8">
            <w:pPr>
              <w:rPr>
                <w:color w:val="000000" w:themeColor="text1"/>
                <w14:textFill>
                  <w14:solidFill>
                    <w14:schemeClr w14:val="tx1"/>
                  </w14:solidFill>
                </w14:textFill>
              </w:rPr>
            </w:pPr>
          </w:p>
        </w:tc>
        <w:tc>
          <w:tcPr>
            <w:tcW w:w="4658" w:type="pct"/>
          </w:tcPr>
          <w:p w14:paraId="30774EDA">
            <w:pPr>
              <w:jc w:val="center"/>
              <w:rPr>
                <w:b/>
                <w:color w:val="000000" w:themeColor="text1"/>
                <w:kern w:val="0"/>
                <w:sz w:val="24"/>
                <w14:textFill>
                  <w14:solidFill>
                    <w14:schemeClr w14:val="tx1"/>
                  </w14:solidFill>
                </w14:textFill>
              </w:rPr>
            </w:pPr>
            <w:r>
              <w:rPr>
                <w:rFonts w:hint="eastAsia"/>
                <w:b/>
                <w:bCs/>
                <w:color w:val="000000" w:themeColor="text1"/>
                <w:sz w:val="24"/>
                <w14:textFill>
                  <w14:solidFill>
                    <w14:schemeClr w14:val="tx1"/>
                  </w14:solidFill>
                </w14:textFill>
              </w:rPr>
              <w:t>表1-2  项目与所在</w:t>
            </w:r>
            <w:r>
              <w:rPr>
                <w:rFonts w:hint="eastAsia"/>
                <w:b/>
                <w:color w:val="000000" w:themeColor="text1"/>
                <w:kern w:val="0"/>
                <w:szCs w:val="21"/>
                <w14:textFill>
                  <w14:solidFill>
                    <w14:schemeClr w14:val="tx1"/>
                  </w14:solidFill>
                </w14:textFill>
              </w:rPr>
              <w:t>的生态环境管控单元准入清单符合性分析</w:t>
            </w:r>
          </w:p>
          <w:tbl>
            <w:tblPr>
              <w:tblStyle w:val="28"/>
              <w:tblW w:w="497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52"/>
              <w:gridCol w:w="589"/>
              <w:gridCol w:w="1033"/>
              <w:gridCol w:w="881"/>
              <w:gridCol w:w="732"/>
              <w:gridCol w:w="3843"/>
              <w:gridCol w:w="1086"/>
              <w:gridCol w:w="2185"/>
              <w:gridCol w:w="431"/>
            </w:tblGrid>
            <w:tr w14:paraId="3F8A24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77" w:type="pct"/>
                  <w:vAlign w:val="center"/>
                </w:tcPr>
                <w:p w14:paraId="2AA024B6">
                  <w:pPr>
                    <w:adjustRightInd w:val="0"/>
                    <w:snapToGrid w:val="0"/>
                    <w:rPr>
                      <w:b/>
                      <w:bCs/>
                      <w:color w:val="auto"/>
                      <w:szCs w:val="21"/>
                    </w:rPr>
                  </w:pPr>
                  <w:r>
                    <w:rPr>
                      <w:b/>
                      <w:bCs/>
                      <w:color w:val="auto"/>
                      <w:szCs w:val="21"/>
                    </w:rPr>
                    <w:t>序号</w:t>
                  </w:r>
                </w:p>
              </w:tc>
              <w:tc>
                <w:tcPr>
                  <w:tcW w:w="353" w:type="pct"/>
                  <w:vAlign w:val="center"/>
                </w:tcPr>
                <w:p w14:paraId="3DDA65C7">
                  <w:pPr>
                    <w:adjustRightInd w:val="0"/>
                    <w:snapToGrid w:val="0"/>
                    <w:jc w:val="center"/>
                    <w:rPr>
                      <w:b/>
                      <w:bCs/>
                      <w:color w:val="auto"/>
                      <w:szCs w:val="21"/>
                    </w:rPr>
                  </w:pPr>
                  <w:r>
                    <w:rPr>
                      <w:b/>
                      <w:bCs/>
                      <w:color w:val="auto"/>
                      <w:szCs w:val="21"/>
                    </w:rPr>
                    <w:t>市（区）</w:t>
                  </w:r>
                </w:p>
              </w:tc>
              <w:tc>
                <w:tcPr>
                  <w:tcW w:w="244" w:type="pct"/>
                  <w:vAlign w:val="center"/>
                </w:tcPr>
                <w:p w14:paraId="1646676D">
                  <w:pPr>
                    <w:adjustRightInd w:val="0"/>
                    <w:snapToGrid w:val="0"/>
                    <w:jc w:val="center"/>
                    <w:rPr>
                      <w:b/>
                      <w:bCs/>
                      <w:color w:val="auto"/>
                      <w:szCs w:val="21"/>
                    </w:rPr>
                  </w:pPr>
                  <w:r>
                    <w:rPr>
                      <w:b/>
                      <w:bCs/>
                      <w:color w:val="auto"/>
                      <w:szCs w:val="21"/>
                    </w:rPr>
                    <w:t>区县</w:t>
                  </w:r>
                </w:p>
              </w:tc>
              <w:tc>
                <w:tcPr>
                  <w:tcW w:w="428" w:type="pct"/>
                  <w:vAlign w:val="center"/>
                </w:tcPr>
                <w:p w14:paraId="3296511E">
                  <w:pPr>
                    <w:adjustRightInd w:val="0"/>
                    <w:snapToGrid w:val="0"/>
                    <w:jc w:val="center"/>
                    <w:rPr>
                      <w:b/>
                      <w:bCs/>
                      <w:color w:val="auto"/>
                      <w:szCs w:val="21"/>
                    </w:rPr>
                  </w:pPr>
                  <w:r>
                    <w:rPr>
                      <w:b/>
                      <w:bCs/>
                      <w:color w:val="auto"/>
                      <w:szCs w:val="21"/>
                    </w:rPr>
                    <w:t>环境管控</w:t>
                  </w:r>
                </w:p>
                <w:p w14:paraId="15F8901E">
                  <w:pPr>
                    <w:adjustRightInd w:val="0"/>
                    <w:snapToGrid w:val="0"/>
                    <w:jc w:val="center"/>
                    <w:rPr>
                      <w:b/>
                      <w:bCs/>
                      <w:color w:val="auto"/>
                      <w:szCs w:val="21"/>
                    </w:rPr>
                  </w:pPr>
                  <w:r>
                    <w:rPr>
                      <w:b/>
                      <w:bCs/>
                      <w:color w:val="auto"/>
                      <w:szCs w:val="21"/>
                    </w:rPr>
                    <w:t>单元名称</w:t>
                  </w:r>
                </w:p>
              </w:tc>
              <w:tc>
                <w:tcPr>
                  <w:tcW w:w="365" w:type="pct"/>
                  <w:vAlign w:val="center"/>
                </w:tcPr>
                <w:p w14:paraId="795BD9A0">
                  <w:pPr>
                    <w:adjustRightInd w:val="0"/>
                    <w:snapToGrid w:val="0"/>
                    <w:jc w:val="center"/>
                    <w:rPr>
                      <w:b/>
                      <w:bCs/>
                      <w:color w:val="auto"/>
                      <w:szCs w:val="21"/>
                    </w:rPr>
                  </w:pPr>
                  <w:r>
                    <w:rPr>
                      <w:b/>
                      <w:bCs/>
                      <w:color w:val="auto"/>
                      <w:szCs w:val="21"/>
                    </w:rPr>
                    <w:t>单元要</w:t>
                  </w:r>
                </w:p>
                <w:p w14:paraId="3DF030A1">
                  <w:pPr>
                    <w:adjustRightInd w:val="0"/>
                    <w:snapToGrid w:val="0"/>
                    <w:jc w:val="center"/>
                    <w:rPr>
                      <w:b/>
                      <w:bCs/>
                      <w:color w:val="auto"/>
                      <w:szCs w:val="21"/>
                    </w:rPr>
                  </w:pPr>
                  <w:r>
                    <w:rPr>
                      <w:b/>
                      <w:bCs/>
                      <w:color w:val="auto"/>
                      <w:szCs w:val="21"/>
                    </w:rPr>
                    <w:t>素属性</w:t>
                  </w:r>
                </w:p>
              </w:tc>
              <w:tc>
                <w:tcPr>
                  <w:tcW w:w="303" w:type="pct"/>
                  <w:vAlign w:val="center"/>
                </w:tcPr>
                <w:p w14:paraId="2CE6C8D1">
                  <w:pPr>
                    <w:adjustRightInd w:val="0"/>
                    <w:snapToGrid w:val="0"/>
                    <w:jc w:val="center"/>
                    <w:rPr>
                      <w:b/>
                      <w:bCs/>
                      <w:color w:val="auto"/>
                      <w:szCs w:val="21"/>
                    </w:rPr>
                  </w:pPr>
                  <w:r>
                    <w:rPr>
                      <w:b/>
                      <w:bCs/>
                      <w:color w:val="auto"/>
                      <w:szCs w:val="21"/>
                    </w:rPr>
                    <w:t>管控要求分类</w:t>
                  </w:r>
                </w:p>
              </w:tc>
              <w:tc>
                <w:tcPr>
                  <w:tcW w:w="1592" w:type="pct"/>
                  <w:vAlign w:val="center"/>
                </w:tcPr>
                <w:p w14:paraId="1138F5F1">
                  <w:pPr>
                    <w:adjustRightInd w:val="0"/>
                    <w:snapToGrid w:val="0"/>
                    <w:jc w:val="center"/>
                    <w:rPr>
                      <w:b/>
                      <w:bCs/>
                      <w:color w:val="auto"/>
                      <w:szCs w:val="21"/>
                    </w:rPr>
                  </w:pPr>
                  <w:r>
                    <w:rPr>
                      <w:b/>
                      <w:bCs/>
                      <w:color w:val="auto"/>
                      <w:szCs w:val="21"/>
                    </w:rPr>
                    <w:t>管控要求</w:t>
                  </w:r>
                </w:p>
              </w:tc>
              <w:tc>
                <w:tcPr>
                  <w:tcW w:w="450" w:type="pct"/>
                  <w:vAlign w:val="center"/>
                </w:tcPr>
                <w:p w14:paraId="041B3E71">
                  <w:pPr>
                    <w:adjustRightInd w:val="0"/>
                    <w:snapToGrid w:val="0"/>
                    <w:jc w:val="center"/>
                    <w:rPr>
                      <w:b/>
                      <w:bCs/>
                      <w:color w:val="auto"/>
                      <w:szCs w:val="21"/>
                    </w:rPr>
                  </w:pPr>
                  <w:r>
                    <w:rPr>
                      <w:b/>
                      <w:bCs/>
                      <w:color w:val="auto"/>
                      <w:szCs w:val="21"/>
                    </w:rPr>
                    <w:t>面积/长度</w:t>
                  </w:r>
                </w:p>
                <w:p w14:paraId="79047872">
                  <w:pPr>
                    <w:adjustRightInd w:val="0"/>
                    <w:snapToGrid w:val="0"/>
                    <w:jc w:val="center"/>
                    <w:rPr>
                      <w:b/>
                      <w:bCs/>
                      <w:color w:val="auto"/>
                      <w:szCs w:val="21"/>
                    </w:rPr>
                  </w:pPr>
                  <w:r>
                    <w:rPr>
                      <w:b/>
                      <w:bCs/>
                      <w:color w:val="auto"/>
                      <w:szCs w:val="21"/>
                    </w:rPr>
                    <w:t>(平方米/米)</w:t>
                  </w:r>
                </w:p>
              </w:tc>
              <w:tc>
                <w:tcPr>
                  <w:tcW w:w="905" w:type="pct"/>
                  <w:vAlign w:val="center"/>
                </w:tcPr>
                <w:p w14:paraId="137DD66C">
                  <w:pPr>
                    <w:adjustRightInd w:val="0"/>
                    <w:snapToGrid w:val="0"/>
                    <w:jc w:val="center"/>
                    <w:rPr>
                      <w:b/>
                      <w:bCs/>
                      <w:color w:val="auto"/>
                      <w:szCs w:val="21"/>
                    </w:rPr>
                  </w:pPr>
                  <w:r>
                    <w:rPr>
                      <w:b/>
                      <w:bCs/>
                      <w:color w:val="auto"/>
                      <w:szCs w:val="21"/>
                    </w:rPr>
                    <w:t>本项目情况</w:t>
                  </w:r>
                </w:p>
              </w:tc>
              <w:tc>
                <w:tcPr>
                  <w:tcW w:w="178" w:type="pct"/>
                  <w:vAlign w:val="center"/>
                </w:tcPr>
                <w:p w14:paraId="7CAD276D">
                  <w:pPr>
                    <w:adjustRightInd w:val="0"/>
                    <w:snapToGrid w:val="0"/>
                    <w:rPr>
                      <w:b/>
                      <w:bCs/>
                      <w:color w:val="auto"/>
                      <w:szCs w:val="21"/>
                    </w:rPr>
                  </w:pPr>
                  <w:r>
                    <w:rPr>
                      <w:b/>
                      <w:bCs/>
                      <w:color w:val="auto"/>
                      <w:szCs w:val="21"/>
                    </w:rPr>
                    <w:t>符合性</w:t>
                  </w:r>
                </w:p>
              </w:tc>
            </w:tr>
            <w:tr w14:paraId="0181F2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7" w:type="pct"/>
                  <w:vMerge w:val="restart"/>
                  <w:vAlign w:val="center"/>
                </w:tcPr>
                <w:p w14:paraId="2C7A5E7E">
                  <w:pPr>
                    <w:adjustRightInd w:val="0"/>
                    <w:snapToGrid w:val="0"/>
                    <w:rPr>
                      <w:color w:val="auto"/>
                      <w:szCs w:val="21"/>
                    </w:rPr>
                  </w:pPr>
                  <w:r>
                    <w:rPr>
                      <w:color w:val="auto"/>
                      <w:szCs w:val="21"/>
                    </w:rPr>
                    <w:t>1</w:t>
                  </w:r>
                </w:p>
              </w:tc>
              <w:tc>
                <w:tcPr>
                  <w:tcW w:w="353" w:type="pct"/>
                  <w:vMerge w:val="restart"/>
                  <w:vAlign w:val="center"/>
                </w:tcPr>
                <w:p w14:paraId="50EDE719">
                  <w:pPr>
                    <w:widowControl/>
                    <w:adjustRightInd w:val="0"/>
                    <w:snapToGrid w:val="0"/>
                    <w:jc w:val="left"/>
                    <w:rPr>
                      <w:color w:val="auto"/>
                      <w:szCs w:val="21"/>
                    </w:rPr>
                  </w:pPr>
                  <w:r>
                    <w:rPr>
                      <w:rFonts w:hint="eastAsia"/>
                      <w:color w:val="auto"/>
                      <w:szCs w:val="21"/>
                    </w:rPr>
                    <w:t>西安市</w:t>
                  </w:r>
                </w:p>
              </w:tc>
              <w:tc>
                <w:tcPr>
                  <w:tcW w:w="244" w:type="pct"/>
                  <w:vMerge w:val="restart"/>
                  <w:vAlign w:val="center"/>
                </w:tcPr>
                <w:p w14:paraId="7496CD28">
                  <w:pPr>
                    <w:adjustRightInd w:val="0"/>
                    <w:snapToGrid w:val="0"/>
                    <w:rPr>
                      <w:color w:val="auto"/>
                      <w:szCs w:val="21"/>
                    </w:rPr>
                  </w:pPr>
                  <w:r>
                    <w:rPr>
                      <w:rFonts w:hint="eastAsia"/>
                      <w:color w:val="auto"/>
                      <w:szCs w:val="21"/>
                    </w:rPr>
                    <w:t>未央区</w:t>
                  </w:r>
                </w:p>
              </w:tc>
              <w:tc>
                <w:tcPr>
                  <w:tcW w:w="428" w:type="pct"/>
                  <w:vMerge w:val="restart"/>
                  <w:vAlign w:val="center"/>
                </w:tcPr>
                <w:p w14:paraId="3C8043C0">
                  <w:pPr>
                    <w:widowControl/>
                    <w:adjustRightInd w:val="0"/>
                    <w:snapToGrid w:val="0"/>
                    <w:jc w:val="left"/>
                    <w:rPr>
                      <w:color w:val="auto"/>
                      <w:szCs w:val="21"/>
                    </w:rPr>
                  </w:pPr>
                  <w:r>
                    <w:rPr>
                      <w:color w:val="auto"/>
                      <w:szCs w:val="21"/>
                      <w:lang w:bidi="ar"/>
                    </w:rPr>
                    <w:t>陕西省</w:t>
                  </w:r>
                  <w:r>
                    <w:rPr>
                      <w:rFonts w:hint="eastAsia"/>
                      <w:color w:val="auto"/>
                      <w:szCs w:val="21"/>
                      <w:lang w:bidi="ar"/>
                    </w:rPr>
                    <w:t>西安市未央区</w:t>
                  </w:r>
                  <w:r>
                    <w:rPr>
                      <w:color w:val="auto"/>
                      <w:szCs w:val="21"/>
                      <w:lang w:bidi="ar"/>
                    </w:rPr>
                    <w:t>重点管控单元</w:t>
                  </w:r>
                </w:p>
                <w:p w14:paraId="11819114">
                  <w:pPr>
                    <w:adjustRightInd w:val="0"/>
                    <w:snapToGrid w:val="0"/>
                    <w:rPr>
                      <w:color w:val="auto"/>
                      <w:szCs w:val="21"/>
                    </w:rPr>
                  </w:pPr>
                  <w:r>
                    <w:rPr>
                      <w:rFonts w:hint="eastAsia"/>
                      <w:color w:val="auto"/>
                      <w:szCs w:val="21"/>
                      <w:lang w:bidi="ar"/>
                    </w:rPr>
                    <w:t>2</w:t>
                  </w:r>
                </w:p>
              </w:tc>
              <w:tc>
                <w:tcPr>
                  <w:tcW w:w="365" w:type="pct"/>
                  <w:vMerge w:val="restart"/>
                  <w:vAlign w:val="center"/>
                </w:tcPr>
                <w:p w14:paraId="42374A90">
                  <w:pPr>
                    <w:adjustRightInd w:val="0"/>
                    <w:snapToGrid w:val="0"/>
                    <w:rPr>
                      <w:color w:val="auto"/>
                      <w:szCs w:val="21"/>
                    </w:rPr>
                  </w:pPr>
                  <w:r>
                    <w:rPr>
                      <w:color w:val="auto"/>
                      <w:szCs w:val="21"/>
                    </w:rPr>
                    <w:t>大气环境受体敏感重点管控区、水环境城镇生活污染重点管控区、高污染燃料禁燃区</w:t>
                  </w:r>
                </w:p>
              </w:tc>
              <w:tc>
                <w:tcPr>
                  <w:tcW w:w="303" w:type="pct"/>
                  <w:vAlign w:val="center"/>
                </w:tcPr>
                <w:p w14:paraId="4B3DCE72">
                  <w:pPr>
                    <w:adjustRightInd w:val="0"/>
                    <w:snapToGrid w:val="0"/>
                    <w:rPr>
                      <w:color w:val="auto"/>
                      <w:szCs w:val="21"/>
                    </w:rPr>
                  </w:pPr>
                  <w:r>
                    <w:rPr>
                      <w:color w:val="auto"/>
                      <w:szCs w:val="21"/>
                    </w:rPr>
                    <w:t>空间布局约束</w:t>
                  </w:r>
                </w:p>
              </w:tc>
              <w:tc>
                <w:tcPr>
                  <w:tcW w:w="1592" w:type="pct"/>
                  <w:vAlign w:val="center"/>
                </w:tcPr>
                <w:p w14:paraId="04653FE5">
                  <w:pPr>
                    <w:adjustRightInd w:val="0"/>
                    <w:snapToGrid w:val="0"/>
                    <w:rPr>
                      <w:color w:val="auto"/>
                      <w:szCs w:val="21"/>
                    </w:rPr>
                  </w:pPr>
                  <w:r>
                    <w:rPr>
                      <w:color w:val="auto"/>
                      <w:szCs w:val="21"/>
                    </w:rPr>
                    <w:t>大气环境布局敏感重点管控区：</w:t>
                  </w:r>
                </w:p>
                <w:p w14:paraId="205BD415">
                  <w:pPr>
                    <w:numPr>
                      <w:ilvl w:val="0"/>
                      <w:numId w:val="3"/>
                    </w:numPr>
                    <w:adjustRightInd w:val="0"/>
                    <w:snapToGrid w:val="0"/>
                    <w:rPr>
                      <w:color w:val="auto"/>
                      <w:szCs w:val="21"/>
                    </w:rPr>
                  </w:pPr>
                  <w:r>
                    <w:rPr>
                      <w:color w:val="auto"/>
                      <w:szCs w:val="21"/>
                    </w:rPr>
                    <w:t>严格控制新增《陕西省“两高”项目管理暂行目录》行业项目（民生等项目除外，后续对“两高”范围国家如有新规定的，从其规定）。</w:t>
                  </w:r>
                  <w:r>
                    <w:rPr>
                      <w:rFonts w:hint="eastAsia"/>
                      <w:color w:val="auto"/>
                    </w:rPr>
                    <w:t xml:space="preserve">2. 严禁新增钢铁、焦化、水泥熟料、平板玻璃、电解铝、氧化铝、煤化工产能。3. </w:t>
                  </w:r>
                  <w:r>
                    <w:rPr>
                      <w:color w:val="auto"/>
                      <w:szCs w:val="21"/>
                    </w:rPr>
                    <w:t>推动重污染企业搬迁入园或依法关闭。</w:t>
                  </w:r>
                </w:p>
              </w:tc>
              <w:tc>
                <w:tcPr>
                  <w:tcW w:w="450" w:type="pct"/>
                  <w:vMerge w:val="restart"/>
                  <w:vAlign w:val="center"/>
                </w:tcPr>
                <w:p w14:paraId="256673CD">
                  <w:pPr>
                    <w:adjustRightInd w:val="0"/>
                    <w:snapToGrid w:val="0"/>
                    <w:jc w:val="center"/>
                    <w:rPr>
                      <w:rFonts w:hint="default"/>
                      <w:color w:val="auto"/>
                      <w:szCs w:val="21"/>
                      <w:lang w:val="en-US"/>
                    </w:rPr>
                  </w:pPr>
                  <w:r>
                    <w:rPr>
                      <w:rFonts w:hint="default"/>
                      <w:color w:val="auto"/>
                      <w:szCs w:val="21"/>
                      <w:lang w:val="en-US" w:eastAsia="zh-CN"/>
                    </w:rPr>
                    <w:t>854.37</w:t>
                  </w:r>
                </w:p>
              </w:tc>
              <w:tc>
                <w:tcPr>
                  <w:tcW w:w="905" w:type="pct"/>
                  <w:vAlign w:val="center"/>
                </w:tcPr>
                <w:p w14:paraId="52A318A9">
                  <w:pPr>
                    <w:adjustRightInd w:val="0"/>
                    <w:snapToGrid w:val="0"/>
                    <w:rPr>
                      <w:color w:val="auto"/>
                      <w:szCs w:val="21"/>
                    </w:rPr>
                  </w:pPr>
                  <w:r>
                    <w:rPr>
                      <w:color w:val="auto"/>
                      <w:szCs w:val="21"/>
                    </w:rPr>
                    <w:t>大气环境布局敏感重点管控区：</w:t>
                  </w:r>
                </w:p>
                <w:p w14:paraId="2A0E28A2">
                  <w:pPr>
                    <w:numPr>
                      <w:ilvl w:val="0"/>
                      <w:numId w:val="4"/>
                    </w:numPr>
                    <w:adjustRightInd w:val="0"/>
                    <w:snapToGrid w:val="0"/>
                    <w:rPr>
                      <w:color w:val="auto"/>
                      <w:szCs w:val="21"/>
                    </w:rPr>
                  </w:pPr>
                  <w:r>
                    <w:rPr>
                      <w:color w:val="auto"/>
                      <w:szCs w:val="21"/>
                    </w:rPr>
                    <w:t>本项目属于</w:t>
                  </w:r>
                  <w:r>
                    <w:rPr>
                      <w:rFonts w:hint="eastAsia"/>
                      <w:color w:val="auto"/>
                      <w:szCs w:val="21"/>
                      <w:lang w:val="en-US" w:eastAsia="zh-CN"/>
                    </w:rPr>
                    <w:t>检测服务</w:t>
                  </w:r>
                  <w:r>
                    <w:rPr>
                      <w:color w:val="auto"/>
                      <w:szCs w:val="21"/>
                    </w:rPr>
                    <w:t>业，不属于“两高”行业</w:t>
                  </w:r>
                  <w:r>
                    <w:rPr>
                      <w:rFonts w:hint="eastAsia"/>
                      <w:color w:val="auto"/>
                      <w:szCs w:val="21"/>
                    </w:rPr>
                    <w:t>；</w:t>
                  </w:r>
                </w:p>
                <w:p w14:paraId="31D224AD">
                  <w:pPr>
                    <w:numPr>
                      <w:ilvl w:val="0"/>
                      <w:numId w:val="4"/>
                    </w:numPr>
                    <w:adjustRightInd w:val="0"/>
                    <w:snapToGrid w:val="0"/>
                    <w:rPr>
                      <w:color w:val="auto"/>
                      <w:szCs w:val="21"/>
                    </w:rPr>
                  </w:pPr>
                  <w:r>
                    <w:rPr>
                      <w:rFonts w:hint="eastAsia"/>
                      <w:color w:val="auto"/>
                      <w:szCs w:val="21"/>
                    </w:rPr>
                    <w:t>本项目属于</w:t>
                  </w:r>
                  <w:r>
                    <w:rPr>
                      <w:rFonts w:hint="eastAsia"/>
                      <w:color w:val="auto"/>
                      <w:szCs w:val="21"/>
                      <w:lang w:val="en-US" w:eastAsia="zh-CN"/>
                    </w:rPr>
                    <w:t>检测服务业</w:t>
                  </w:r>
                  <w:r>
                    <w:rPr>
                      <w:color w:val="auto"/>
                      <w:szCs w:val="21"/>
                    </w:rPr>
                    <w:t>，</w:t>
                  </w:r>
                  <w:r>
                    <w:rPr>
                      <w:rFonts w:hint="eastAsia"/>
                      <w:color w:val="auto"/>
                      <w:szCs w:val="21"/>
                    </w:rPr>
                    <w:t>不新增</w:t>
                  </w:r>
                  <w:r>
                    <w:rPr>
                      <w:rFonts w:hint="eastAsia"/>
                      <w:color w:val="auto"/>
                    </w:rPr>
                    <w:t xml:space="preserve">钢铁、焦化、水泥熟料、平板玻璃、电解铝、氧化铝、煤化工产能；3. </w:t>
                  </w:r>
                  <w:r>
                    <w:rPr>
                      <w:rFonts w:hint="eastAsia"/>
                      <w:color w:val="auto"/>
                      <w:szCs w:val="21"/>
                    </w:rPr>
                    <w:t>本项目不属于重污染企业。</w:t>
                  </w:r>
                </w:p>
              </w:tc>
              <w:tc>
                <w:tcPr>
                  <w:tcW w:w="178" w:type="pct"/>
                  <w:vAlign w:val="center"/>
                </w:tcPr>
                <w:p w14:paraId="5C709804">
                  <w:pPr>
                    <w:adjustRightInd w:val="0"/>
                    <w:snapToGrid w:val="0"/>
                    <w:rPr>
                      <w:color w:val="auto"/>
                      <w:szCs w:val="21"/>
                    </w:rPr>
                  </w:pPr>
                  <w:r>
                    <w:rPr>
                      <w:color w:val="auto"/>
                      <w:szCs w:val="21"/>
                    </w:rPr>
                    <w:t>符合</w:t>
                  </w:r>
                </w:p>
              </w:tc>
            </w:tr>
            <w:tr w14:paraId="6AF980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77" w:type="pct"/>
                  <w:vMerge w:val="continue"/>
                  <w:vAlign w:val="center"/>
                </w:tcPr>
                <w:p w14:paraId="0AFE8A4A">
                  <w:pPr>
                    <w:adjustRightInd w:val="0"/>
                    <w:snapToGrid w:val="0"/>
                    <w:rPr>
                      <w:color w:val="auto"/>
                      <w:szCs w:val="21"/>
                    </w:rPr>
                  </w:pPr>
                </w:p>
              </w:tc>
              <w:tc>
                <w:tcPr>
                  <w:tcW w:w="353" w:type="pct"/>
                  <w:vMerge w:val="continue"/>
                  <w:vAlign w:val="center"/>
                </w:tcPr>
                <w:p w14:paraId="7CF81870">
                  <w:pPr>
                    <w:adjustRightInd w:val="0"/>
                    <w:snapToGrid w:val="0"/>
                    <w:rPr>
                      <w:color w:val="auto"/>
                      <w:szCs w:val="21"/>
                    </w:rPr>
                  </w:pPr>
                </w:p>
              </w:tc>
              <w:tc>
                <w:tcPr>
                  <w:tcW w:w="244" w:type="pct"/>
                  <w:vMerge w:val="continue"/>
                  <w:vAlign w:val="center"/>
                </w:tcPr>
                <w:p w14:paraId="1FC7943B">
                  <w:pPr>
                    <w:adjustRightInd w:val="0"/>
                    <w:snapToGrid w:val="0"/>
                    <w:rPr>
                      <w:color w:val="auto"/>
                      <w:szCs w:val="21"/>
                    </w:rPr>
                  </w:pPr>
                </w:p>
              </w:tc>
              <w:tc>
                <w:tcPr>
                  <w:tcW w:w="428" w:type="pct"/>
                  <w:vMerge w:val="continue"/>
                  <w:vAlign w:val="center"/>
                </w:tcPr>
                <w:p w14:paraId="5924650F">
                  <w:pPr>
                    <w:adjustRightInd w:val="0"/>
                    <w:snapToGrid w:val="0"/>
                    <w:rPr>
                      <w:color w:val="auto"/>
                      <w:szCs w:val="21"/>
                    </w:rPr>
                  </w:pPr>
                </w:p>
              </w:tc>
              <w:tc>
                <w:tcPr>
                  <w:tcW w:w="365" w:type="pct"/>
                  <w:vMerge w:val="continue"/>
                  <w:vAlign w:val="center"/>
                </w:tcPr>
                <w:p w14:paraId="5313644E">
                  <w:pPr>
                    <w:adjustRightInd w:val="0"/>
                    <w:snapToGrid w:val="0"/>
                    <w:rPr>
                      <w:color w:val="auto"/>
                      <w:szCs w:val="21"/>
                    </w:rPr>
                  </w:pPr>
                </w:p>
              </w:tc>
              <w:tc>
                <w:tcPr>
                  <w:tcW w:w="303" w:type="pct"/>
                  <w:vAlign w:val="center"/>
                </w:tcPr>
                <w:p w14:paraId="21D8F6E7">
                  <w:pPr>
                    <w:adjustRightInd w:val="0"/>
                    <w:snapToGrid w:val="0"/>
                    <w:rPr>
                      <w:color w:val="auto"/>
                      <w:szCs w:val="21"/>
                    </w:rPr>
                  </w:pPr>
                  <w:r>
                    <w:rPr>
                      <w:color w:val="auto"/>
                      <w:szCs w:val="21"/>
                    </w:rPr>
                    <w:t>污染物排放管控</w:t>
                  </w:r>
                </w:p>
              </w:tc>
              <w:tc>
                <w:tcPr>
                  <w:tcW w:w="1592" w:type="pct"/>
                  <w:vAlign w:val="center"/>
                </w:tcPr>
                <w:p w14:paraId="06D684B8">
                  <w:pPr>
                    <w:adjustRightInd w:val="0"/>
                    <w:snapToGrid w:val="0"/>
                    <w:rPr>
                      <w:color w:val="auto"/>
                      <w:szCs w:val="21"/>
                    </w:rPr>
                  </w:pPr>
                  <w:r>
                    <w:rPr>
                      <w:color w:val="auto"/>
                      <w:szCs w:val="21"/>
                    </w:rPr>
                    <w:t>大气环境布局敏感重点管控区：</w:t>
                  </w:r>
                </w:p>
                <w:p w14:paraId="756B5A6A">
                  <w:pPr>
                    <w:numPr>
                      <w:ilvl w:val="0"/>
                      <w:numId w:val="5"/>
                    </w:numPr>
                    <w:adjustRightInd w:val="0"/>
                    <w:snapToGrid w:val="0"/>
                    <w:rPr>
                      <w:color w:val="auto"/>
                      <w:szCs w:val="21"/>
                    </w:rPr>
                  </w:pPr>
                  <w:r>
                    <w:rPr>
                      <w:color w:val="auto"/>
                      <w:szCs w:val="21"/>
                    </w:rPr>
                    <w:t>城市建成区产生油烟的餐饮服务单位全部安装油烟净化装置并保持正常运行和定期维护。</w:t>
                  </w:r>
                </w:p>
                <w:p w14:paraId="31D65BA7">
                  <w:pPr>
                    <w:numPr>
                      <w:ilvl w:val="0"/>
                      <w:numId w:val="5"/>
                    </w:numPr>
                    <w:adjustRightInd w:val="0"/>
                    <w:snapToGrid w:val="0"/>
                    <w:rPr>
                      <w:color w:val="auto"/>
                      <w:szCs w:val="21"/>
                    </w:rPr>
                  </w:pPr>
                  <w:r>
                    <w:rPr>
                      <w:color w:val="auto"/>
                      <w:szCs w:val="21"/>
                    </w:rPr>
                    <w:t>持续因地制宜实施“煤改气”、“油改气”、电能、地热、生物质等清洁能源取暖措施。</w:t>
                  </w:r>
                </w:p>
                <w:p w14:paraId="3A503E5A">
                  <w:pPr>
                    <w:numPr>
                      <w:ilvl w:val="0"/>
                      <w:numId w:val="5"/>
                    </w:numPr>
                    <w:adjustRightInd w:val="0"/>
                    <w:snapToGrid w:val="0"/>
                    <w:rPr>
                      <w:color w:val="auto"/>
                      <w:szCs w:val="21"/>
                    </w:rPr>
                  </w:pPr>
                  <w:r>
                    <w:rPr>
                      <w:color w:val="auto"/>
                      <w:szCs w:val="21"/>
                    </w:rPr>
                    <w:t>鼓励将老旧车辆和非道路移动机械替换为清洁能源车辆。推进新能源或清洁能源汽车使用。</w:t>
                  </w:r>
                </w:p>
                <w:p w14:paraId="76FCCDB7">
                  <w:pPr>
                    <w:adjustRightInd w:val="0"/>
                    <w:snapToGrid w:val="0"/>
                    <w:rPr>
                      <w:color w:val="auto"/>
                      <w:szCs w:val="21"/>
                    </w:rPr>
                  </w:pPr>
                  <w:r>
                    <w:rPr>
                      <w:color w:val="auto"/>
                      <w:szCs w:val="21"/>
                    </w:rPr>
                    <w:t>水环境城镇生活污染重点管控区：</w:t>
                  </w:r>
                </w:p>
                <w:p w14:paraId="300B4391">
                  <w:pPr>
                    <w:adjustRightInd w:val="0"/>
                    <w:snapToGrid w:val="0"/>
                    <w:rPr>
                      <w:color w:val="auto"/>
                      <w:szCs w:val="21"/>
                    </w:rPr>
                  </w:pPr>
                  <w:r>
                    <w:rPr>
                      <w:color w:val="auto"/>
                      <w:szCs w:val="21"/>
                    </w:rPr>
                    <w:t>1.加强城镇污水收集处理设施建设与提标改造。城镇生活污水处理达到《陕西省黄河流域污水综合排放标准》（DB61/224-2018）排放限值要求。</w:t>
                  </w:r>
                </w:p>
              </w:tc>
              <w:tc>
                <w:tcPr>
                  <w:tcW w:w="450" w:type="pct"/>
                  <w:vMerge w:val="continue"/>
                  <w:vAlign w:val="center"/>
                </w:tcPr>
                <w:p w14:paraId="50F0B2E1">
                  <w:pPr>
                    <w:adjustRightInd w:val="0"/>
                    <w:snapToGrid w:val="0"/>
                    <w:rPr>
                      <w:color w:val="auto"/>
                      <w:szCs w:val="21"/>
                    </w:rPr>
                  </w:pPr>
                </w:p>
              </w:tc>
              <w:tc>
                <w:tcPr>
                  <w:tcW w:w="905" w:type="pct"/>
                  <w:vAlign w:val="center"/>
                </w:tcPr>
                <w:p w14:paraId="36FE3ABF">
                  <w:pPr>
                    <w:rPr>
                      <w:color w:val="auto"/>
                      <w:szCs w:val="21"/>
                    </w:rPr>
                  </w:pPr>
                  <w:r>
                    <w:rPr>
                      <w:color w:val="auto"/>
                      <w:szCs w:val="21"/>
                    </w:rPr>
                    <w:t>大气环境布局敏感重点管控区：</w:t>
                  </w:r>
                </w:p>
                <w:p w14:paraId="1B142A1C">
                  <w:pPr>
                    <w:numPr>
                      <w:ilvl w:val="255"/>
                      <w:numId w:val="0"/>
                    </w:numPr>
                    <w:rPr>
                      <w:color w:val="auto"/>
                      <w:szCs w:val="21"/>
                      <w:highlight w:val="none"/>
                    </w:rPr>
                  </w:pPr>
                  <w:r>
                    <w:rPr>
                      <w:rFonts w:hint="eastAsia"/>
                      <w:color w:val="auto"/>
                      <w:szCs w:val="21"/>
                      <w:highlight w:val="none"/>
                    </w:rPr>
                    <w:t>1.本项目</w:t>
                  </w:r>
                  <w:r>
                    <w:rPr>
                      <w:rFonts w:hint="eastAsia"/>
                      <w:color w:val="auto"/>
                      <w:szCs w:val="21"/>
                      <w:highlight w:val="none"/>
                      <w:lang w:val="en-US" w:eastAsia="zh-CN"/>
                    </w:rPr>
                    <w:t>不提供餐食，无油烟，不属于</w:t>
                  </w:r>
                  <w:r>
                    <w:rPr>
                      <w:color w:val="auto"/>
                      <w:szCs w:val="21"/>
                    </w:rPr>
                    <w:t>产生油烟的餐饮服务单位</w:t>
                  </w:r>
                  <w:r>
                    <w:rPr>
                      <w:color w:val="auto"/>
                      <w:szCs w:val="21"/>
                      <w:highlight w:val="none"/>
                    </w:rPr>
                    <w:t>。</w:t>
                  </w:r>
                </w:p>
                <w:p w14:paraId="618E11CA">
                  <w:pPr>
                    <w:numPr>
                      <w:ilvl w:val="255"/>
                      <w:numId w:val="0"/>
                    </w:numPr>
                    <w:rPr>
                      <w:color w:val="auto"/>
                      <w:szCs w:val="21"/>
                      <w:highlight w:val="none"/>
                    </w:rPr>
                  </w:pPr>
                  <w:r>
                    <w:rPr>
                      <w:rFonts w:hint="eastAsia"/>
                      <w:color w:val="auto"/>
                      <w:szCs w:val="21"/>
                      <w:highlight w:val="none"/>
                    </w:rPr>
                    <w:t>2.本项目采用空调供暖，不涉及煤炭。</w:t>
                  </w:r>
                </w:p>
                <w:p w14:paraId="258DDF8F">
                  <w:pPr>
                    <w:numPr>
                      <w:ilvl w:val="255"/>
                      <w:numId w:val="0"/>
                    </w:numPr>
                    <w:rPr>
                      <w:color w:val="auto"/>
                      <w:kern w:val="21"/>
                      <w:szCs w:val="21"/>
                    </w:rPr>
                  </w:pPr>
                  <w:r>
                    <w:rPr>
                      <w:rFonts w:hint="eastAsia"/>
                      <w:color w:val="auto"/>
                      <w:szCs w:val="21"/>
                      <w:highlight w:val="none"/>
                    </w:rPr>
                    <w:t>3.</w:t>
                  </w:r>
                  <w:r>
                    <w:rPr>
                      <w:color w:val="auto"/>
                      <w:szCs w:val="21"/>
                      <w:highlight w:val="none"/>
                    </w:rPr>
                    <w:t>本项目</w:t>
                  </w:r>
                  <w:r>
                    <w:rPr>
                      <w:rFonts w:hint="eastAsia"/>
                      <w:color w:val="auto"/>
                      <w:szCs w:val="21"/>
                    </w:rPr>
                    <w:t>厂外</w:t>
                  </w:r>
                  <w:r>
                    <w:rPr>
                      <w:color w:val="auto"/>
                      <w:kern w:val="21"/>
                      <w:szCs w:val="21"/>
                    </w:rPr>
                    <w:t>负责原料、产品运输</w:t>
                  </w:r>
                  <w:r>
                    <w:rPr>
                      <w:rFonts w:hint="eastAsia"/>
                      <w:color w:val="auto"/>
                      <w:kern w:val="21"/>
                      <w:szCs w:val="21"/>
                    </w:rPr>
                    <w:t>的</w:t>
                  </w:r>
                  <w:r>
                    <w:rPr>
                      <w:color w:val="auto"/>
                      <w:kern w:val="21"/>
                      <w:szCs w:val="21"/>
                    </w:rPr>
                    <w:t>车辆将使用国</w:t>
                  </w:r>
                  <w:r>
                    <w:rPr>
                      <w:rFonts w:hint="eastAsia"/>
                      <w:color w:val="auto"/>
                      <w:kern w:val="21"/>
                      <w:szCs w:val="21"/>
                    </w:rPr>
                    <w:t>五</w:t>
                  </w:r>
                  <w:r>
                    <w:rPr>
                      <w:color w:val="auto"/>
                      <w:kern w:val="21"/>
                      <w:szCs w:val="21"/>
                    </w:rPr>
                    <w:t>排放标准重型载货车辆(含燃气)</w:t>
                  </w:r>
                  <w:r>
                    <w:rPr>
                      <w:color w:val="auto"/>
                    </w:rPr>
                    <w:t>。</w:t>
                  </w:r>
                </w:p>
                <w:p w14:paraId="715E8BCD">
                  <w:pPr>
                    <w:rPr>
                      <w:color w:val="auto"/>
                    </w:rPr>
                  </w:pPr>
                  <w:r>
                    <w:rPr>
                      <w:color w:val="auto"/>
                      <w:szCs w:val="21"/>
                    </w:rPr>
                    <w:t>水环境城镇生活污染重点管控区：1.</w:t>
                  </w:r>
                  <w:r>
                    <w:rPr>
                      <w:rFonts w:hint="eastAsia"/>
                      <w:color w:val="auto"/>
                      <w:szCs w:val="22"/>
                    </w:rPr>
                    <w:t>本项目污水经化粪池处理后排入西安净水处理有限责任公司第六再生水厂，污染物排放能够达到国家控制标准。</w:t>
                  </w:r>
                </w:p>
              </w:tc>
              <w:tc>
                <w:tcPr>
                  <w:tcW w:w="178" w:type="pct"/>
                  <w:vAlign w:val="center"/>
                </w:tcPr>
                <w:p w14:paraId="02EA7A2F">
                  <w:pPr>
                    <w:adjustRightInd w:val="0"/>
                    <w:snapToGrid w:val="0"/>
                    <w:rPr>
                      <w:color w:val="auto"/>
                      <w:szCs w:val="21"/>
                    </w:rPr>
                  </w:pPr>
                  <w:r>
                    <w:rPr>
                      <w:color w:val="auto"/>
                      <w:szCs w:val="21"/>
                    </w:rPr>
                    <w:t>符合</w:t>
                  </w:r>
                </w:p>
              </w:tc>
            </w:tr>
            <w:tr w14:paraId="7EC298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77" w:type="pct"/>
                  <w:vMerge w:val="continue"/>
                  <w:vAlign w:val="center"/>
                </w:tcPr>
                <w:p w14:paraId="06B7705A">
                  <w:pPr>
                    <w:adjustRightInd w:val="0"/>
                    <w:snapToGrid w:val="0"/>
                    <w:rPr>
                      <w:color w:val="auto"/>
                      <w:szCs w:val="21"/>
                    </w:rPr>
                  </w:pPr>
                </w:p>
              </w:tc>
              <w:tc>
                <w:tcPr>
                  <w:tcW w:w="353" w:type="pct"/>
                  <w:vMerge w:val="continue"/>
                  <w:vAlign w:val="center"/>
                </w:tcPr>
                <w:p w14:paraId="700548DE">
                  <w:pPr>
                    <w:adjustRightInd w:val="0"/>
                    <w:snapToGrid w:val="0"/>
                    <w:rPr>
                      <w:color w:val="auto"/>
                      <w:szCs w:val="21"/>
                    </w:rPr>
                  </w:pPr>
                </w:p>
              </w:tc>
              <w:tc>
                <w:tcPr>
                  <w:tcW w:w="244" w:type="pct"/>
                  <w:vMerge w:val="continue"/>
                  <w:vAlign w:val="center"/>
                </w:tcPr>
                <w:p w14:paraId="1B563D68">
                  <w:pPr>
                    <w:adjustRightInd w:val="0"/>
                    <w:snapToGrid w:val="0"/>
                    <w:rPr>
                      <w:color w:val="auto"/>
                      <w:szCs w:val="21"/>
                    </w:rPr>
                  </w:pPr>
                </w:p>
              </w:tc>
              <w:tc>
                <w:tcPr>
                  <w:tcW w:w="428" w:type="pct"/>
                  <w:vMerge w:val="continue"/>
                  <w:vAlign w:val="center"/>
                </w:tcPr>
                <w:p w14:paraId="594FFED8">
                  <w:pPr>
                    <w:adjustRightInd w:val="0"/>
                    <w:snapToGrid w:val="0"/>
                    <w:rPr>
                      <w:color w:val="auto"/>
                      <w:szCs w:val="21"/>
                    </w:rPr>
                  </w:pPr>
                </w:p>
              </w:tc>
              <w:tc>
                <w:tcPr>
                  <w:tcW w:w="365" w:type="pct"/>
                  <w:vMerge w:val="continue"/>
                  <w:vAlign w:val="center"/>
                </w:tcPr>
                <w:p w14:paraId="7C334070">
                  <w:pPr>
                    <w:adjustRightInd w:val="0"/>
                    <w:snapToGrid w:val="0"/>
                    <w:rPr>
                      <w:color w:val="auto"/>
                      <w:szCs w:val="21"/>
                    </w:rPr>
                  </w:pPr>
                </w:p>
              </w:tc>
              <w:tc>
                <w:tcPr>
                  <w:tcW w:w="303" w:type="pct"/>
                  <w:vAlign w:val="center"/>
                </w:tcPr>
                <w:p w14:paraId="1BA035A6">
                  <w:pPr>
                    <w:adjustRightInd w:val="0"/>
                    <w:snapToGrid w:val="0"/>
                    <w:rPr>
                      <w:color w:val="auto"/>
                      <w:szCs w:val="21"/>
                    </w:rPr>
                  </w:pPr>
                  <w:r>
                    <w:rPr>
                      <w:color w:val="auto"/>
                      <w:szCs w:val="21"/>
                    </w:rPr>
                    <w:t>资源开发效率要求</w:t>
                  </w:r>
                </w:p>
              </w:tc>
              <w:tc>
                <w:tcPr>
                  <w:tcW w:w="1592" w:type="pct"/>
                  <w:vAlign w:val="center"/>
                </w:tcPr>
                <w:p w14:paraId="5420EE3D">
                  <w:pPr>
                    <w:adjustRightInd w:val="0"/>
                    <w:snapToGrid w:val="0"/>
                    <w:rPr>
                      <w:color w:val="auto"/>
                      <w:szCs w:val="21"/>
                    </w:rPr>
                  </w:pPr>
                  <w:r>
                    <w:rPr>
                      <w:color w:val="auto"/>
                      <w:szCs w:val="21"/>
                    </w:rPr>
                    <w:t>高污染燃料禁燃重点管控区：</w:t>
                  </w:r>
                </w:p>
                <w:p w14:paraId="6CF44685">
                  <w:pPr>
                    <w:numPr>
                      <w:ilvl w:val="0"/>
                      <w:numId w:val="6"/>
                    </w:numPr>
                    <w:adjustRightInd w:val="0"/>
                    <w:snapToGrid w:val="0"/>
                    <w:rPr>
                      <w:color w:val="auto"/>
                      <w:szCs w:val="21"/>
                    </w:rPr>
                  </w:pPr>
                  <w:r>
                    <w:rPr>
                      <w:color w:val="auto"/>
                      <w:szCs w:val="21"/>
                    </w:rPr>
                    <w:t>禁止销售、使用高污染燃料。禁止新建、扩建燃用高污染燃料的设施。已建成的，应当在市人民政府规定的期限内停止使用或者改用天然气、页岩气、煤层气、液化石油气、干热岩、电、太阳能或者其他清洁能源。</w:t>
                  </w:r>
                </w:p>
                <w:p w14:paraId="5DC3BB6D">
                  <w:pPr>
                    <w:numPr>
                      <w:ilvl w:val="0"/>
                      <w:numId w:val="6"/>
                    </w:numPr>
                    <w:adjustRightInd w:val="0"/>
                    <w:snapToGrid w:val="0"/>
                    <w:rPr>
                      <w:color w:val="auto"/>
                      <w:szCs w:val="21"/>
                    </w:rPr>
                  </w:pPr>
                  <w:r>
                    <w:rPr>
                      <w:color w:val="auto"/>
                      <w:szCs w:val="21"/>
                    </w:rPr>
                    <w:t>禁止燃放烟花爆竹。</w:t>
                  </w:r>
                </w:p>
              </w:tc>
              <w:tc>
                <w:tcPr>
                  <w:tcW w:w="450" w:type="pct"/>
                  <w:vMerge w:val="continue"/>
                  <w:vAlign w:val="center"/>
                </w:tcPr>
                <w:p w14:paraId="6F1179D1">
                  <w:pPr>
                    <w:adjustRightInd w:val="0"/>
                    <w:snapToGrid w:val="0"/>
                    <w:rPr>
                      <w:color w:val="auto"/>
                      <w:szCs w:val="21"/>
                    </w:rPr>
                  </w:pPr>
                </w:p>
              </w:tc>
              <w:tc>
                <w:tcPr>
                  <w:tcW w:w="905" w:type="pct"/>
                  <w:vAlign w:val="center"/>
                </w:tcPr>
                <w:p w14:paraId="1ED2242F">
                  <w:pPr>
                    <w:adjustRightInd w:val="0"/>
                    <w:snapToGrid w:val="0"/>
                    <w:rPr>
                      <w:color w:val="auto"/>
                      <w:szCs w:val="21"/>
                    </w:rPr>
                  </w:pPr>
                  <w:r>
                    <w:rPr>
                      <w:color w:val="auto"/>
                      <w:szCs w:val="21"/>
                    </w:rPr>
                    <w:t>高污染燃料禁燃重点管控区：</w:t>
                  </w:r>
                  <w:r>
                    <w:rPr>
                      <w:rFonts w:hint="eastAsia"/>
                      <w:color w:val="auto"/>
                      <w:szCs w:val="21"/>
                    </w:rPr>
                    <w:t>1.本项目不涉及</w:t>
                  </w:r>
                  <w:r>
                    <w:rPr>
                      <w:color w:val="auto"/>
                      <w:szCs w:val="21"/>
                    </w:rPr>
                    <w:t>销售</w:t>
                  </w:r>
                  <w:r>
                    <w:rPr>
                      <w:rFonts w:hint="eastAsia"/>
                      <w:color w:val="auto"/>
                      <w:szCs w:val="21"/>
                    </w:rPr>
                    <w:t>及</w:t>
                  </w:r>
                  <w:r>
                    <w:rPr>
                      <w:color w:val="auto"/>
                      <w:szCs w:val="21"/>
                    </w:rPr>
                    <w:t>使用高污染燃料。</w:t>
                  </w:r>
                  <w:r>
                    <w:rPr>
                      <w:rFonts w:hint="eastAsia"/>
                      <w:color w:val="auto"/>
                      <w:szCs w:val="21"/>
                    </w:rPr>
                    <w:t>2.本项目不涉及烟花爆竹。</w:t>
                  </w:r>
                </w:p>
              </w:tc>
              <w:tc>
                <w:tcPr>
                  <w:tcW w:w="178" w:type="pct"/>
                  <w:vAlign w:val="center"/>
                </w:tcPr>
                <w:p w14:paraId="429C4E25">
                  <w:pPr>
                    <w:adjustRightInd w:val="0"/>
                    <w:snapToGrid w:val="0"/>
                    <w:rPr>
                      <w:color w:val="auto"/>
                      <w:szCs w:val="21"/>
                    </w:rPr>
                  </w:pPr>
                  <w:r>
                    <w:rPr>
                      <w:color w:val="auto"/>
                      <w:szCs w:val="21"/>
                    </w:rPr>
                    <w:t>符合</w:t>
                  </w:r>
                </w:p>
              </w:tc>
            </w:tr>
          </w:tbl>
          <w:p w14:paraId="78563735">
            <w:pPr>
              <w:autoSpaceDE w:val="0"/>
              <w:autoSpaceDN w:val="0"/>
              <w:adjustRightInd w:val="0"/>
              <w:snapToGrid w:val="0"/>
              <w:spacing w:line="360" w:lineRule="auto"/>
              <w:ind w:firstLine="482" w:firstLineChars="200"/>
              <w:jc w:val="left"/>
              <w:outlineLvl w:val="1"/>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2、相关生态环境保护法律法规</w:t>
            </w:r>
            <w:r>
              <w:rPr>
                <w:rFonts w:hint="eastAsia"/>
                <w:b/>
                <w:bCs/>
                <w:color w:val="000000" w:themeColor="text1"/>
                <w:sz w:val="24"/>
                <w:lang w:eastAsia="zh-CN"/>
                <w14:textFill>
                  <w14:solidFill>
                    <w14:schemeClr w14:val="tx1"/>
                  </w14:solidFill>
                </w14:textFill>
              </w:rPr>
              <w:t>、</w:t>
            </w:r>
            <w:r>
              <w:rPr>
                <w:b/>
                <w:bCs/>
                <w:color w:val="000000" w:themeColor="text1"/>
                <w:sz w:val="24"/>
                <w14:textFill>
                  <w14:solidFill>
                    <w14:schemeClr w14:val="tx1"/>
                  </w14:solidFill>
                </w14:textFill>
              </w:rPr>
              <w:t>政策、生态环境保护规划的符合性分析</w:t>
            </w:r>
          </w:p>
          <w:p w14:paraId="111D5319">
            <w:pPr>
              <w:jc w:val="center"/>
              <w:rPr>
                <w:rFonts w:hint="eastAsia"/>
                <w:b/>
                <w:bCs/>
                <w:color w:val="000000" w:themeColor="text1"/>
                <w:sz w:val="24"/>
                <w:lang w:val="zh-CN"/>
                <w14:textFill>
                  <w14:solidFill>
                    <w14:schemeClr w14:val="tx1"/>
                  </w14:solidFill>
                </w14:textFill>
              </w:rPr>
            </w:pPr>
            <w:r>
              <w:rPr>
                <w:rFonts w:hint="eastAsia"/>
                <w:b/>
                <w:bCs/>
                <w:color w:val="000000" w:themeColor="text1"/>
                <w:sz w:val="24"/>
                <w14:textFill>
                  <w14:solidFill>
                    <w14:schemeClr w14:val="tx1"/>
                  </w14:solidFill>
                </w14:textFill>
              </w:rPr>
              <w:t>表 1-</w:t>
            </w:r>
            <w:r>
              <w:rPr>
                <w:rFonts w:hint="eastAsia"/>
                <w:b/>
                <w:bCs/>
                <w:color w:val="000000" w:themeColor="text1"/>
                <w:sz w:val="24"/>
                <w:lang w:val="en-US" w:eastAsia="zh-CN"/>
                <w14:textFill>
                  <w14:solidFill>
                    <w14:schemeClr w14:val="tx1"/>
                  </w14:solidFill>
                </w14:textFill>
              </w:rPr>
              <w:t>3</w:t>
            </w:r>
            <w:r>
              <w:rPr>
                <w:rFonts w:hint="eastAsia"/>
                <w:b/>
                <w:bCs/>
                <w:color w:val="000000" w:themeColor="text1"/>
                <w:sz w:val="24"/>
                <w14:textFill>
                  <w14:solidFill>
                    <w14:schemeClr w14:val="tx1"/>
                  </w14:solidFill>
                </w14:textFill>
              </w:rPr>
              <w:t xml:space="preserve"> 项目与相关环境管理政策符合性分析一览表</w:t>
            </w:r>
          </w:p>
          <w:tbl>
            <w:tblPr>
              <w:tblStyle w:val="28"/>
              <w:tblW w:w="12124" w:type="dxa"/>
              <w:tblInd w:w="-54"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1916"/>
              <w:gridCol w:w="6023"/>
              <w:gridCol w:w="3573"/>
              <w:gridCol w:w="612"/>
            </w:tblGrid>
            <w:tr w14:paraId="22AC478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PrEx>
              <w:trPr>
                <w:trHeight w:val="90" w:hRule="atLeast"/>
              </w:trPr>
              <w:tc>
                <w:tcPr>
                  <w:tcW w:w="790" w:type="pct"/>
                  <w:noWrap w:val="0"/>
                  <w:vAlign w:val="center"/>
                </w:tcPr>
                <w:p w14:paraId="0F51BBA1">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文件</w:t>
                  </w:r>
                </w:p>
              </w:tc>
              <w:tc>
                <w:tcPr>
                  <w:tcW w:w="2483" w:type="pct"/>
                  <w:noWrap w:val="0"/>
                  <w:vAlign w:val="center"/>
                </w:tcPr>
                <w:p w14:paraId="653CF0F1">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具体要求</w:t>
                  </w:r>
                </w:p>
              </w:tc>
              <w:tc>
                <w:tcPr>
                  <w:tcW w:w="1473" w:type="pct"/>
                  <w:noWrap w:val="0"/>
                  <w:vAlign w:val="center"/>
                </w:tcPr>
                <w:p w14:paraId="563142B8">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本项目情况</w:t>
                  </w:r>
                </w:p>
              </w:tc>
              <w:tc>
                <w:tcPr>
                  <w:tcW w:w="252" w:type="pct"/>
                  <w:noWrap w:val="0"/>
                  <w:vAlign w:val="center"/>
                </w:tcPr>
                <w:p w14:paraId="1B1443FC">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相符性</w:t>
                  </w:r>
                </w:p>
              </w:tc>
            </w:tr>
            <w:tr w14:paraId="5C96FD5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843" w:hRule="atLeast"/>
              </w:trPr>
              <w:tc>
                <w:tcPr>
                  <w:tcW w:w="790" w:type="pct"/>
                  <w:vMerge w:val="restart"/>
                  <w:noWrap w:val="0"/>
                  <w:vAlign w:val="center"/>
                </w:tcPr>
                <w:p w14:paraId="3744D1BF">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中共陕西省委陕西省人民政府关于印发《陕西省大气污染治理专项行动方案（2023-2027年）》的通知</w:t>
                  </w:r>
                </w:p>
              </w:tc>
              <w:tc>
                <w:tcPr>
                  <w:tcW w:w="2483" w:type="pct"/>
                  <w:noWrap w:val="0"/>
                  <w:vAlign w:val="center"/>
                </w:tcPr>
                <w:p w14:paraId="66E2AC52">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关中地区市辖区及开发区范围内新、改、扩建涉气重点行业企业应达到环保绩效A级、 绩效引领性水平，西安市、咸阳市、渭南市的其他区域应达到环保绩效B 级及以上水平。</w:t>
                  </w:r>
                </w:p>
              </w:tc>
              <w:tc>
                <w:tcPr>
                  <w:tcW w:w="1473" w:type="pct"/>
                  <w:vMerge w:val="restart"/>
                  <w:noWrap w:val="0"/>
                  <w:vAlign w:val="center"/>
                </w:tcPr>
                <w:p w14:paraId="65FBCA1F">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本项目位于西咸新区沣东新城，为建设工程材料分析</w:t>
                  </w:r>
                  <w:r>
                    <w:rPr>
                      <w:rFonts w:hint="default" w:ascii="Times New Roman" w:hAnsi="Times New Roman" w:cs="Times New Roman"/>
                      <w:color w:val="auto"/>
                      <w:sz w:val="21"/>
                      <w:szCs w:val="21"/>
                      <w:highlight w:val="none"/>
                      <w:lang w:val="en-US" w:eastAsia="zh-CN"/>
                    </w:rPr>
                    <w:t>试验室</w:t>
                  </w:r>
                  <w:r>
                    <w:rPr>
                      <w:rFonts w:hint="default" w:ascii="Times New Roman" w:hAnsi="Times New Roman" w:cs="Times New Roman"/>
                      <w:color w:val="auto"/>
                      <w:sz w:val="21"/>
                      <w:szCs w:val="21"/>
                      <w:highlight w:val="none"/>
                    </w:rPr>
                    <w:t>，不属于重点行业。</w:t>
                  </w:r>
                </w:p>
              </w:tc>
              <w:tc>
                <w:tcPr>
                  <w:tcW w:w="252" w:type="pct"/>
                  <w:noWrap w:val="0"/>
                  <w:vAlign w:val="center"/>
                </w:tcPr>
                <w:p w14:paraId="286AFE0A">
                  <w:pPr>
                    <w:widowControl/>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2BC21D3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138" w:hRule="atLeast"/>
              </w:trPr>
              <w:tc>
                <w:tcPr>
                  <w:tcW w:w="790" w:type="pct"/>
                  <w:vMerge w:val="continue"/>
                  <w:noWrap w:val="0"/>
                  <w:vAlign w:val="center"/>
                </w:tcPr>
                <w:p w14:paraId="5EB2D274">
                  <w:pPr>
                    <w:rPr>
                      <w:rFonts w:hint="default" w:ascii="Times New Roman" w:hAnsi="Times New Roman" w:cs="Times New Roman"/>
                      <w:color w:val="auto"/>
                      <w:sz w:val="21"/>
                      <w:szCs w:val="21"/>
                      <w:highlight w:val="none"/>
                    </w:rPr>
                  </w:pPr>
                </w:p>
              </w:tc>
              <w:tc>
                <w:tcPr>
                  <w:tcW w:w="2483" w:type="pct"/>
                  <w:noWrap w:val="0"/>
                  <w:vAlign w:val="center"/>
                </w:tcPr>
                <w:p w14:paraId="4553F92C">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重污染天气应对行动。关中地区深入开展</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创A升B减C清D</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活动，提升重点行业绩效分级B级及以上和引领性企业占比，聚焦涉气重点企业，兼顾企业数量和质量，重点行业头部企业、排放大户要率先升级。</w:t>
                  </w:r>
                </w:p>
              </w:tc>
              <w:tc>
                <w:tcPr>
                  <w:tcW w:w="1473" w:type="pct"/>
                  <w:vMerge w:val="continue"/>
                  <w:noWrap w:val="0"/>
                  <w:vAlign w:val="center"/>
                </w:tcPr>
                <w:p w14:paraId="7D038BE8">
                  <w:pPr>
                    <w:rPr>
                      <w:rFonts w:hint="default" w:ascii="Times New Roman" w:hAnsi="Times New Roman" w:cs="Times New Roman"/>
                      <w:color w:val="auto"/>
                      <w:sz w:val="21"/>
                      <w:szCs w:val="21"/>
                      <w:highlight w:val="none"/>
                    </w:rPr>
                  </w:pPr>
                </w:p>
              </w:tc>
              <w:tc>
                <w:tcPr>
                  <w:tcW w:w="252" w:type="pct"/>
                  <w:noWrap w:val="0"/>
                  <w:vAlign w:val="center"/>
                </w:tcPr>
                <w:p w14:paraId="049925D8">
                  <w:pPr>
                    <w:widowControl/>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120E15B2">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038" w:hRule="atLeast"/>
              </w:trPr>
              <w:tc>
                <w:tcPr>
                  <w:tcW w:w="790" w:type="pct"/>
                  <w:vMerge w:val="continue"/>
                  <w:noWrap w:val="0"/>
                  <w:vAlign w:val="center"/>
                </w:tcPr>
                <w:p w14:paraId="7875EE07">
                  <w:pPr>
                    <w:rPr>
                      <w:rFonts w:hint="default" w:ascii="Times New Roman" w:hAnsi="Times New Roman" w:cs="Times New Roman"/>
                      <w:color w:val="auto"/>
                      <w:sz w:val="21"/>
                      <w:szCs w:val="21"/>
                      <w:highlight w:val="none"/>
                    </w:rPr>
                  </w:pPr>
                </w:p>
              </w:tc>
              <w:tc>
                <w:tcPr>
                  <w:tcW w:w="2483" w:type="pct"/>
                  <w:noWrap w:val="0"/>
                  <w:vAlign w:val="center"/>
                </w:tcPr>
                <w:p w14:paraId="6FECAE50">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新建挥发性有机物治理设施不再采用单一低温等离子、光氧化、光催化等治理技术，非水溶性挥发性有机物废气不再采用单一喷淋吸收方式处理。</w:t>
                  </w:r>
                </w:p>
              </w:tc>
              <w:tc>
                <w:tcPr>
                  <w:tcW w:w="1473" w:type="pct"/>
                  <w:noWrap w:val="0"/>
                  <w:vAlign w:val="center"/>
                </w:tcPr>
                <w:p w14:paraId="6624B32C">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本项目挥发性有机物废气经</w:t>
                  </w:r>
                  <w:r>
                    <w:rPr>
                      <w:rFonts w:hint="eastAsia" w:cs="Times New Roman"/>
                      <w:color w:val="auto"/>
                      <w:sz w:val="21"/>
                      <w:szCs w:val="21"/>
                      <w:highlight w:val="none"/>
                      <w:lang w:eastAsia="zh-CN"/>
                    </w:rPr>
                    <w:t>二级活性炭</w:t>
                  </w:r>
                  <w:r>
                    <w:rPr>
                      <w:rFonts w:hint="default" w:ascii="Times New Roman" w:hAnsi="Times New Roman" w:cs="Times New Roman"/>
                      <w:color w:val="auto"/>
                      <w:sz w:val="21"/>
                      <w:szCs w:val="21"/>
                      <w:highlight w:val="none"/>
                    </w:rPr>
                    <w:t>吸附处理后经</w:t>
                  </w:r>
                  <w:r>
                    <w:rPr>
                      <w:rFonts w:hint="eastAsia" w:cs="Times New Roman"/>
                      <w:color w:val="auto"/>
                      <w:sz w:val="21"/>
                      <w:szCs w:val="21"/>
                      <w:highlight w:val="none"/>
                      <w:lang w:val="en-US" w:eastAsia="zh-CN"/>
                    </w:rPr>
                    <w:t>23m</w:t>
                  </w:r>
                  <w:r>
                    <w:rPr>
                      <w:rFonts w:hint="default" w:ascii="Times New Roman" w:hAnsi="Times New Roman" w:cs="Times New Roman"/>
                      <w:color w:val="auto"/>
                      <w:sz w:val="21"/>
                      <w:szCs w:val="21"/>
                      <w:highlight w:val="none"/>
                    </w:rPr>
                    <w:t>高排气筒排放，不属于单一低温等离子、光氧化、光催化等治理技术。</w:t>
                  </w:r>
                </w:p>
              </w:tc>
              <w:tc>
                <w:tcPr>
                  <w:tcW w:w="252" w:type="pct"/>
                  <w:noWrap w:val="0"/>
                  <w:vAlign w:val="center"/>
                </w:tcPr>
                <w:p w14:paraId="533CA4E7">
                  <w:pPr>
                    <w:widowControl/>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6FE45F72">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790" w:type="pct"/>
                  <w:vMerge w:val="restart"/>
                  <w:noWrap w:val="0"/>
                  <w:vAlign w:val="center"/>
                </w:tcPr>
                <w:p w14:paraId="7F1F88E2">
                  <w:pPr>
                    <w:keepNext w:val="0"/>
                    <w:keepLines w:val="0"/>
                    <w:widowControl/>
                    <w:suppressLineNumbers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中共西安市委 西安市人民政府关于印发《西安市大气污染治理专项行动方案（2023-2027年）》的通知</w:t>
                  </w:r>
                  <w:r>
                    <w:rPr>
                      <w:rFonts w:hint="default" w:ascii="Times New Roman" w:hAnsi="Times New Roman" w:eastAsia="宋体" w:cs="Times New Roman"/>
                      <w:color w:val="auto"/>
                      <w:kern w:val="0"/>
                      <w:sz w:val="21"/>
                      <w:szCs w:val="21"/>
                      <w:highlight w:val="none"/>
                      <w:lang w:val="en-US" w:eastAsia="zh-CN" w:bidi="ar"/>
                    </w:rPr>
                    <w:t>（市字〔2023〕32号）</w:t>
                  </w:r>
                </w:p>
              </w:tc>
              <w:tc>
                <w:tcPr>
                  <w:tcW w:w="2483" w:type="pct"/>
                  <w:noWrap w:val="0"/>
                  <w:vAlign w:val="center"/>
                </w:tcPr>
                <w:p w14:paraId="0384488D">
                  <w:pPr>
                    <w:pStyle w:val="81"/>
                    <w:spacing w:before="65"/>
                    <w:ind w:right="8"/>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深入开展“创A升B减C清D”活动。提升重点行业绩效分级B级及以上和引领性企业占比，聚焦重点涉气企业，兼顾企业数量和质量，重点行业头部企业、排放大户要率先升级。</w:t>
                  </w:r>
                </w:p>
              </w:tc>
              <w:tc>
                <w:tcPr>
                  <w:tcW w:w="1473" w:type="pct"/>
                  <w:noWrap w:val="0"/>
                  <w:vAlign w:val="center"/>
                </w:tcPr>
                <w:p w14:paraId="0D8DFE90">
                  <w:pPr>
                    <w:pStyle w:val="81"/>
                    <w:spacing w:before="24"/>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本项目位于</w:t>
                  </w:r>
                  <w:r>
                    <w:rPr>
                      <w:rFonts w:hint="default" w:ascii="Times New Roman" w:hAnsi="Times New Roman" w:cs="Times New Roman"/>
                      <w:color w:val="auto"/>
                      <w:sz w:val="21"/>
                      <w:szCs w:val="21"/>
                      <w:highlight w:val="none"/>
                      <w:lang w:eastAsia="zh-CN"/>
                    </w:rPr>
                    <w:t>西咸新区沣东新城</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eastAsia="zh-CN"/>
                    </w:rPr>
                    <w:t>为建设工程材料分析试验室，不属于重点行业</w:t>
                  </w:r>
                  <w:r>
                    <w:rPr>
                      <w:rFonts w:hint="default" w:ascii="Times New Roman" w:hAnsi="Times New Roman" w:cs="Times New Roman"/>
                      <w:color w:val="auto"/>
                      <w:sz w:val="21"/>
                      <w:szCs w:val="21"/>
                      <w:highlight w:val="none"/>
                    </w:rPr>
                    <w:t>。</w:t>
                  </w:r>
                </w:p>
              </w:tc>
              <w:tc>
                <w:tcPr>
                  <w:tcW w:w="252" w:type="pct"/>
                  <w:tcBorders>
                    <w:bottom w:val="single" w:color="auto" w:sz="4" w:space="0"/>
                  </w:tcBorders>
                  <w:noWrap w:val="0"/>
                  <w:vAlign w:val="center"/>
                </w:tcPr>
                <w:p w14:paraId="7B7D2225">
                  <w:pPr>
                    <w:widowControl/>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051AD0A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790" w:type="pct"/>
                  <w:vMerge w:val="continue"/>
                  <w:noWrap w:val="0"/>
                  <w:vAlign w:val="center"/>
                </w:tcPr>
                <w:p w14:paraId="27C9C9C1">
                  <w:pPr>
                    <w:jc w:val="center"/>
                    <w:rPr>
                      <w:rFonts w:hint="default" w:ascii="Times New Roman" w:hAnsi="Times New Roman" w:cs="Times New Roman"/>
                      <w:color w:val="auto"/>
                      <w:sz w:val="21"/>
                      <w:szCs w:val="21"/>
                      <w:highlight w:val="none"/>
                    </w:rPr>
                  </w:pPr>
                </w:p>
              </w:tc>
              <w:tc>
                <w:tcPr>
                  <w:tcW w:w="2483" w:type="pct"/>
                  <w:noWrap w:val="0"/>
                  <w:vAlign w:val="center"/>
                </w:tcPr>
                <w:p w14:paraId="72D31B8D">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强化涉</w:t>
                  </w:r>
                  <w:r>
                    <w:rPr>
                      <w:rFonts w:hint="eastAsia" w:cs="Times New Roman"/>
                      <w:color w:val="auto"/>
                      <w:sz w:val="21"/>
                      <w:szCs w:val="21"/>
                      <w:highlight w:val="none"/>
                      <w:lang w:eastAsia="zh-CN"/>
                    </w:rPr>
                    <w:t>活性炭</w:t>
                  </w:r>
                  <w:r>
                    <w:rPr>
                      <w:rFonts w:hint="default" w:ascii="Times New Roman" w:hAnsi="Times New Roman" w:cs="Times New Roman"/>
                      <w:color w:val="auto"/>
                      <w:sz w:val="21"/>
                      <w:szCs w:val="21"/>
                      <w:highlight w:val="none"/>
                    </w:rPr>
                    <w:t>VOCs 处理工艺治理。动态更新挥发性有机物治理设施台账，开展简易挥发性有机物治理设施整治、涉</w:t>
                  </w:r>
                  <w:r>
                    <w:rPr>
                      <w:rFonts w:hint="eastAsia" w:cs="Times New Roman"/>
                      <w:color w:val="auto"/>
                      <w:sz w:val="21"/>
                      <w:szCs w:val="21"/>
                      <w:highlight w:val="none"/>
                      <w:lang w:eastAsia="zh-CN"/>
                    </w:rPr>
                    <w:t>活性炭</w:t>
                  </w:r>
                  <w:r>
                    <w:rPr>
                      <w:rFonts w:hint="default" w:ascii="Times New Roman" w:hAnsi="Times New Roman" w:cs="Times New Roman"/>
                      <w:color w:val="auto"/>
                      <w:sz w:val="21"/>
                      <w:szCs w:val="21"/>
                      <w:highlight w:val="none"/>
                    </w:rPr>
                    <w:t>挥发性有机物处理工艺专项整治行动，强化挥发性有机物无组织排放整治，确保达到相关标准要求。新建项目不再采用单一低温等离子、光氧化、光催化等治理技术，非水溶性挥发性有机物废气不再采用单一喷淋吸收方式处理。</w:t>
                  </w:r>
                </w:p>
              </w:tc>
              <w:tc>
                <w:tcPr>
                  <w:tcW w:w="1473" w:type="pct"/>
                  <w:noWrap w:val="0"/>
                  <w:vAlign w:val="center"/>
                </w:tcPr>
                <w:p w14:paraId="01A8DA89">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本项目挥发性有机物废气经</w:t>
                  </w:r>
                  <w:r>
                    <w:rPr>
                      <w:rFonts w:hint="eastAsia" w:cs="Times New Roman"/>
                      <w:color w:val="auto"/>
                      <w:sz w:val="21"/>
                      <w:szCs w:val="21"/>
                      <w:highlight w:val="none"/>
                      <w:lang w:eastAsia="zh-CN"/>
                    </w:rPr>
                    <w:t>二级活性炭</w:t>
                  </w:r>
                  <w:r>
                    <w:rPr>
                      <w:rFonts w:hint="default" w:ascii="Times New Roman" w:hAnsi="Times New Roman" w:cs="Times New Roman"/>
                      <w:color w:val="auto"/>
                      <w:sz w:val="21"/>
                      <w:szCs w:val="21"/>
                      <w:highlight w:val="none"/>
                    </w:rPr>
                    <w:t>吸附处理后经排气筒排放，不属于单一低温等离子、光氧化、光催化等治理技术。</w:t>
                  </w:r>
                  <w:r>
                    <w:rPr>
                      <w:rFonts w:eastAsiaTheme="minorEastAsia"/>
                      <w:color w:val="auto"/>
                      <w:szCs w:val="21"/>
                    </w:rPr>
                    <w:t>项目运营期将严格把控</w:t>
                  </w:r>
                  <w:r>
                    <w:rPr>
                      <w:rFonts w:hint="eastAsia" w:eastAsiaTheme="minorEastAsia"/>
                      <w:color w:val="auto"/>
                      <w:szCs w:val="21"/>
                      <w:lang w:eastAsia="zh-CN"/>
                    </w:rPr>
                    <w:t>活性炭</w:t>
                  </w:r>
                  <w:r>
                    <w:rPr>
                      <w:rFonts w:eastAsiaTheme="minorEastAsia"/>
                      <w:color w:val="auto"/>
                      <w:szCs w:val="21"/>
                    </w:rPr>
                    <w:t>质量，每次更换</w:t>
                  </w:r>
                  <w:r>
                    <w:rPr>
                      <w:rFonts w:hint="eastAsia" w:eastAsiaTheme="minorEastAsia"/>
                      <w:color w:val="auto"/>
                      <w:szCs w:val="21"/>
                      <w:lang w:eastAsia="zh-CN"/>
                    </w:rPr>
                    <w:t>活性炭</w:t>
                  </w:r>
                  <w:r>
                    <w:rPr>
                      <w:rFonts w:eastAsiaTheme="minorEastAsia"/>
                      <w:color w:val="auto"/>
                      <w:szCs w:val="21"/>
                    </w:rPr>
                    <w:t>均要求厂家提供碘值检测报告并根据环保文件足量添加，及时更换，设置</w:t>
                  </w:r>
                  <w:r>
                    <w:rPr>
                      <w:rFonts w:hint="eastAsia" w:eastAsiaTheme="minorEastAsia"/>
                      <w:color w:val="auto"/>
                      <w:szCs w:val="21"/>
                      <w:lang w:eastAsia="zh-CN"/>
                    </w:rPr>
                    <w:t>活性炭</w:t>
                  </w:r>
                  <w:r>
                    <w:rPr>
                      <w:rFonts w:eastAsiaTheme="minorEastAsia"/>
                      <w:color w:val="auto"/>
                      <w:szCs w:val="21"/>
                    </w:rPr>
                    <w:t>更换台账，以确保达标排放。</w:t>
                  </w:r>
                </w:p>
              </w:tc>
              <w:tc>
                <w:tcPr>
                  <w:tcW w:w="252" w:type="pct"/>
                  <w:tcBorders>
                    <w:top w:val="single" w:color="auto" w:sz="4" w:space="0"/>
                    <w:bottom w:val="single" w:color="auto" w:sz="4" w:space="0"/>
                  </w:tcBorders>
                  <w:noWrap w:val="0"/>
                  <w:vAlign w:val="center"/>
                </w:tcPr>
                <w:p w14:paraId="67F050B3">
                  <w:pPr>
                    <w:widowControl/>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18F04B4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790" w:type="pct"/>
                  <w:vMerge w:val="restart"/>
                  <w:noWrap w:val="0"/>
                  <w:vAlign w:val="center"/>
                </w:tcPr>
                <w:p w14:paraId="033A8C92">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《西咸新区大气污染防治专项行动方案（2023-2027年）》（陕西咸党发〔2023〕4号）</w:t>
                  </w:r>
                </w:p>
                <w:p w14:paraId="2AECC79F">
                  <w:pPr>
                    <w:jc w:val="center"/>
                    <w:rPr>
                      <w:rFonts w:hint="default" w:ascii="Times New Roman" w:hAnsi="Times New Roman" w:cs="Times New Roman"/>
                      <w:color w:val="auto"/>
                      <w:sz w:val="21"/>
                      <w:szCs w:val="21"/>
                      <w:highlight w:val="none"/>
                    </w:rPr>
                  </w:pPr>
                </w:p>
              </w:tc>
              <w:tc>
                <w:tcPr>
                  <w:tcW w:w="2483" w:type="pct"/>
                  <w:shd w:val="clear" w:color="auto" w:fill="auto"/>
                  <w:noWrap w:val="0"/>
                  <w:vAlign w:val="center"/>
                </w:tcPr>
                <w:p w14:paraId="5F92BECB">
                  <w:pPr>
                    <w:keepNext w:val="0"/>
                    <w:keepLines w:val="0"/>
                    <w:widowControl/>
                    <w:suppressLineNumbers w:val="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2.夏季臭氧应对行动。（3）强化VOCs末端处理工艺治理。动态更新挥发性有机物治理设施台账，开展易低效挥发性有机物治理设施清理整治、涉</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挥发性有机物处理工艺专项整治行动，强化挥发性有机物无组织排放整治，确保达到相关标准要求。新建项目不再采用低温等离子、光氧化、光催化等处理方式，非水溶性VOCs废气不再采用喷淋吸收方式处理。</w:t>
                  </w:r>
                </w:p>
              </w:tc>
              <w:tc>
                <w:tcPr>
                  <w:tcW w:w="1473" w:type="pct"/>
                  <w:shd w:val="clear" w:color="auto" w:fill="auto"/>
                  <w:noWrap w:val="0"/>
                  <w:vAlign w:val="center"/>
                </w:tcPr>
                <w:p w14:paraId="1CDE4759">
                  <w:pPr>
                    <w:keepNext w:val="0"/>
                    <w:keepLines w:val="0"/>
                    <w:widowControl/>
                    <w:suppressLineNumbers w:val="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项目加强挥发性有机物的无组织排放控制，实验废气在</w:t>
                  </w:r>
                  <w:r>
                    <w:rPr>
                      <w:rFonts w:hint="eastAsia" w:cs="Times New Roman"/>
                      <w:color w:val="auto"/>
                      <w:kern w:val="0"/>
                      <w:sz w:val="21"/>
                      <w:szCs w:val="21"/>
                      <w:highlight w:val="none"/>
                      <w:lang w:val="en-US" w:eastAsia="zh-CN" w:bidi="ar"/>
                    </w:rPr>
                    <w:t>通风橱</w:t>
                  </w:r>
                  <w:r>
                    <w:rPr>
                      <w:rFonts w:hint="default" w:ascii="Times New Roman" w:hAnsi="Times New Roman" w:eastAsia="宋体" w:cs="Times New Roman"/>
                      <w:color w:val="auto"/>
                      <w:kern w:val="0"/>
                      <w:sz w:val="21"/>
                      <w:szCs w:val="21"/>
                      <w:highlight w:val="none"/>
                      <w:lang w:val="en-US" w:eastAsia="zh-CN" w:bidi="ar"/>
                    </w:rPr>
                    <w:t>中进行收集，减少有机废气无组织排放。有机废气通过</w:t>
                  </w:r>
                  <w:r>
                    <w:rPr>
                      <w:rFonts w:hint="eastAsia" w:cs="Times New Roman"/>
                      <w:color w:val="auto"/>
                      <w:kern w:val="0"/>
                      <w:sz w:val="21"/>
                      <w:szCs w:val="21"/>
                      <w:highlight w:val="none"/>
                      <w:lang w:val="en-US" w:eastAsia="zh-CN" w:bidi="ar"/>
                    </w:rPr>
                    <w:t>二级活性炭</w:t>
                  </w:r>
                  <w:r>
                    <w:rPr>
                      <w:rFonts w:hint="default" w:ascii="Times New Roman" w:hAnsi="Times New Roman" w:eastAsia="宋体" w:cs="Times New Roman"/>
                      <w:color w:val="auto"/>
                      <w:kern w:val="0"/>
                      <w:sz w:val="21"/>
                      <w:szCs w:val="21"/>
                      <w:highlight w:val="none"/>
                      <w:lang w:val="en-US" w:eastAsia="zh-CN" w:bidi="ar"/>
                    </w:rPr>
                    <w:t>吸附处理后达标排放，定期对</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进行更换。</w:t>
                  </w:r>
                </w:p>
              </w:tc>
              <w:tc>
                <w:tcPr>
                  <w:tcW w:w="252" w:type="pct"/>
                  <w:tcBorders>
                    <w:top w:val="single" w:color="auto" w:sz="4" w:space="0"/>
                    <w:bottom w:val="single" w:color="auto" w:sz="4" w:space="0"/>
                  </w:tcBorders>
                  <w:noWrap w:val="0"/>
                  <w:vAlign w:val="center"/>
                </w:tcPr>
                <w:p w14:paraId="3F785373">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03D2BBE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790" w:type="pct"/>
                  <w:vMerge w:val="continue"/>
                  <w:noWrap w:val="0"/>
                  <w:vAlign w:val="center"/>
                </w:tcPr>
                <w:p w14:paraId="13E185B0">
                  <w:pPr>
                    <w:jc w:val="center"/>
                    <w:rPr>
                      <w:rFonts w:hint="default" w:ascii="Times New Roman" w:hAnsi="Times New Roman" w:cs="Times New Roman"/>
                      <w:color w:val="auto"/>
                      <w:sz w:val="21"/>
                      <w:szCs w:val="21"/>
                      <w:highlight w:val="none"/>
                    </w:rPr>
                  </w:pPr>
                </w:p>
              </w:tc>
              <w:tc>
                <w:tcPr>
                  <w:tcW w:w="2483" w:type="pct"/>
                  <w:shd w:val="clear" w:color="auto" w:fill="auto"/>
                  <w:noWrap w:val="0"/>
                  <w:vAlign w:val="center"/>
                </w:tcPr>
                <w:p w14:paraId="7824D70A">
                  <w:pPr>
                    <w:keepNext w:val="0"/>
                    <w:keepLines w:val="0"/>
                    <w:widowControl/>
                    <w:suppressLineNumbers w:val="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3.产业发展结构调整。（1）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p>
              </w:tc>
              <w:tc>
                <w:tcPr>
                  <w:tcW w:w="1473" w:type="pct"/>
                  <w:shd w:val="clear" w:color="auto" w:fill="auto"/>
                  <w:noWrap w:val="0"/>
                  <w:vAlign w:val="center"/>
                </w:tcPr>
                <w:p w14:paraId="7DF2F86F">
                  <w:pPr>
                    <w:keepNext w:val="0"/>
                    <w:keepLines w:val="0"/>
                    <w:widowControl/>
                    <w:suppressLineNumbers w:val="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
                    </w:rPr>
                    <w:t>项目不属于化工、石化、建材、有色行业，项目建设符合陕西省、西安市及西咸新区“十四五”产业发展规划、国家及地方产业政策、西安市“三线一单” 生态环境分区及西咸新区-沣东新城分区规划（2010-2020）要求。</w:t>
                  </w:r>
                </w:p>
              </w:tc>
              <w:tc>
                <w:tcPr>
                  <w:tcW w:w="252" w:type="pct"/>
                  <w:tcBorders>
                    <w:top w:val="single" w:color="auto" w:sz="4" w:space="0"/>
                    <w:bottom w:val="single" w:color="auto" w:sz="4" w:space="0"/>
                  </w:tcBorders>
                  <w:noWrap w:val="0"/>
                  <w:vAlign w:val="center"/>
                </w:tcPr>
                <w:p w14:paraId="06BE3DA2">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31A1584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235" w:hRule="atLeast"/>
              </w:trPr>
              <w:tc>
                <w:tcPr>
                  <w:tcW w:w="790" w:type="pct"/>
                  <w:noWrap w:val="0"/>
                  <w:vAlign w:val="center"/>
                </w:tcPr>
                <w:p w14:paraId="26E5E0EA">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《优先控制化学品名录》</w:t>
                  </w:r>
                </w:p>
              </w:tc>
              <w:tc>
                <w:tcPr>
                  <w:tcW w:w="2483" w:type="pct"/>
                  <w:noWrap w:val="0"/>
                  <w:vAlign w:val="center"/>
                </w:tcPr>
                <w:p w14:paraId="595E3C65">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对列入《名录》的化学品实行限制措施，限制在某些产品中的使用。同时还要鼓励开展相关化学品替代工作，将其纳入《国家鼓励的有毒有害原料（产品）替代品目》。</w:t>
                  </w:r>
                </w:p>
              </w:tc>
              <w:tc>
                <w:tcPr>
                  <w:tcW w:w="1473" w:type="pct"/>
                  <w:noWrap w:val="0"/>
                  <w:vAlign w:val="center"/>
                </w:tcPr>
                <w:p w14:paraId="569D816B">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本项目试验不涉及名录中的化学品。</w:t>
                  </w:r>
                  <w:r>
                    <w:rPr>
                      <w:rFonts w:hint="default" w:ascii="Times New Roman" w:hAnsi="Times New Roman" w:cs="Times New Roman"/>
                      <w:color w:val="auto"/>
                      <w:sz w:val="21"/>
                      <w:szCs w:val="21"/>
                      <w:highlight w:val="none"/>
                      <w:lang w:val="zh-CN"/>
                    </w:rPr>
                    <w:t>本项目</w:t>
                  </w:r>
                  <w:r>
                    <w:rPr>
                      <w:rFonts w:hint="default" w:ascii="Times New Roman" w:hAnsi="Times New Roman" w:cs="Times New Roman"/>
                      <w:color w:val="auto"/>
                      <w:sz w:val="21"/>
                      <w:szCs w:val="21"/>
                      <w:highlight w:val="none"/>
                      <w:lang w:val="en-US" w:eastAsia="zh-CN"/>
                    </w:rPr>
                    <w:t>试验</w:t>
                  </w:r>
                  <w:r>
                    <w:rPr>
                      <w:rFonts w:hint="default" w:ascii="Times New Roman" w:hAnsi="Times New Roman" w:cs="Times New Roman"/>
                      <w:color w:val="auto"/>
                      <w:sz w:val="21"/>
                      <w:szCs w:val="21"/>
                      <w:highlight w:val="none"/>
                    </w:rPr>
                    <w:t>过程中产生的废气收集后经过</w:t>
                  </w:r>
                  <w:r>
                    <w:rPr>
                      <w:rFonts w:hint="eastAsia" w:cs="Times New Roman"/>
                      <w:color w:val="auto"/>
                      <w:sz w:val="21"/>
                      <w:szCs w:val="21"/>
                      <w:highlight w:val="none"/>
                      <w:lang w:eastAsia="zh-CN"/>
                    </w:rPr>
                    <w:t>二级活性炭</w:t>
                  </w:r>
                  <w:r>
                    <w:rPr>
                      <w:rFonts w:hint="default" w:ascii="Times New Roman" w:hAnsi="Times New Roman" w:cs="Times New Roman"/>
                      <w:color w:val="auto"/>
                      <w:sz w:val="21"/>
                      <w:szCs w:val="21"/>
                      <w:highlight w:val="none"/>
                    </w:rPr>
                    <w:t>吸附</w:t>
                  </w:r>
                  <w:r>
                    <w:rPr>
                      <w:rFonts w:hint="default" w:ascii="Times New Roman" w:hAnsi="Times New Roman" w:cs="Times New Roman"/>
                      <w:color w:val="auto"/>
                      <w:sz w:val="21"/>
                      <w:szCs w:val="21"/>
                      <w:highlight w:val="none"/>
                      <w:lang w:val="zh-CN"/>
                    </w:rPr>
                    <w:t>处理后排放。</w:t>
                  </w:r>
                </w:p>
              </w:tc>
              <w:tc>
                <w:tcPr>
                  <w:tcW w:w="252" w:type="pct"/>
                  <w:tcBorders>
                    <w:top w:val="single" w:color="auto" w:sz="4" w:space="0"/>
                  </w:tcBorders>
                  <w:noWrap w:val="0"/>
                  <w:vAlign w:val="center"/>
                </w:tcPr>
                <w:p w14:paraId="79CE5094">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4268FE6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noWrap w:val="0"/>
                  <w:vAlign w:val="center"/>
                </w:tcPr>
                <w:p w14:paraId="3C19703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《西安市国民经济和社会发展第十四个五年规划和二〇三五年远景目标纲要》</w:t>
                  </w:r>
                </w:p>
              </w:tc>
              <w:tc>
                <w:tcPr>
                  <w:tcW w:w="2483" w:type="pct"/>
                  <w:noWrap w:val="0"/>
                  <w:vAlign w:val="center"/>
                </w:tcPr>
                <w:p w14:paraId="2F7881A6">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推动多污染物协同控制，突出细颗粒物和臭氧</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双控双减</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，全面开展挥发性有机物和氮氧化物综合治理，积极参与汾渭平原及关中地区大气污染区域联防联控。</w:t>
                  </w:r>
                </w:p>
              </w:tc>
              <w:tc>
                <w:tcPr>
                  <w:tcW w:w="1473" w:type="pct"/>
                  <w:noWrap w:val="0"/>
                  <w:vAlign w:val="center"/>
                </w:tcPr>
                <w:p w14:paraId="17792D0E">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本项目为建设工程材料的性能检测吸附试验室建设项目，项目运行期间涉及少量的挥发性有机物，有机废气收集后经过</w:t>
                  </w:r>
                  <w:r>
                    <w:rPr>
                      <w:rFonts w:hint="eastAsia" w:cs="Times New Roman"/>
                      <w:color w:val="auto"/>
                      <w:sz w:val="21"/>
                      <w:szCs w:val="21"/>
                      <w:highlight w:val="none"/>
                      <w:lang w:eastAsia="zh-CN"/>
                    </w:rPr>
                    <w:t>二级活性炭</w:t>
                  </w:r>
                  <w:r>
                    <w:rPr>
                      <w:rFonts w:hint="eastAsia" w:cs="Times New Roman"/>
                      <w:color w:val="auto"/>
                      <w:sz w:val="21"/>
                      <w:szCs w:val="21"/>
                      <w:highlight w:val="none"/>
                      <w:lang w:val="en-US" w:eastAsia="zh-CN"/>
                    </w:rPr>
                    <w:t>吸附</w:t>
                  </w:r>
                  <w:r>
                    <w:rPr>
                      <w:rFonts w:hint="default" w:ascii="Times New Roman" w:hAnsi="Times New Roman" w:cs="Times New Roman"/>
                      <w:color w:val="auto"/>
                      <w:sz w:val="21"/>
                      <w:szCs w:val="21"/>
                      <w:highlight w:val="none"/>
                    </w:rPr>
                    <w:t>后经过</w:t>
                  </w:r>
                  <w:r>
                    <w:rPr>
                      <w:rFonts w:hint="eastAsia" w:cs="Times New Roman"/>
                      <w:color w:val="auto"/>
                      <w:sz w:val="21"/>
                      <w:szCs w:val="21"/>
                      <w:highlight w:val="none"/>
                      <w:lang w:val="en-US" w:eastAsia="zh-CN"/>
                    </w:rPr>
                    <w:t>23m</w:t>
                  </w:r>
                  <w:r>
                    <w:rPr>
                      <w:rFonts w:hint="default" w:ascii="Times New Roman" w:hAnsi="Times New Roman" w:cs="Times New Roman"/>
                      <w:color w:val="auto"/>
                      <w:sz w:val="21"/>
                      <w:szCs w:val="21"/>
                      <w:highlight w:val="none"/>
                    </w:rPr>
                    <w:t>高排气筒排放。</w:t>
                  </w:r>
                </w:p>
              </w:tc>
              <w:tc>
                <w:tcPr>
                  <w:tcW w:w="252" w:type="pct"/>
                  <w:noWrap w:val="0"/>
                  <w:vAlign w:val="center"/>
                </w:tcPr>
                <w:p w14:paraId="5AF797EB">
                  <w:pPr>
                    <w:jc w:val="center"/>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lang w:val="zh-CN"/>
                    </w:rPr>
                    <w:t>符合</w:t>
                  </w:r>
                </w:p>
              </w:tc>
            </w:tr>
            <w:tr w14:paraId="7C54D88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151" w:hRule="atLeast"/>
              </w:trPr>
              <w:tc>
                <w:tcPr>
                  <w:tcW w:w="790" w:type="pct"/>
                  <w:noWrap w:val="0"/>
                  <w:vAlign w:val="center"/>
                </w:tcPr>
                <w:p w14:paraId="5725D200">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《挥发性有机物（VOCs）污染防治技术政策》（环保部2013年 第31号）</w:t>
                  </w:r>
                </w:p>
              </w:tc>
              <w:tc>
                <w:tcPr>
                  <w:tcW w:w="2483" w:type="pct"/>
                  <w:noWrap w:val="0"/>
                  <w:vAlign w:val="center"/>
                </w:tcPr>
                <w:p w14:paraId="0B8C5F29">
                  <w:pPr>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对于含低浓度VOCs的废气，有回收价值时可采用吸附技术、吸收技术对有机溶剂回收后达标排放；不宜回收时，可采用吸附浓缩燃烧技术、生物技术、吸收技术、等离子体技术或紫外光高级氧化技术等净化后达标排放</w:t>
                  </w:r>
                  <w:r>
                    <w:rPr>
                      <w:rFonts w:hint="eastAsia" w:ascii="Times New Roman" w:hAnsi="Times New Roman" w:cs="Times New Roman"/>
                      <w:color w:val="auto"/>
                      <w:sz w:val="21"/>
                      <w:szCs w:val="21"/>
                      <w:highlight w:val="none"/>
                      <w:lang w:eastAsia="zh-CN"/>
                    </w:rPr>
                    <w:t>。</w:t>
                  </w:r>
                </w:p>
              </w:tc>
              <w:tc>
                <w:tcPr>
                  <w:tcW w:w="1473" w:type="pct"/>
                  <w:noWrap w:val="0"/>
                  <w:vAlign w:val="center"/>
                </w:tcPr>
                <w:p w14:paraId="4E36F59A">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本项目的含低浓度VOCs</w:t>
                  </w:r>
                  <w:r>
                    <w:rPr>
                      <w:rFonts w:hint="eastAsia" w:cs="Times New Roman"/>
                      <w:color w:val="auto"/>
                      <w:sz w:val="21"/>
                      <w:szCs w:val="21"/>
                      <w:highlight w:val="none"/>
                      <w:lang w:val="en-US" w:eastAsia="zh-CN"/>
                    </w:rPr>
                    <w:t>废气</w:t>
                  </w:r>
                  <w:r>
                    <w:rPr>
                      <w:rFonts w:hint="default" w:ascii="Times New Roman" w:hAnsi="Times New Roman" w:cs="Times New Roman"/>
                      <w:color w:val="auto"/>
                      <w:sz w:val="21"/>
                      <w:szCs w:val="21"/>
                      <w:highlight w:val="none"/>
                    </w:rPr>
                    <w:t>经</w:t>
                  </w:r>
                  <w:r>
                    <w:rPr>
                      <w:rFonts w:hint="eastAsia" w:cs="Times New Roman"/>
                      <w:color w:val="auto"/>
                      <w:sz w:val="21"/>
                      <w:szCs w:val="21"/>
                      <w:highlight w:val="none"/>
                      <w:lang w:val="en-US" w:eastAsia="zh-CN"/>
                    </w:rPr>
                    <w:t>二级活性炭</w:t>
                  </w:r>
                  <w:r>
                    <w:rPr>
                      <w:rFonts w:hint="default" w:ascii="Times New Roman" w:hAnsi="Times New Roman" w:cs="Times New Roman"/>
                      <w:color w:val="auto"/>
                      <w:sz w:val="21"/>
                      <w:szCs w:val="21"/>
                      <w:highlight w:val="none"/>
                      <w:lang w:val="en-US" w:eastAsia="zh-CN"/>
                    </w:rPr>
                    <w:t>吸附</w:t>
                  </w:r>
                  <w:r>
                    <w:rPr>
                      <w:rFonts w:hint="eastAsia"/>
                      <w:color w:val="auto"/>
                      <w:lang w:val="en-US" w:eastAsia="zh-CN"/>
                    </w:rPr>
                    <w:t>处理</w:t>
                  </w:r>
                  <w:r>
                    <w:rPr>
                      <w:rFonts w:hint="default" w:ascii="Times New Roman" w:hAnsi="Times New Roman" w:cs="Times New Roman"/>
                      <w:color w:val="auto"/>
                      <w:sz w:val="21"/>
                      <w:szCs w:val="21"/>
                      <w:highlight w:val="none"/>
                    </w:rPr>
                    <w:t>后，</w:t>
                  </w:r>
                  <w:r>
                    <w:rPr>
                      <w:rFonts w:hint="default" w:ascii="Times New Roman" w:hAnsi="Times New Roman" w:cs="Times New Roman"/>
                      <w:color w:val="auto"/>
                      <w:sz w:val="21"/>
                      <w:szCs w:val="21"/>
                      <w:highlight w:val="none"/>
                      <w:lang w:val="en-US" w:eastAsia="zh-CN"/>
                    </w:rPr>
                    <w:t>经</w:t>
                  </w:r>
                  <w:r>
                    <w:rPr>
                      <w:rFonts w:hint="eastAsia" w:cs="Times New Roman"/>
                      <w:color w:val="auto"/>
                      <w:sz w:val="21"/>
                      <w:szCs w:val="21"/>
                      <w:highlight w:val="none"/>
                      <w:lang w:val="en-US" w:eastAsia="zh-CN"/>
                    </w:rPr>
                    <w:t>23m</w:t>
                  </w:r>
                  <w:r>
                    <w:rPr>
                      <w:rFonts w:hint="default" w:ascii="Times New Roman" w:hAnsi="Times New Roman" w:cs="Times New Roman"/>
                      <w:color w:val="auto"/>
                      <w:sz w:val="21"/>
                      <w:szCs w:val="21"/>
                      <w:highlight w:val="none"/>
                      <w:lang w:val="en-US" w:eastAsia="zh-CN"/>
                    </w:rPr>
                    <w:t>高排气筒</w:t>
                  </w:r>
                  <w:r>
                    <w:rPr>
                      <w:rFonts w:hint="default" w:ascii="Times New Roman" w:hAnsi="Times New Roman" w:cs="Times New Roman"/>
                      <w:color w:val="auto"/>
                      <w:sz w:val="21"/>
                      <w:szCs w:val="21"/>
                      <w:highlight w:val="none"/>
                    </w:rPr>
                    <w:t>达标排放，对环境影响较小。</w:t>
                  </w:r>
                </w:p>
              </w:tc>
              <w:tc>
                <w:tcPr>
                  <w:tcW w:w="252" w:type="pct"/>
                  <w:noWrap w:val="0"/>
                  <w:vAlign w:val="center"/>
                </w:tcPr>
                <w:p w14:paraId="60626FFD">
                  <w:pPr>
                    <w:jc w:val="center"/>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rPr>
                    <w:t>符合</w:t>
                  </w:r>
                </w:p>
              </w:tc>
            </w:tr>
            <w:tr w14:paraId="44454F8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restart"/>
                  <w:noWrap w:val="0"/>
                  <w:vAlign w:val="center"/>
                </w:tcPr>
                <w:p w14:paraId="18C5DDB2">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《西安市挥发性有机物整治专项实施方案（2023-2027年）》</w:t>
                  </w:r>
                </w:p>
                <w:p w14:paraId="3EFFBFB9">
                  <w:pPr>
                    <w:jc w:val="center"/>
                    <w:rPr>
                      <w:rFonts w:hint="default" w:ascii="Times New Roman" w:hAnsi="Times New Roman" w:cs="Times New Roman"/>
                      <w:color w:val="auto"/>
                      <w:sz w:val="21"/>
                      <w:szCs w:val="21"/>
                      <w:highlight w:val="none"/>
                    </w:rPr>
                  </w:pPr>
                </w:p>
              </w:tc>
              <w:tc>
                <w:tcPr>
                  <w:tcW w:w="2483" w:type="pct"/>
                  <w:noWrap w:val="0"/>
                  <w:vAlign w:val="center"/>
                </w:tcPr>
                <w:p w14:paraId="3FD5D522">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三）严格控制无组织排放。在保证安全前提下，加强含VOCs物料全方位、全链条、全环节密闭管理，做好VOCs物料储存、转移和输送、设备与管线组件泄漏、敞开液面逸散以及工艺过程等无组织排放环节的管理。生产应优先采用密闭设备、在密闭空间中操作或采用全密闭集气罩收集方式，采用全密闭集气罩或密闭空间的，除行业有特殊要求外，应保持微负压状态，并根据相关规范合理设置通风量；采用局部集气罩的，距集气罩开口面最远处的VOCs无组织排放位置控制风速应不低于0.3米/秒。对储罐和含VOCs污水处理设施开展排查，全面掌握辖区储罐和敞开液面底数，督促企业开展专项治理。</w:t>
                  </w:r>
                </w:p>
              </w:tc>
              <w:tc>
                <w:tcPr>
                  <w:tcW w:w="1473" w:type="pct"/>
                  <w:noWrap w:val="0"/>
                  <w:vAlign w:val="center"/>
                </w:tcPr>
                <w:p w14:paraId="3944706D">
                  <w:pPr>
                    <w:keepNext w:val="0"/>
                    <w:keepLines w:val="0"/>
                    <w:widowControl/>
                    <w:suppressLineNumbers w:val="0"/>
                    <w:jc w:val="both"/>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项目加强挥发性有机物的无组织排放控制，实验废气在</w:t>
                  </w:r>
                  <w:r>
                    <w:rPr>
                      <w:rFonts w:hint="eastAsia" w:cs="Times New Roman"/>
                      <w:color w:val="auto"/>
                      <w:kern w:val="0"/>
                      <w:sz w:val="21"/>
                      <w:szCs w:val="21"/>
                      <w:highlight w:val="none"/>
                      <w:lang w:val="en-US" w:eastAsia="zh-CN" w:bidi="ar"/>
                    </w:rPr>
                    <w:t>通风橱</w:t>
                  </w:r>
                  <w:r>
                    <w:rPr>
                      <w:rFonts w:hint="default" w:ascii="Times New Roman" w:hAnsi="Times New Roman" w:eastAsia="宋体" w:cs="Times New Roman"/>
                      <w:color w:val="auto"/>
                      <w:kern w:val="0"/>
                      <w:sz w:val="21"/>
                      <w:szCs w:val="21"/>
                      <w:highlight w:val="none"/>
                      <w:lang w:val="en-US" w:eastAsia="zh-CN" w:bidi="ar"/>
                    </w:rPr>
                    <w:t>中进行收集，减少有机废气无组织排放。</w:t>
                  </w:r>
                </w:p>
              </w:tc>
              <w:tc>
                <w:tcPr>
                  <w:tcW w:w="252" w:type="pct"/>
                  <w:noWrap w:val="0"/>
                  <w:vAlign w:val="center"/>
                </w:tcPr>
                <w:p w14:paraId="4619D425">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7B27671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7424BBAA">
                  <w:pPr>
                    <w:jc w:val="center"/>
                    <w:rPr>
                      <w:rFonts w:hint="default" w:ascii="Times New Roman" w:hAnsi="Times New Roman" w:cs="Times New Roman"/>
                      <w:color w:val="auto"/>
                      <w:sz w:val="21"/>
                      <w:szCs w:val="21"/>
                      <w:highlight w:val="none"/>
                    </w:rPr>
                  </w:pPr>
                </w:p>
              </w:tc>
              <w:tc>
                <w:tcPr>
                  <w:tcW w:w="2483" w:type="pct"/>
                  <w:noWrap w:val="0"/>
                  <w:vAlign w:val="center"/>
                </w:tcPr>
                <w:p w14:paraId="48579092">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四）强化涉活性炭VOCs处理工艺治理。采用活性炭吸附技术的企业，其中颗粒碳碘吸附值不低于项目强化活性炭吸附处理工艺，项目使用的活性炭为蜂窝活性炭，碘吸附值不低于800mg/g或四氯化碳吸附率不低于60%，蜂窝活性炭碘吸附值不低于600mg/g或四氯化碳吸附率不低于30%，按设计要求足量添加、定期更换，动态更新挥发性有机物治理设施台账。组织开展活性炭技术等VOCs治理设施排查，对达不到要求的，应当更换或升级改造，实现稳定达标排放。</w:t>
                  </w:r>
                </w:p>
              </w:tc>
              <w:tc>
                <w:tcPr>
                  <w:tcW w:w="1473" w:type="pct"/>
                  <w:noWrap w:val="0"/>
                  <w:vAlign w:val="center"/>
                </w:tcPr>
                <w:p w14:paraId="4ED6413B">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项目强化</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吸附处理工艺，项目使用</w:t>
                  </w:r>
                  <w:r>
                    <w:rPr>
                      <w:rFonts w:hint="eastAsia" w:cs="Times New Roman"/>
                      <w:color w:val="auto"/>
                      <w:kern w:val="0"/>
                      <w:sz w:val="21"/>
                      <w:szCs w:val="21"/>
                      <w:highlight w:val="none"/>
                      <w:lang w:val="en-US" w:eastAsia="zh-CN" w:bidi="ar"/>
                    </w:rPr>
                    <w:t>二级活性炭</w:t>
                  </w:r>
                  <w:r>
                    <w:rPr>
                      <w:rFonts w:hint="default" w:ascii="Times New Roman" w:hAnsi="Times New Roman" w:eastAsia="宋体" w:cs="Times New Roman"/>
                      <w:color w:val="auto"/>
                      <w:kern w:val="0"/>
                      <w:sz w:val="21"/>
                      <w:szCs w:val="21"/>
                      <w:highlight w:val="none"/>
                      <w:lang w:val="en-US" w:eastAsia="zh-CN" w:bidi="ar"/>
                    </w:rPr>
                    <w:t>吸附装置，</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采用蜂窝式</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，碘吸附值大于600mg/g；运营期定期更换</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，定期更新挥发性有机物治理设施台账，保证有机废气治理设施正常运行，挥发性污染物达标排放。</w:t>
                  </w:r>
                </w:p>
              </w:tc>
              <w:tc>
                <w:tcPr>
                  <w:tcW w:w="252" w:type="pct"/>
                  <w:noWrap w:val="0"/>
                  <w:vAlign w:val="center"/>
                </w:tcPr>
                <w:p w14:paraId="585E2265">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7A967A52">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restart"/>
                  <w:noWrap w:val="0"/>
                  <w:vAlign w:val="center"/>
                </w:tcPr>
                <w:p w14:paraId="4FA77797">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《西安市生态环境局关于加强挥发性有机物</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吸附处理设施运行管理工作的通知》（市环发〔2022〕65号）</w:t>
                  </w:r>
                </w:p>
              </w:tc>
              <w:tc>
                <w:tcPr>
                  <w:tcW w:w="2483" w:type="pct"/>
                  <w:noWrap w:val="0"/>
                  <w:vAlign w:val="center"/>
                </w:tcPr>
                <w:p w14:paraId="0EBBEA20">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一）规范治理技术。涉气企业根据当前有关VOCs治理的法律法规、技术规范、政策文件等要求，选择合理的治理工艺除恶臭异味治理外，淘汰单一使用低温等离子、光催化氧化、活性炭吸附棉、水喷淋等低效处理工艺或其组合工艺。原料VOCs浓度高、排放总量较大的生产工艺原则上采用RTO、RCO等高效处理技术。</w:t>
                  </w:r>
                </w:p>
              </w:tc>
              <w:tc>
                <w:tcPr>
                  <w:tcW w:w="1473" w:type="pct"/>
                  <w:noWrap w:val="0"/>
                  <w:vAlign w:val="center"/>
                </w:tcPr>
                <w:p w14:paraId="22634928">
                  <w:pPr>
                    <w:widowControl/>
                    <w:ind w:firstLine="0" w:firstLineChars="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项目</w:t>
                  </w:r>
                  <w:r>
                    <w:rPr>
                      <w:rFonts w:hint="eastAsia" w:cs="Times New Roman"/>
                      <w:color w:val="auto"/>
                      <w:kern w:val="0"/>
                      <w:sz w:val="21"/>
                      <w:szCs w:val="21"/>
                      <w:highlight w:val="none"/>
                      <w:lang w:val="en-US" w:eastAsia="zh-CN" w:bidi="ar"/>
                    </w:rPr>
                    <w:t>实验室运行会产生少量有机废气，</w:t>
                  </w:r>
                  <w:r>
                    <w:rPr>
                      <w:rFonts w:hint="default" w:ascii="Times New Roman" w:hAnsi="Times New Roman" w:eastAsia="宋体" w:cs="Times New Roman"/>
                      <w:color w:val="auto"/>
                      <w:kern w:val="0"/>
                      <w:sz w:val="21"/>
                      <w:szCs w:val="21"/>
                      <w:highlight w:val="none"/>
                      <w:lang w:val="en-US" w:eastAsia="zh-CN" w:bidi="ar"/>
                    </w:rPr>
                    <w:t>使用</w:t>
                  </w:r>
                  <w:r>
                    <w:rPr>
                      <w:rFonts w:hint="eastAsia" w:cs="Times New Roman"/>
                      <w:color w:val="auto"/>
                      <w:kern w:val="0"/>
                      <w:sz w:val="21"/>
                      <w:szCs w:val="21"/>
                      <w:highlight w:val="none"/>
                      <w:lang w:val="en-US" w:eastAsia="zh-CN" w:bidi="ar"/>
                    </w:rPr>
                    <w:t>二级活性炭</w:t>
                  </w:r>
                  <w:r>
                    <w:rPr>
                      <w:rFonts w:hint="default" w:ascii="Times New Roman" w:hAnsi="Times New Roman" w:eastAsia="宋体" w:cs="Times New Roman"/>
                      <w:color w:val="auto"/>
                      <w:kern w:val="0"/>
                      <w:sz w:val="21"/>
                      <w:szCs w:val="21"/>
                      <w:highlight w:val="none"/>
                      <w:lang w:val="en-US" w:eastAsia="zh-CN" w:bidi="ar"/>
                    </w:rPr>
                    <w:t>吸附装置对有机废气进行处理，有机废气达标排放。</w:t>
                  </w:r>
                </w:p>
              </w:tc>
              <w:tc>
                <w:tcPr>
                  <w:tcW w:w="252" w:type="pct"/>
                  <w:noWrap w:val="0"/>
                  <w:vAlign w:val="center"/>
                </w:tcPr>
                <w:p w14:paraId="48EC249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3136063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008EFB46">
                  <w:pPr>
                    <w:jc w:val="center"/>
                    <w:rPr>
                      <w:rFonts w:hint="default" w:ascii="Times New Roman" w:hAnsi="Times New Roman" w:cs="Times New Roman"/>
                      <w:color w:val="auto"/>
                      <w:sz w:val="21"/>
                      <w:szCs w:val="21"/>
                      <w:highlight w:val="none"/>
                    </w:rPr>
                  </w:pPr>
                </w:p>
              </w:tc>
              <w:tc>
                <w:tcPr>
                  <w:tcW w:w="2483" w:type="pct"/>
                  <w:noWrap w:val="0"/>
                  <w:vAlign w:val="center"/>
                </w:tcPr>
                <w:p w14:paraId="5F813FD6">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二）保证活性炭质量。企业购置活性炭必须提供活性炭检测报告，技术指标至少应包括水分含量、耐磨强度(颗粒活性炭)、抗压强度(蜂窝活性炭)、碘吸附值、四氯化碳吸附率、着火点等。活性炭技术指标应符合《工业有机废气净化用活性炭技术指标及试验方法》（LY/T3284）规定的优级活性炭指标要求。</w:t>
                  </w:r>
                </w:p>
              </w:tc>
              <w:tc>
                <w:tcPr>
                  <w:tcW w:w="1473" w:type="pct"/>
                  <w:noWrap w:val="0"/>
                  <w:vAlign w:val="center"/>
                </w:tcPr>
                <w:p w14:paraId="201C1745">
                  <w:pPr>
                    <w:keepNext w:val="0"/>
                    <w:keepLines w:val="0"/>
                    <w:widowControl/>
                    <w:suppressLineNumbers w:val="0"/>
                    <w:jc w:val="both"/>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建设单位购置符合《工业有机废气净化用</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技术指标及试验方法》</w:t>
                  </w:r>
                  <w:r>
                    <w:rPr>
                      <w:rFonts w:hint="eastAsia" w:cs="Times New Roman"/>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LY/T3284）规定的蜂窝式</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，要求</w:t>
                  </w:r>
                  <w:r>
                    <w:rPr>
                      <w:rFonts w:hint="eastAsia" w:cs="Times New Roman"/>
                      <w:color w:val="auto"/>
                      <w:kern w:val="0"/>
                      <w:sz w:val="21"/>
                      <w:szCs w:val="21"/>
                      <w:highlight w:val="none"/>
                      <w:lang w:val="en-US" w:eastAsia="zh-CN" w:bidi="ar"/>
                    </w:rPr>
                    <w:t>供应商</w:t>
                  </w:r>
                  <w:r>
                    <w:rPr>
                      <w:rFonts w:hint="default" w:ascii="Times New Roman" w:hAnsi="Times New Roman" w:eastAsia="宋体" w:cs="Times New Roman"/>
                      <w:color w:val="auto"/>
                      <w:kern w:val="0"/>
                      <w:sz w:val="21"/>
                      <w:szCs w:val="21"/>
                      <w:highlight w:val="none"/>
                      <w:lang w:val="en-US" w:eastAsia="zh-CN" w:bidi="ar"/>
                    </w:rPr>
                    <w:t>提供</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检测报告，技术指标包括水分含量、碘吸附值、四氯化碳吸附率、着火点等。</w:t>
                  </w:r>
                </w:p>
              </w:tc>
              <w:tc>
                <w:tcPr>
                  <w:tcW w:w="252" w:type="pct"/>
                  <w:noWrap w:val="0"/>
                  <w:vAlign w:val="center"/>
                </w:tcPr>
                <w:p w14:paraId="439C77D4">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4BA774D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05CEA8B8">
                  <w:pPr>
                    <w:jc w:val="center"/>
                    <w:rPr>
                      <w:rFonts w:hint="default" w:ascii="Times New Roman" w:hAnsi="Times New Roman" w:cs="Times New Roman"/>
                      <w:color w:val="auto"/>
                      <w:sz w:val="21"/>
                      <w:szCs w:val="21"/>
                      <w:highlight w:val="none"/>
                    </w:rPr>
                  </w:pPr>
                </w:p>
              </w:tc>
              <w:tc>
                <w:tcPr>
                  <w:tcW w:w="2483" w:type="pct"/>
                  <w:noWrap w:val="0"/>
                  <w:vAlign w:val="center"/>
                </w:tcPr>
                <w:p w14:paraId="0A8CDBE2">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（三）明确填充量并及时更换。企业应当根据风量和VOC</w:t>
                  </w:r>
                  <w:r>
                    <w:rPr>
                      <w:rFonts w:hint="eastAsia" w:cs="Times New Roman"/>
                      <w:color w:val="auto"/>
                      <w:kern w:val="0"/>
                      <w:sz w:val="21"/>
                      <w:szCs w:val="21"/>
                      <w:highlight w:val="none"/>
                      <w:lang w:val="en-US" w:eastAsia="zh-CN" w:bidi="ar"/>
                    </w:rPr>
                    <w:t>s</w:t>
                  </w:r>
                  <w:r>
                    <w:rPr>
                      <w:rFonts w:hint="default" w:ascii="Times New Roman" w:hAnsi="Times New Roman" w:eastAsia="宋体" w:cs="Times New Roman"/>
                      <w:color w:val="auto"/>
                      <w:kern w:val="0"/>
                      <w:sz w:val="21"/>
                      <w:szCs w:val="21"/>
                      <w:highlight w:val="none"/>
                      <w:lang w:val="en-US" w:eastAsia="zh-CN" w:bidi="ar"/>
                    </w:rPr>
                    <w:t>初始浓度范围，明确活性炭的填充量、填</w:t>
                  </w:r>
                  <w:r>
                    <w:rPr>
                      <w:rFonts w:hint="eastAsia" w:cs="Times New Roman"/>
                      <w:color w:val="auto"/>
                      <w:kern w:val="0"/>
                      <w:sz w:val="21"/>
                      <w:szCs w:val="21"/>
                      <w:highlight w:val="none"/>
                      <w:lang w:val="en-US" w:eastAsia="zh-CN" w:bidi="ar"/>
                    </w:rPr>
                    <w:t>充</w:t>
                  </w:r>
                  <w:r>
                    <w:rPr>
                      <w:rFonts w:hint="default" w:ascii="Times New Roman" w:hAnsi="Times New Roman" w:eastAsia="宋体" w:cs="Times New Roman"/>
                      <w:color w:val="auto"/>
                      <w:kern w:val="0"/>
                      <w:sz w:val="21"/>
                      <w:szCs w:val="21"/>
                      <w:highlight w:val="none"/>
                      <w:lang w:val="en-US" w:eastAsia="zh-CN" w:bidi="ar"/>
                    </w:rPr>
                    <w:t>厚度和更换时间。</w:t>
                  </w:r>
                </w:p>
              </w:tc>
              <w:tc>
                <w:tcPr>
                  <w:tcW w:w="1473" w:type="pct"/>
                  <w:noWrap w:val="0"/>
                  <w:vAlign w:val="center"/>
                </w:tcPr>
                <w:p w14:paraId="386E040A">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要求建设单位明确</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填充量、填充厚度和更换时间。</w:t>
                  </w:r>
                </w:p>
              </w:tc>
              <w:tc>
                <w:tcPr>
                  <w:tcW w:w="252" w:type="pct"/>
                  <w:noWrap w:val="0"/>
                  <w:vAlign w:val="center"/>
                </w:tcPr>
                <w:p w14:paraId="59E86A27">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4D59427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0BCB9F90">
                  <w:pPr>
                    <w:jc w:val="center"/>
                    <w:rPr>
                      <w:rFonts w:hint="default" w:ascii="Times New Roman" w:hAnsi="Times New Roman" w:cs="Times New Roman"/>
                      <w:color w:val="auto"/>
                      <w:sz w:val="21"/>
                      <w:szCs w:val="21"/>
                      <w:highlight w:val="none"/>
                    </w:rPr>
                  </w:pPr>
                </w:p>
              </w:tc>
              <w:tc>
                <w:tcPr>
                  <w:tcW w:w="2483" w:type="pct"/>
                  <w:noWrap w:val="0"/>
                  <w:vAlign w:val="center"/>
                </w:tcPr>
                <w:p w14:paraId="27B15E93">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（四）保证收集效率。涉气企业应委托专家评估现有废气治理工艺，重点对密闭收集时的吸风风量、换气次数和微负压状态进行现场核实。</w:t>
                  </w:r>
                </w:p>
              </w:tc>
              <w:tc>
                <w:tcPr>
                  <w:tcW w:w="1473" w:type="pct"/>
                  <w:noWrap w:val="0"/>
                  <w:vAlign w:val="center"/>
                </w:tcPr>
                <w:p w14:paraId="6FD9431B">
                  <w:pPr>
                    <w:keepNext w:val="0"/>
                    <w:keepLines w:val="0"/>
                    <w:widowControl/>
                    <w:suppressLineNumbers w:val="0"/>
                    <w:jc w:val="both"/>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kern w:val="0"/>
                      <w:sz w:val="21"/>
                      <w:szCs w:val="21"/>
                      <w:highlight w:val="none"/>
                      <w:lang w:val="en-US" w:eastAsia="zh-CN" w:bidi="ar"/>
                    </w:rPr>
                    <w:t>项目加强废气的收集，实验废气经负压的</w:t>
                  </w:r>
                  <w:r>
                    <w:rPr>
                      <w:rFonts w:hint="eastAsia" w:cs="Times New Roman"/>
                      <w:color w:val="auto"/>
                      <w:kern w:val="0"/>
                      <w:sz w:val="21"/>
                      <w:szCs w:val="21"/>
                      <w:highlight w:val="none"/>
                      <w:lang w:val="en-US" w:eastAsia="zh-CN" w:bidi="ar"/>
                    </w:rPr>
                    <w:t>通风橱</w:t>
                  </w:r>
                  <w:r>
                    <w:rPr>
                      <w:rFonts w:hint="default" w:ascii="Times New Roman" w:hAnsi="Times New Roman" w:eastAsia="宋体" w:cs="Times New Roman"/>
                      <w:color w:val="auto"/>
                      <w:kern w:val="0"/>
                      <w:sz w:val="21"/>
                      <w:szCs w:val="21"/>
                      <w:highlight w:val="none"/>
                      <w:lang w:val="en-US" w:eastAsia="zh-CN" w:bidi="ar"/>
                    </w:rPr>
                    <w:t>收集，加强废气的收集。</w:t>
                  </w:r>
                </w:p>
              </w:tc>
              <w:tc>
                <w:tcPr>
                  <w:tcW w:w="252" w:type="pct"/>
                  <w:noWrap w:val="0"/>
                  <w:vAlign w:val="center"/>
                </w:tcPr>
                <w:p w14:paraId="60ADF300">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32DC9B1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19D08419">
                  <w:pPr>
                    <w:jc w:val="center"/>
                    <w:rPr>
                      <w:rFonts w:hint="default" w:ascii="Times New Roman" w:hAnsi="Times New Roman" w:cs="Times New Roman"/>
                      <w:color w:val="auto"/>
                      <w:sz w:val="21"/>
                      <w:szCs w:val="21"/>
                      <w:highlight w:val="none"/>
                    </w:rPr>
                  </w:pPr>
                </w:p>
              </w:tc>
              <w:tc>
                <w:tcPr>
                  <w:tcW w:w="2483" w:type="pct"/>
                  <w:noWrap w:val="0"/>
                  <w:vAlign w:val="center"/>
                </w:tcPr>
                <w:p w14:paraId="62A5B8AA">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（五）严格控制无组织排放。含VOCs废料（渣、液）以及VOCs物料废包装物等属于危险废物的应密封储存于危废储存间。</w:t>
                  </w:r>
                </w:p>
              </w:tc>
              <w:tc>
                <w:tcPr>
                  <w:tcW w:w="1473" w:type="pct"/>
                  <w:noWrap w:val="0"/>
                  <w:vAlign w:val="center"/>
                </w:tcPr>
                <w:p w14:paraId="63EBE8A3">
                  <w:pPr>
                    <w:keepNext w:val="0"/>
                    <w:keepLines w:val="0"/>
                    <w:widowControl/>
                    <w:suppressLineNumbers w:val="0"/>
                    <w:jc w:val="both"/>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项目危险废物置于密封危废收集桶中，减少非甲烷总烃的排放，危险废物暂存于</w:t>
                  </w:r>
                  <w:r>
                    <w:rPr>
                      <w:rFonts w:hint="eastAsia" w:cs="Times New Roman"/>
                      <w:color w:val="auto"/>
                      <w:kern w:val="0"/>
                      <w:sz w:val="21"/>
                      <w:szCs w:val="21"/>
                      <w:highlight w:val="none"/>
                      <w:lang w:val="en-US" w:eastAsia="zh-CN" w:bidi="ar"/>
                    </w:rPr>
                    <w:t>危废贮存库</w:t>
                  </w:r>
                  <w:r>
                    <w:rPr>
                      <w:rFonts w:hint="default" w:ascii="Times New Roman" w:hAnsi="Times New Roman" w:eastAsia="宋体" w:cs="Times New Roman"/>
                      <w:color w:val="auto"/>
                      <w:kern w:val="0"/>
                      <w:sz w:val="21"/>
                      <w:szCs w:val="21"/>
                      <w:highlight w:val="none"/>
                      <w:lang w:val="en-US" w:eastAsia="zh-CN" w:bidi="ar"/>
                    </w:rPr>
                    <w:t>。</w:t>
                  </w:r>
                </w:p>
              </w:tc>
              <w:tc>
                <w:tcPr>
                  <w:tcW w:w="252" w:type="pct"/>
                  <w:noWrap w:val="0"/>
                  <w:vAlign w:val="center"/>
                </w:tcPr>
                <w:p w14:paraId="4CDBBD2A">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15759F97">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1821961C">
                  <w:pPr>
                    <w:jc w:val="center"/>
                    <w:rPr>
                      <w:rFonts w:hint="default" w:ascii="Times New Roman" w:hAnsi="Times New Roman" w:cs="Times New Roman"/>
                      <w:color w:val="auto"/>
                      <w:sz w:val="21"/>
                      <w:szCs w:val="21"/>
                      <w:highlight w:val="none"/>
                    </w:rPr>
                  </w:pPr>
                </w:p>
              </w:tc>
              <w:tc>
                <w:tcPr>
                  <w:tcW w:w="2483" w:type="pct"/>
                  <w:noWrap w:val="0"/>
                  <w:vAlign w:val="center"/>
                </w:tcPr>
                <w:p w14:paraId="137111A1">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（六）严格危废管理。产生废活性炭的企业，必须与有许可证的危废经营单位签订危废处置协议。</w:t>
                  </w:r>
                </w:p>
              </w:tc>
              <w:tc>
                <w:tcPr>
                  <w:tcW w:w="1473" w:type="pct"/>
                  <w:noWrap w:val="0"/>
                  <w:vAlign w:val="center"/>
                </w:tcPr>
                <w:p w14:paraId="62320AE8">
                  <w:pPr>
                    <w:keepNext w:val="0"/>
                    <w:keepLines w:val="0"/>
                    <w:widowControl/>
                    <w:suppressLineNumbers w:val="0"/>
                    <w:jc w:val="both"/>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建设单位加强危废管理，与有危废许可证的单位签订协议，危废交由有资质单位处置。</w:t>
                  </w:r>
                </w:p>
              </w:tc>
              <w:tc>
                <w:tcPr>
                  <w:tcW w:w="252" w:type="pct"/>
                  <w:noWrap w:val="0"/>
                  <w:vAlign w:val="center"/>
                </w:tcPr>
                <w:p w14:paraId="3CB18900">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0160BA6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46881646">
                  <w:pPr>
                    <w:jc w:val="center"/>
                    <w:rPr>
                      <w:rFonts w:hint="default" w:ascii="Times New Roman" w:hAnsi="Times New Roman" w:cs="Times New Roman"/>
                      <w:color w:val="auto"/>
                      <w:sz w:val="21"/>
                      <w:szCs w:val="21"/>
                      <w:highlight w:val="none"/>
                    </w:rPr>
                  </w:pPr>
                </w:p>
              </w:tc>
              <w:tc>
                <w:tcPr>
                  <w:tcW w:w="2483" w:type="pct"/>
                  <w:noWrap w:val="0"/>
                  <w:vAlign w:val="center"/>
                </w:tcPr>
                <w:p w14:paraId="254D18AB">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（八）鼓励循环再生活性炭。鼓励企业使用优质可循环使用的活性炭，并与有资质的企业签订废旧活性炭的收集、转运、循环利用服务协议，提高治理效率，减少危险废物产生。</w:t>
                  </w:r>
                </w:p>
              </w:tc>
              <w:tc>
                <w:tcPr>
                  <w:tcW w:w="1473" w:type="pct"/>
                  <w:noWrap w:val="0"/>
                  <w:vAlign w:val="center"/>
                </w:tcPr>
                <w:p w14:paraId="2FA60238">
                  <w:pPr>
                    <w:keepNext w:val="0"/>
                    <w:keepLines w:val="0"/>
                    <w:widowControl/>
                    <w:suppressLineNumbers w:val="0"/>
                    <w:jc w:val="both"/>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本项目运营期产生的废</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较少，</w:t>
                  </w:r>
                  <w:r>
                    <w:rPr>
                      <w:rFonts w:hint="eastAsia" w:cs="Times New Roman"/>
                      <w:color w:val="auto"/>
                      <w:kern w:val="0"/>
                      <w:sz w:val="21"/>
                      <w:szCs w:val="21"/>
                      <w:highlight w:val="none"/>
                      <w:lang w:val="en-US" w:eastAsia="zh-CN" w:bidi="ar"/>
                    </w:rPr>
                    <w:t>危废贮存库</w:t>
                  </w:r>
                  <w:r>
                    <w:rPr>
                      <w:rFonts w:hint="default" w:ascii="Times New Roman" w:hAnsi="Times New Roman" w:eastAsia="宋体" w:cs="Times New Roman"/>
                      <w:color w:val="auto"/>
                      <w:kern w:val="0"/>
                      <w:sz w:val="21"/>
                      <w:szCs w:val="21"/>
                      <w:highlight w:val="none"/>
                      <w:lang w:val="en-US" w:eastAsia="zh-CN" w:bidi="ar"/>
                    </w:rPr>
                    <w:t>收集后定期交由有资质单位处置。</w:t>
                  </w:r>
                </w:p>
              </w:tc>
              <w:tc>
                <w:tcPr>
                  <w:tcW w:w="252" w:type="pct"/>
                  <w:noWrap w:val="0"/>
                  <w:vAlign w:val="center"/>
                </w:tcPr>
                <w:p w14:paraId="3A1E5DA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1BE9153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25AB850B">
                  <w:pPr>
                    <w:jc w:val="center"/>
                    <w:rPr>
                      <w:rFonts w:hint="default" w:ascii="Times New Roman" w:hAnsi="Times New Roman" w:cs="Times New Roman"/>
                      <w:color w:val="auto"/>
                      <w:sz w:val="21"/>
                      <w:szCs w:val="21"/>
                      <w:highlight w:val="none"/>
                    </w:rPr>
                  </w:pPr>
                </w:p>
              </w:tc>
              <w:tc>
                <w:tcPr>
                  <w:tcW w:w="2483" w:type="pct"/>
                  <w:noWrap w:val="0"/>
                  <w:vAlign w:val="center"/>
                </w:tcPr>
                <w:p w14:paraId="26C2D41E">
                  <w:pPr>
                    <w:keepNext w:val="0"/>
                    <w:keepLines w:val="0"/>
                    <w:widowControl/>
                    <w:suppressLineNumbers w:val="0"/>
                    <w:jc w:val="left"/>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（九）完善台账记录。企业应按要求做好活性炭吸附日常运行维护台账记录，台账内容应包括开启时间、关停时间、更换时间</w:t>
                  </w:r>
                  <w:r>
                    <w:rPr>
                      <w:rFonts w:hint="eastAsia" w:cs="Times New Roman"/>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更换照片、装填数量、设计参数、风量等，以及活性炭主要技术指标检测合格材料。环境管理台账记录保存期限不得少于5年。</w:t>
                  </w:r>
                </w:p>
              </w:tc>
              <w:tc>
                <w:tcPr>
                  <w:tcW w:w="1473" w:type="pct"/>
                  <w:noWrap w:val="0"/>
                  <w:vAlign w:val="center"/>
                </w:tcPr>
                <w:p w14:paraId="09419C06">
                  <w:pPr>
                    <w:keepNext w:val="0"/>
                    <w:keepLines w:val="0"/>
                    <w:widowControl/>
                    <w:suppressLineNumbers w:val="0"/>
                    <w:jc w:val="both"/>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bidi="ar"/>
                    </w:rPr>
                    <w:t>本次环评要求建设单位制定废气处理设施日常运行维护管理台账，台账内容包括废气处理设施开启时间、关停时间、更换时间/照片、装填数量、设计参数、风量等，保存</w:t>
                  </w:r>
                  <w:r>
                    <w:rPr>
                      <w:rFonts w:hint="eastAsia" w:cs="Times New Roman"/>
                      <w:color w:val="auto"/>
                      <w:kern w:val="0"/>
                      <w:sz w:val="21"/>
                      <w:szCs w:val="21"/>
                      <w:highlight w:val="none"/>
                      <w:lang w:val="en-US" w:eastAsia="zh-CN" w:bidi="ar"/>
                    </w:rPr>
                    <w:t>活性炭</w:t>
                  </w:r>
                  <w:r>
                    <w:rPr>
                      <w:rFonts w:hint="default" w:ascii="Times New Roman" w:hAnsi="Times New Roman" w:eastAsia="宋体" w:cs="Times New Roman"/>
                      <w:color w:val="auto"/>
                      <w:kern w:val="0"/>
                      <w:sz w:val="21"/>
                      <w:szCs w:val="21"/>
                      <w:highlight w:val="none"/>
                      <w:lang w:val="en-US" w:eastAsia="zh-CN" w:bidi="ar"/>
                    </w:rPr>
                    <w:t>主要技术指标检测合格材料，记录保存期限不少于5年。</w:t>
                  </w:r>
                </w:p>
              </w:tc>
              <w:tc>
                <w:tcPr>
                  <w:tcW w:w="252" w:type="pct"/>
                  <w:noWrap w:val="0"/>
                  <w:vAlign w:val="center"/>
                </w:tcPr>
                <w:p w14:paraId="62080728">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62FFEF6D">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noWrap w:val="0"/>
                  <w:vAlign w:val="center"/>
                </w:tcPr>
                <w:p w14:paraId="7766DBF1">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 xml:space="preserve">《陕西省 </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十四五</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生态环境保护规划》</w:t>
                  </w:r>
                </w:p>
              </w:tc>
              <w:tc>
                <w:tcPr>
                  <w:tcW w:w="2483" w:type="pct"/>
                  <w:noWrap w:val="0"/>
                  <w:vAlign w:val="center"/>
                </w:tcPr>
                <w:p w14:paraId="33F05C0C">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全面落实《挥发性有机物无组织排放控制标准（GB37822-2019）》要求，局部气体收集措施，输送管道应密闭，收集系统应在负压下运行。</w:t>
                  </w:r>
                </w:p>
              </w:tc>
              <w:tc>
                <w:tcPr>
                  <w:tcW w:w="1473" w:type="pct"/>
                  <w:noWrap w:val="0"/>
                  <w:vAlign w:val="center"/>
                </w:tcPr>
                <w:p w14:paraId="4F8E97D7">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本项目采用</w:t>
                  </w:r>
                  <w:r>
                    <w:rPr>
                      <w:rFonts w:hint="eastAsia" w:cs="Times New Roman"/>
                      <w:color w:val="auto"/>
                      <w:sz w:val="21"/>
                      <w:szCs w:val="21"/>
                      <w:highlight w:val="none"/>
                      <w:lang w:val="en-US" w:eastAsia="zh-CN"/>
                    </w:rPr>
                    <w:t>通风橱</w:t>
                  </w:r>
                  <w:r>
                    <w:rPr>
                      <w:rFonts w:hint="default" w:ascii="Times New Roman" w:hAnsi="Times New Roman" w:cs="Times New Roman"/>
                      <w:color w:val="auto"/>
                      <w:sz w:val="21"/>
                      <w:szCs w:val="21"/>
                      <w:highlight w:val="none"/>
                    </w:rPr>
                    <w:t>或集气罩负压收集有机废气，收集效率</w:t>
                  </w:r>
                  <w:r>
                    <w:rPr>
                      <w:rFonts w:hint="eastAsia" w:cs="Times New Roman"/>
                      <w:color w:val="auto"/>
                      <w:sz w:val="21"/>
                      <w:szCs w:val="21"/>
                      <w:highlight w:val="none"/>
                      <w:lang w:val="en-US" w:eastAsia="zh-CN"/>
                    </w:rPr>
                    <w:t>8</w:t>
                  </w:r>
                  <w:r>
                    <w:rPr>
                      <w:rFonts w:hint="default" w:ascii="Times New Roman" w:hAnsi="Times New Roman" w:cs="Times New Roman"/>
                      <w:color w:val="auto"/>
                      <w:sz w:val="21"/>
                      <w:szCs w:val="21"/>
                      <w:highlight w:val="none"/>
                    </w:rPr>
                    <w:t>0%。</w:t>
                  </w:r>
                </w:p>
              </w:tc>
              <w:tc>
                <w:tcPr>
                  <w:tcW w:w="252" w:type="pct"/>
                  <w:noWrap w:val="0"/>
                  <w:vAlign w:val="center"/>
                </w:tcPr>
                <w:p w14:paraId="2212A45F">
                  <w:pPr>
                    <w:jc w:val="center"/>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rPr>
                    <w:t>符合</w:t>
                  </w:r>
                </w:p>
              </w:tc>
            </w:tr>
            <w:tr w14:paraId="271F4DA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noWrap w:val="0"/>
                  <w:vAlign w:val="center"/>
                </w:tcPr>
                <w:p w14:paraId="545DD6B3">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《西安市</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十四五</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生态环境保护规划》</w:t>
                  </w:r>
                </w:p>
              </w:tc>
              <w:tc>
                <w:tcPr>
                  <w:tcW w:w="2483" w:type="pct"/>
                  <w:noWrap w:val="0"/>
                  <w:vAlign w:val="center"/>
                </w:tcPr>
                <w:p w14:paraId="7CD299AB">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强化VOCs综合整治。将挥发性有机物纳入污染物排放总量控制体系，有效减少重点污染源、全社会挥发性有机物和NOx排放总量。</w:t>
                  </w:r>
                </w:p>
              </w:tc>
              <w:tc>
                <w:tcPr>
                  <w:tcW w:w="1473" w:type="pct"/>
                  <w:noWrap w:val="0"/>
                  <w:vAlign w:val="center"/>
                </w:tcPr>
                <w:p w14:paraId="20F6F8B8">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本项目的含低浓度VOCs经</w:t>
                  </w:r>
                  <w:r>
                    <w:rPr>
                      <w:rFonts w:hint="eastAsia" w:cs="Times New Roman"/>
                      <w:color w:val="auto"/>
                      <w:sz w:val="21"/>
                      <w:szCs w:val="21"/>
                      <w:highlight w:val="none"/>
                      <w:lang w:eastAsia="zh-CN"/>
                    </w:rPr>
                    <w:t>二级活性炭</w:t>
                  </w:r>
                  <w:r>
                    <w:rPr>
                      <w:rFonts w:hint="default" w:ascii="Times New Roman" w:hAnsi="Times New Roman" w:cs="Times New Roman"/>
                      <w:color w:val="auto"/>
                      <w:sz w:val="21"/>
                      <w:szCs w:val="21"/>
                      <w:highlight w:val="none"/>
                    </w:rPr>
                    <w:t>吸附</w:t>
                  </w:r>
                  <w:r>
                    <w:rPr>
                      <w:rFonts w:hint="eastAsia" w:cs="Times New Roman"/>
                      <w:color w:val="auto"/>
                      <w:sz w:val="21"/>
                      <w:szCs w:val="21"/>
                      <w:highlight w:val="none"/>
                      <w:lang w:val="en-US" w:eastAsia="zh-CN"/>
                    </w:rPr>
                    <w:t>处理</w:t>
                  </w:r>
                  <w:r>
                    <w:rPr>
                      <w:rFonts w:hint="default" w:ascii="Times New Roman" w:hAnsi="Times New Roman" w:cs="Times New Roman"/>
                      <w:color w:val="auto"/>
                      <w:sz w:val="21"/>
                      <w:szCs w:val="21"/>
                      <w:highlight w:val="none"/>
                    </w:rPr>
                    <w:t>后</w:t>
                  </w:r>
                  <w:r>
                    <w:rPr>
                      <w:rFonts w:hint="default" w:ascii="Times New Roman" w:hAnsi="Times New Roman" w:cs="Times New Roman"/>
                      <w:color w:val="auto"/>
                      <w:sz w:val="21"/>
                      <w:szCs w:val="21"/>
                      <w:highlight w:val="none"/>
                      <w:lang w:val="en-US" w:eastAsia="zh-CN"/>
                    </w:rPr>
                    <w:t>经</w:t>
                  </w:r>
                  <w:r>
                    <w:rPr>
                      <w:rFonts w:hint="eastAsia" w:cs="Times New Roman"/>
                      <w:color w:val="auto"/>
                      <w:sz w:val="21"/>
                      <w:szCs w:val="21"/>
                      <w:highlight w:val="none"/>
                      <w:lang w:val="en-US" w:eastAsia="zh-CN"/>
                    </w:rPr>
                    <w:t>23m</w:t>
                  </w:r>
                  <w:r>
                    <w:rPr>
                      <w:rFonts w:hint="default" w:ascii="Times New Roman" w:hAnsi="Times New Roman" w:cs="Times New Roman"/>
                      <w:color w:val="auto"/>
                      <w:sz w:val="21"/>
                      <w:szCs w:val="21"/>
                      <w:highlight w:val="none"/>
                      <w:lang w:val="en-US" w:eastAsia="zh-CN"/>
                    </w:rPr>
                    <w:t>高排气筒</w:t>
                  </w:r>
                  <w:r>
                    <w:rPr>
                      <w:rFonts w:hint="default" w:ascii="Times New Roman" w:hAnsi="Times New Roman" w:cs="Times New Roman"/>
                      <w:color w:val="auto"/>
                      <w:sz w:val="21"/>
                      <w:szCs w:val="21"/>
                      <w:highlight w:val="none"/>
                    </w:rPr>
                    <w:t>，达标排放。</w:t>
                  </w:r>
                </w:p>
              </w:tc>
              <w:tc>
                <w:tcPr>
                  <w:tcW w:w="252" w:type="pct"/>
                  <w:noWrap w:val="0"/>
                  <w:vAlign w:val="center"/>
                </w:tcPr>
                <w:p w14:paraId="2A4F0DB7">
                  <w:pPr>
                    <w:jc w:val="center"/>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rPr>
                    <w:t>符合</w:t>
                  </w:r>
                </w:p>
              </w:tc>
            </w:tr>
            <w:tr w14:paraId="1F5149C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noWrap w:val="0"/>
                  <w:vAlign w:val="center"/>
                </w:tcPr>
                <w:p w14:paraId="2B8F51C9">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《西安市大气污染防治条例》</w:t>
                  </w:r>
                </w:p>
              </w:tc>
              <w:tc>
                <w:tcPr>
                  <w:tcW w:w="2483" w:type="pct"/>
                  <w:noWrap w:val="0"/>
                  <w:vAlign w:val="center"/>
                </w:tcPr>
                <w:p w14:paraId="3F1DB1F1">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本市严格控制污染大气的产业发展，禁止新建、改建、扩建严重污染大气的项目</w:t>
                  </w:r>
                </w:p>
              </w:tc>
              <w:tc>
                <w:tcPr>
                  <w:tcW w:w="1473" w:type="pct"/>
                  <w:noWrap w:val="0"/>
                  <w:vAlign w:val="center"/>
                </w:tcPr>
                <w:p w14:paraId="2A2D58B7">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项目不属于严重污染大气的项目。</w:t>
                  </w:r>
                </w:p>
              </w:tc>
              <w:tc>
                <w:tcPr>
                  <w:tcW w:w="252" w:type="pct"/>
                  <w:noWrap w:val="0"/>
                  <w:vAlign w:val="center"/>
                </w:tcPr>
                <w:p w14:paraId="542826AF">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43FDF29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noWrap w:val="0"/>
                  <w:vAlign w:val="center"/>
                </w:tcPr>
                <w:p w14:paraId="2966B2B9">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《陕西省</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十四五</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节能减排综合工作实施方案》</w:t>
                  </w:r>
                </w:p>
              </w:tc>
              <w:tc>
                <w:tcPr>
                  <w:tcW w:w="2483" w:type="pct"/>
                  <w:noWrap w:val="0"/>
                  <w:vAlign w:val="center"/>
                </w:tcPr>
                <w:p w14:paraId="46F15F3D">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扎实开展挥发性有机物综合整治。推进原辅材料和产品源头替代工程，实施全过程污染物治理。以工业涂装、包装印刷等行业为重点，推动使用低挥发性有机物含量的涂料、油墨、胶粘剂、清洗剂。深化石化化工等行业挥发性有机物污染治理，全面提升废气收集率、治理设施同步运行率和去除率。</w:t>
                  </w:r>
                </w:p>
              </w:tc>
              <w:tc>
                <w:tcPr>
                  <w:tcW w:w="1473" w:type="pct"/>
                  <w:noWrap w:val="0"/>
                  <w:vAlign w:val="center"/>
                </w:tcPr>
                <w:p w14:paraId="1FE6C208">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本项目为建设工程材料性能检测建设项目，不属于重点高VOCs排放建设项目，项目检测过程中产生</w:t>
                  </w:r>
                  <w:r>
                    <w:rPr>
                      <w:rFonts w:hint="default" w:ascii="Times New Roman" w:hAnsi="Times New Roman" w:cs="Times New Roman"/>
                      <w:color w:val="auto"/>
                      <w:sz w:val="21"/>
                      <w:szCs w:val="21"/>
                      <w:highlight w:val="none"/>
                      <w:lang w:val="en-US" w:eastAsia="zh-CN"/>
                    </w:rPr>
                    <w:t>少量</w:t>
                  </w:r>
                  <w:r>
                    <w:rPr>
                      <w:rFonts w:hint="default" w:ascii="Times New Roman" w:hAnsi="Times New Roman" w:cs="Times New Roman"/>
                      <w:color w:val="auto"/>
                      <w:sz w:val="21"/>
                      <w:szCs w:val="21"/>
                      <w:highlight w:val="none"/>
                    </w:rPr>
                    <w:t>有机废气，利用</w:t>
                  </w:r>
                  <w:r>
                    <w:rPr>
                      <w:rFonts w:hint="eastAsia" w:cs="Times New Roman"/>
                      <w:color w:val="auto"/>
                      <w:sz w:val="21"/>
                      <w:szCs w:val="21"/>
                      <w:highlight w:val="none"/>
                      <w:lang w:eastAsia="zh-CN"/>
                    </w:rPr>
                    <w:t>二级活性炭</w:t>
                  </w:r>
                  <w:r>
                    <w:rPr>
                      <w:rFonts w:hint="default" w:ascii="Times New Roman" w:hAnsi="Times New Roman" w:cs="Times New Roman"/>
                      <w:color w:val="auto"/>
                      <w:sz w:val="21"/>
                      <w:szCs w:val="21"/>
                      <w:highlight w:val="none"/>
                    </w:rPr>
                    <w:t>吸附处理后，达标排放，对环境影响较小。</w:t>
                  </w:r>
                </w:p>
              </w:tc>
              <w:tc>
                <w:tcPr>
                  <w:tcW w:w="252" w:type="pct"/>
                  <w:noWrap w:val="0"/>
                  <w:vAlign w:val="center"/>
                </w:tcPr>
                <w:p w14:paraId="20577FEC">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7998D3C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restart"/>
                  <w:noWrap w:val="0"/>
                  <w:vAlign w:val="center"/>
                </w:tcPr>
                <w:p w14:paraId="3A252EF3">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《检验检测实验室设计与建设技术</w:t>
                  </w:r>
                </w:p>
                <w:p w14:paraId="584EF6A8">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要求第1部分；通用要求》（GB/T321</w:t>
                  </w:r>
                </w:p>
                <w:p w14:paraId="55460EEE">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46.1-2015）</w:t>
                  </w:r>
                </w:p>
                <w:p w14:paraId="3302302C">
                  <w:pPr>
                    <w:rPr>
                      <w:rFonts w:hint="default" w:ascii="Times New Roman" w:hAnsi="Times New Roman" w:cs="Times New Roman"/>
                      <w:color w:val="auto"/>
                      <w:sz w:val="21"/>
                      <w:szCs w:val="21"/>
                      <w:highlight w:val="none"/>
                    </w:rPr>
                  </w:pPr>
                </w:p>
              </w:tc>
              <w:tc>
                <w:tcPr>
                  <w:tcW w:w="2483" w:type="pct"/>
                  <w:noWrap w:val="0"/>
                  <w:vAlign w:val="center"/>
                </w:tcPr>
                <w:p w14:paraId="1BB353AB">
                  <w:pPr>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lang w:val="en-US" w:eastAsia="zh-CN"/>
                    </w:rPr>
                    <w:t>选址：</w:t>
                  </w:r>
                  <w:r>
                    <w:rPr>
                      <w:rFonts w:hint="default" w:ascii="Times New Roman" w:hAnsi="Times New Roman" w:cs="Times New Roman"/>
                      <w:color w:val="auto"/>
                      <w:sz w:val="21"/>
                      <w:szCs w:val="21"/>
                      <w:highlight w:val="none"/>
                      <w:lang w:val="en-US" w:eastAsia="zh-CN"/>
                    </w:rPr>
                    <w:t>在符合国家法律法规的前提下，实验室选址宜优先考虑基础设施完善、交通便利、通讯良好的地区，并满足发展用地的需求。同时根据实验室的功能，避开化学、生物、噪声、振动、强电磁场等易对检测结果造成影响的污染源及易燃易爆场所。对于在检验检测过程中，易对外界环境造成影响的实验室，在选址时考虑减少公害，如布置在下风方向及下游地段，并采取绿化隔离、远离人群等措施。</w:t>
                  </w:r>
                </w:p>
              </w:tc>
              <w:tc>
                <w:tcPr>
                  <w:tcW w:w="1473" w:type="pct"/>
                  <w:noWrap w:val="0"/>
                  <w:vAlign w:val="center"/>
                </w:tcPr>
                <w:p w14:paraId="24FEC132">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项目位于西咸新区沣东新城，周边基础设施完善，周边交通便利、通讯良好，且不存在易对检测结果造成影响的污染源及易燃易爆场所。本项目主要从事物理和化学检测，污染影响较小，</w:t>
                  </w:r>
                  <w:r>
                    <w:rPr>
                      <w:rFonts w:hint="eastAsia" w:cs="Times New Roman"/>
                      <w:color w:val="auto"/>
                      <w:sz w:val="21"/>
                      <w:szCs w:val="21"/>
                      <w:highlight w:val="none"/>
                      <w:lang w:val="en-US" w:eastAsia="zh-CN"/>
                    </w:rPr>
                    <w:t>且项目周边500m无环境保护目标，</w:t>
                  </w:r>
                  <w:r>
                    <w:rPr>
                      <w:rFonts w:hint="default" w:ascii="Times New Roman" w:hAnsi="Times New Roman" w:cs="Times New Roman"/>
                      <w:color w:val="auto"/>
                      <w:sz w:val="21"/>
                      <w:szCs w:val="21"/>
                      <w:highlight w:val="none"/>
                      <w:lang w:val="en-US" w:eastAsia="zh-CN"/>
                    </w:rPr>
                    <w:t>对周边环境无不利影响。</w:t>
                  </w:r>
                </w:p>
              </w:tc>
              <w:tc>
                <w:tcPr>
                  <w:tcW w:w="252" w:type="pct"/>
                  <w:noWrap w:val="0"/>
                  <w:vAlign w:val="center"/>
                </w:tcPr>
                <w:p w14:paraId="54D910E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54EEBC6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10C6B5EE">
                  <w:pPr>
                    <w:rPr>
                      <w:rFonts w:hint="default" w:ascii="Times New Roman" w:hAnsi="Times New Roman" w:cs="Times New Roman"/>
                      <w:color w:val="auto"/>
                      <w:sz w:val="21"/>
                      <w:szCs w:val="21"/>
                      <w:highlight w:val="none"/>
                    </w:rPr>
                  </w:pPr>
                </w:p>
              </w:tc>
              <w:tc>
                <w:tcPr>
                  <w:tcW w:w="2483" w:type="pct"/>
                  <w:noWrap w:val="0"/>
                  <w:vAlign w:val="center"/>
                </w:tcPr>
                <w:p w14:paraId="600B080C">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实验室废液处理：实验室废液的处理按其性质、成分等采取不同的方式。如回收利用、直接排放、处理后排放等。实验室废液按废液性质、成分及污染的程度应进行不同的处理，污水排入地面水体或城市排水系统时，应符合GB50015</w:t>
                  </w:r>
                  <w:r>
                    <w:rPr>
                      <w:rFonts w:hint="eastAsia"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2003第4章、GB8978、GB20425中的规定。生物安全实验室废液还应符合GB50346和GB19489中的规定。含有放射性核素的废液处理，还应符合GB18871的有关规定。对地表有腐蚀性影响的废液防渗处理应执行国家相关规范。</w:t>
                  </w:r>
                </w:p>
              </w:tc>
              <w:tc>
                <w:tcPr>
                  <w:tcW w:w="1473" w:type="pct"/>
                  <w:noWrap w:val="0"/>
                  <w:vAlign w:val="center"/>
                </w:tcPr>
                <w:p w14:paraId="4C8E81DD">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项目实验室废液处理分类收集后按《危险废物贮存污染控制标准要求》（GB18597-2023）及相关要求合理暂存，定期委托具有相关资质的单位进行处置。实验室器皿后段清洗废水</w:t>
                  </w:r>
                  <w:r>
                    <w:rPr>
                      <w:rFonts w:hint="eastAsia"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地面清洁废水和</w:t>
                  </w:r>
                  <w:r>
                    <w:rPr>
                      <w:rFonts w:hint="eastAsia" w:cs="Times New Roman"/>
                      <w:color w:val="auto"/>
                      <w:sz w:val="21"/>
                      <w:szCs w:val="21"/>
                      <w:highlight w:val="none"/>
                      <w:lang w:val="en-US" w:eastAsia="zh-CN"/>
                    </w:rPr>
                    <w:t>物理检测废水经沉淀池收集后，与</w:t>
                  </w:r>
                  <w:r>
                    <w:rPr>
                      <w:rFonts w:hint="default" w:ascii="Times New Roman" w:hAnsi="Times New Roman" w:cs="Times New Roman"/>
                      <w:color w:val="auto"/>
                      <w:sz w:val="21"/>
                      <w:szCs w:val="21"/>
                      <w:highlight w:val="none"/>
                      <w:lang w:val="en-US" w:eastAsia="zh-CN"/>
                    </w:rPr>
                    <w:t>生活污水一同排入化粪池处理</w:t>
                  </w:r>
                  <w:r>
                    <w:rPr>
                      <w:rFonts w:hint="eastAsia" w:cs="Times New Roman"/>
                      <w:color w:val="auto"/>
                      <w:sz w:val="21"/>
                      <w:szCs w:val="21"/>
                      <w:highlight w:val="none"/>
                      <w:lang w:val="en-US" w:eastAsia="zh-CN"/>
                    </w:rPr>
                    <w:t>后符合GB8979标准限值要求</w:t>
                  </w:r>
                  <w:r>
                    <w:rPr>
                      <w:rFonts w:hint="default" w:ascii="Times New Roman" w:hAnsi="Times New Roman" w:cs="Times New Roman"/>
                      <w:color w:val="auto"/>
                      <w:sz w:val="21"/>
                      <w:szCs w:val="21"/>
                      <w:highlight w:val="none"/>
                      <w:lang w:val="en-US" w:eastAsia="zh-CN"/>
                    </w:rPr>
                    <w:t>，最终通过市政污水管网排入</w:t>
                  </w:r>
                  <w:r>
                    <w:rPr>
                      <w:rFonts w:hint="eastAsia" w:cs="Times New Roman"/>
                      <w:color w:val="auto"/>
                      <w:sz w:val="21"/>
                      <w:szCs w:val="21"/>
                      <w:highlight w:val="none"/>
                      <w:lang w:val="en-US" w:eastAsia="zh-CN"/>
                    </w:rPr>
                    <w:t>西安净水处理有限责任公司第六再生水厂</w:t>
                  </w:r>
                  <w:r>
                    <w:rPr>
                      <w:rFonts w:hint="default" w:ascii="Times New Roman" w:hAnsi="Times New Roman" w:cs="Times New Roman"/>
                      <w:color w:val="auto"/>
                      <w:sz w:val="21"/>
                      <w:szCs w:val="21"/>
                      <w:highlight w:val="none"/>
                      <w:lang w:val="en-US" w:eastAsia="zh-CN"/>
                    </w:rPr>
                    <w:t>。</w:t>
                  </w:r>
                </w:p>
              </w:tc>
              <w:tc>
                <w:tcPr>
                  <w:tcW w:w="252" w:type="pct"/>
                  <w:noWrap w:val="0"/>
                  <w:vAlign w:val="center"/>
                </w:tcPr>
                <w:p w14:paraId="79C18AD7">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0640BA5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108F22C8">
                  <w:pPr>
                    <w:rPr>
                      <w:rFonts w:hint="default" w:ascii="Times New Roman" w:hAnsi="Times New Roman" w:cs="Times New Roman"/>
                      <w:color w:val="auto"/>
                      <w:sz w:val="21"/>
                      <w:szCs w:val="21"/>
                      <w:highlight w:val="none"/>
                    </w:rPr>
                  </w:pPr>
                </w:p>
              </w:tc>
              <w:tc>
                <w:tcPr>
                  <w:tcW w:w="2483" w:type="pct"/>
                  <w:noWrap w:val="0"/>
                  <w:vAlign w:val="center"/>
                </w:tcPr>
                <w:p w14:paraId="544BDD5C">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实验室废气处理：实验室废气主要为两大类，酸雾和有机气体。产生两类污染的操作宜在不同的通风柜中进行，处理后的实验室废气应符合 GB16297、GB14554 等国家相关的规定。注：酸雾气体宜用碱性水溶液吸收处理；有机废气宜用高效吸收装置进行处理。</w:t>
                  </w:r>
                </w:p>
              </w:tc>
              <w:tc>
                <w:tcPr>
                  <w:tcW w:w="1473" w:type="pct"/>
                  <w:noWrap w:val="0"/>
                  <w:vAlign w:val="center"/>
                </w:tcPr>
                <w:p w14:paraId="009F39CA">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项目有机废气</w:t>
                  </w:r>
                  <w:r>
                    <w:rPr>
                      <w:rFonts w:hint="eastAsia" w:cs="Times New Roman"/>
                      <w:color w:val="auto"/>
                      <w:sz w:val="21"/>
                      <w:szCs w:val="21"/>
                      <w:highlight w:val="none"/>
                      <w:lang w:val="en-US" w:eastAsia="zh-CN"/>
                    </w:rPr>
                    <w:t>经通风橱收集后</w:t>
                  </w:r>
                  <w:r>
                    <w:rPr>
                      <w:rFonts w:hint="default" w:ascii="Times New Roman" w:hAnsi="Times New Roman" w:cs="Times New Roman"/>
                      <w:color w:val="auto"/>
                      <w:sz w:val="21"/>
                      <w:szCs w:val="21"/>
                      <w:highlight w:val="none"/>
                      <w:lang w:val="en-US" w:eastAsia="zh-CN"/>
                    </w:rPr>
                    <w:t>经</w:t>
                  </w:r>
                  <w:r>
                    <w:rPr>
                      <w:rFonts w:hint="eastAsia" w:cs="Times New Roman"/>
                      <w:color w:val="auto"/>
                      <w:sz w:val="21"/>
                      <w:szCs w:val="21"/>
                      <w:highlight w:val="none"/>
                      <w:lang w:val="en-US" w:eastAsia="zh-CN"/>
                    </w:rPr>
                    <w:t>23m</w:t>
                  </w:r>
                  <w:r>
                    <w:rPr>
                      <w:rFonts w:hint="default" w:ascii="Times New Roman" w:hAnsi="Times New Roman" w:cs="Times New Roman"/>
                      <w:color w:val="auto"/>
                      <w:sz w:val="21"/>
                      <w:szCs w:val="21"/>
                      <w:highlight w:val="none"/>
                      <w:lang w:val="en-US" w:eastAsia="zh-CN"/>
                    </w:rPr>
                    <w:t>高排气筒</w:t>
                  </w:r>
                  <w:r>
                    <w:rPr>
                      <w:rFonts w:hint="default" w:ascii="Times New Roman" w:hAnsi="Times New Roman" w:cs="Times New Roman"/>
                      <w:color w:val="auto"/>
                      <w:sz w:val="21"/>
                      <w:szCs w:val="21"/>
                      <w:highlight w:val="none"/>
                    </w:rPr>
                    <w:t>，达标排放。</w:t>
                  </w:r>
                  <w:r>
                    <w:rPr>
                      <w:rFonts w:hint="eastAsia" w:cs="Times New Roman"/>
                      <w:color w:val="auto"/>
                      <w:sz w:val="21"/>
                      <w:szCs w:val="21"/>
                      <w:highlight w:val="none"/>
                      <w:lang w:val="en-US" w:eastAsia="zh-CN"/>
                    </w:rPr>
                    <w:t>因本项目化学实验次数少且一次仅针对单独项目进行检测，故设置一个通风橱</w:t>
                  </w:r>
                  <w:r>
                    <w:rPr>
                      <w:rFonts w:hint="eastAsia"/>
                      <w:color w:val="auto"/>
                      <w:lang w:val="en-US" w:eastAsia="zh-CN"/>
                    </w:rPr>
                    <w:t>。</w:t>
                  </w:r>
                </w:p>
              </w:tc>
              <w:tc>
                <w:tcPr>
                  <w:tcW w:w="252" w:type="pct"/>
                  <w:noWrap w:val="0"/>
                  <w:vAlign w:val="center"/>
                </w:tcPr>
                <w:p w14:paraId="177A64B6">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30923668">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35CE71C3">
                  <w:pPr>
                    <w:rPr>
                      <w:rFonts w:hint="default" w:ascii="Times New Roman" w:hAnsi="Times New Roman" w:cs="Times New Roman"/>
                      <w:color w:val="auto"/>
                      <w:sz w:val="21"/>
                      <w:szCs w:val="21"/>
                      <w:highlight w:val="none"/>
                    </w:rPr>
                  </w:pPr>
                </w:p>
              </w:tc>
              <w:tc>
                <w:tcPr>
                  <w:tcW w:w="2483" w:type="pct"/>
                  <w:noWrap w:val="0"/>
                  <w:vAlign w:val="center"/>
                </w:tcPr>
                <w:p w14:paraId="7DAE600A">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实验室固废处理：对于高毒性的可溶性固废，实验室应设专门容器分别加以收集，严禁埋入地下，污染地面水体。其他固废可按照国家相关法律法规进行处理。具体应符合 GB18599 等国家相关的规定。</w:t>
                  </w:r>
                </w:p>
              </w:tc>
              <w:tc>
                <w:tcPr>
                  <w:tcW w:w="1473" w:type="pct"/>
                  <w:noWrap w:val="0"/>
                  <w:vAlign w:val="center"/>
                </w:tcPr>
                <w:p w14:paraId="28DB5080">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项目危险废物包括</w:t>
                  </w:r>
                  <w:r>
                    <w:rPr>
                      <w:rFonts w:hint="eastAsia" w:cs="Times New Roman"/>
                      <w:color w:val="auto"/>
                      <w:sz w:val="21"/>
                      <w:szCs w:val="21"/>
                      <w:highlight w:val="none"/>
                      <w:lang w:val="en-US" w:eastAsia="zh-CN"/>
                    </w:rPr>
                    <w:t>试验室废液</w:t>
                  </w:r>
                  <w:r>
                    <w:rPr>
                      <w:rFonts w:hint="default" w:ascii="Times New Roman" w:hAnsi="Times New Roman" w:cs="Times New Roman"/>
                      <w:color w:val="auto"/>
                      <w:sz w:val="21"/>
                      <w:szCs w:val="21"/>
                      <w:highlight w:val="none"/>
                      <w:lang w:val="en-US" w:eastAsia="zh-CN"/>
                    </w:rPr>
                    <w:t>、废</w:t>
                  </w:r>
                  <w:r>
                    <w:rPr>
                      <w:rFonts w:hint="eastAsia" w:cs="Times New Roman"/>
                      <w:color w:val="auto"/>
                      <w:sz w:val="21"/>
                      <w:szCs w:val="21"/>
                      <w:highlight w:val="none"/>
                      <w:lang w:val="en-US" w:eastAsia="zh-CN"/>
                    </w:rPr>
                    <w:t>试剂瓶</w:t>
                  </w:r>
                  <w:r>
                    <w:rPr>
                      <w:rFonts w:hint="default" w:ascii="Times New Roman" w:hAnsi="Times New Roman" w:cs="Times New Roman"/>
                      <w:color w:val="auto"/>
                      <w:sz w:val="21"/>
                      <w:szCs w:val="21"/>
                      <w:highlight w:val="none"/>
                      <w:lang w:val="en-US" w:eastAsia="zh-CN"/>
                    </w:rPr>
                    <w:t>和废</w:t>
                  </w:r>
                  <w:r>
                    <w:rPr>
                      <w:rFonts w:hint="eastAsia" w:cs="Times New Roman"/>
                      <w:color w:val="auto"/>
                      <w:sz w:val="21"/>
                      <w:szCs w:val="21"/>
                      <w:highlight w:val="none"/>
                      <w:lang w:val="en-US" w:eastAsia="zh-CN"/>
                    </w:rPr>
                    <w:t>活性炭</w:t>
                  </w:r>
                  <w:r>
                    <w:rPr>
                      <w:rFonts w:hint="default" w:ascii="Times New Roman" w:hAnsi="Times New Roman" w:cs="Times New Roman"/>
                      <w:color w:val="auto"/>
                      <w:sz w:val="21"/>
                      <w:szCs w:val="21"/>
                      <w:highlight w:val="none"/>
                      <w:lang w:val="en-US" w:eastAsia="zh-CN"/>
                    </w:rPr>
                    <w:t>，各类危废采用专门容器分类收集，并委托具有相关资质的单位进行处置。</w:t>
                  </w:r>
                </w:p>
              </w:tc>
              <w:tc>
                <w:tcPr>
                  <w:tcW w:w="252" w:type="pct"/>
                  <w:noWrap w:val="0"/>
                  <w:vAlign w:val="center"/>
                </w:tcPr>
                <w:p w14:paraId="30A4C6C1">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364DE41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restart"/>
                  <w:noWrap w:val="0"/>
                  <w:vAlign w:val="center"/>
                </w:tcPr>
                <w:p w14:paraId="0843B8C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《检验检测实验室技术要求验收规范》（GBT37140-2018）</w:t>
                  </w:r>
                </w:p>
                <w:p w14:paraId="2ACA241C">
                  <w:pPr>
                    <w:rPr>
                      <w:rFonts w:hint="default" w:ascii="Times New Roman" w:hAnsi="Times New Roman" w:cs="Times New Roman"/>
                      <w:color w:val="auto"/>
                      <w:sz w:val="21"/>
                      <w:szCs w:val="21"/>
                      <w:highlight w:val="none"/>
                    </w:rPr>
                  </w:pPr>
                </w:p>
              </w:tc>
              <w:tc>
                <w:tcPr>
                  <w:tcW w:w="2483" w:type="pct"/>
                  <w:noWrap w:val="0"/>
                  <w:vAlign w:val="center"/>
                </w:tcPr>
                <w:p w14:paraId="01C00C33">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实验室选址宜优先考虑基础设施完善、交通便利、通讯良好的地区，并满足发展用地的需求，对于在检验检测过程中，易对外界环境造成影响的实验室，在选址时应考虑减少公害，如布置在下风方向及下游地段，采取绿化隔离、远离人群等措施，同时应满足环境影响评价报告的要求。宜避开化学、生物、噪声、振动、强电磁场等易对检测结果造成影响的污染源及易燃易爆场所。</w:t>
                  </w:r>
                </w:p>
              </w:tc>
              <w:tc>
                <w:tcPr>
                  <w:tcW w:w="1473" w:type="pct"/>
                  <w:noWrap w:val="0"/>
                  <w:vAlign w:val="center"/>
                </w:tcPr>
                <w:p w14:paraId="1DED94B9">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项目位于陕西省西咸新区沣东新城，周边基础设施完善，周边交通便利、通讯良好，且不存在易对检测结果造成影响的污染源及易燃易爆场所。本项目主要从事</w:t>
                  </w:r>
                  <w:r>
                    <w:rPr>
                      <w:rFonts w:hint="default" w:ascii="Times New Roman" w:hAnsi="Times New Roman" w:cs="Times New Roman"/>
                      <w:color w:val="auto"/>
                      <w:sz w:val="21"/>
                      <w:szCs w:val="21"/>
                      <w:highlight w:val="none"/>
                    </w:rPr>
                    <w:t>建设工程材料的性能测试</w:t>
                  </w:r>
                  <w:r>
                    <w:rPr>
                      <w:rFonts w:hint="default" w:ascii="Times New Roman" w:hAnsi="Times New Roman" w:cs="Times New Roman"/>
                      <w:color w:val="auto"/>
                      <w:sz w:val="21"/>
                      <w:szCs w:val="21"/>
                      <w:highlight w:val="none"/>
                      <w:lang w:val="en-US" w:eastAsia="zh-CN"/>
                    </w:rPr>
                    <w:t>，污染影响较小，对周边环境及人群无不利影响。</w:t>
                  </w:r>
                </w:p>
              </w:tc>
              <w:tc>
                <w:tcPr>
                  <w:tcW w:w="252" w:type="pct"/>
                  <w:noWrap w:val="0"/>
                  <w:vAlign w:val="center"/>
                </w:tcPr>
                <w:p w14:paraId="0FBDFFF4">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3DAC7AA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43C61CC7">
                  <w:pPr>
                    <w:rPr>
                      <w:rFonts w:hint="default" w:ascii="Times New Roman" w:hAnsi="Times New Roman" w:cs="Times New Roman"/>
                      <w:color w:val="auto"/>
                      <w:sz w:val="21"/>
                      <w:szCs w:val="21"/>
                      <w:highlight w:val="none"/>
                    </w:rPr>
                  </w:pPr>
                </w:p>
              </w:tc>
              <w:tc>
                <w:tcPr>
                  <w:tcW w:w="2483" w:type="pct"/>
                  <w:noWrap w:val="0"/>
                  <w:vAlign w:val="center"/>
                </w:tcPr>
                <w:p w14:paraId="39429347">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实验室污、废水按污、废水性质、成分及污染程度应进行物理、化学、生物等不同方式处理。产生的酸、碱污水应进行中和处理，中和后达不到中性时，应采用反应池加药处理。凡含有放射性核素的废水，应根据核素的半衰期长短，分为长寿命和短寿命两种放射性核素废水，并应分别进行处理。长寿命放射性核素且放射性浓度较高的废水，应将废水集中存放，待到一定数量后，采用净化法处理；净化过程中产生的少量浓缩液，可采用固化法处理；短寿命放射性核素废水，应采用贮存法处理。用于收集和处理实验污水、废水的埋地水池应考虑对地表、土壤有腐蚀性影响的废液防渗处理，并应执行国家相关规范。</w:t>
                  </w:r>
                </w:p>
              </w:tc>
              <w:tc>
                <w:tcPr>
                  <w:tcW w:w="1473" w:type="pct"/>
                  <w:noWrap w:val="0"/>
                  <w:vAlign w:val="center"/>
                </w:tcPr>
                <w:p w14:paraId="70F57CD5">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项目实验室废液处理分类收集后按《危险废物贮存污染控制标准要求》（GB18597-2023）及相关要求合理暂存，定期委托具有相关资质的单位进行处置。实验室器皿后段</w:t>
                  </w:r>
                  <w:r>
                    <w:rPr>
                      <w:rFonts w:hint="eastAsia" w:cs="Times New Roman"/>
                      <w:color w:val="auto"/>
                      <w:sz w:val="21"/>
                      <w:szCs w:val="21"/>
                      <w:highlight w:val="none"/>
                      <w:lang w:val="en-US" w:eastAsia="zh-CN"/>
                    </w:rPr>
                    <w:t>清洗废水经沉淀池收集后</w:t>
                  </w:r>
                  <w:r>
                    <w:rPr>
                      <w:rFonts w:hint="default" w:ascii="Times New Roman" w:hAnsi="Times New Roman" w:cs="Times New Roman"/>
                      <w:color w:val="auto"/>
                      <w:sz w:val="21"/>
                      <w:szCs w:val="21"/>
                      <w:highlight w:val="none"/>
                      <w:lang w:val="en-US" w:eastAsia="zh-CN"/>
                    </w:rPr>
                    <w:t>排入化粪池处理，最终通过市政污水管网排入</w:t>
                  </w:r>
                  <w:r>
                    <w:rPr>
                      <w:rFonts w:hint="eastAsia" w:cs="Times New Roman"/>
                      <w:color w:val="auto"/>
                      <w:sz w:val="21"/>
                      <w:szCs w:val="21"/>
                      <w:highlight w:val="none"/>
                      <w:lang w:val="en-US" w:eastAsia="zh-CN"/>
                    </w:rPr>
                    <w:t>西安净水处理有限责任公司第六再生水厂</w:t>
                  </w:r>
                  <w:r>
                    <w:rPr>
                      <w:rFonts w:hint="default" w:ascii="Times New Roman" w:hAnsi="Times New Roman" w:cs="Times New Roman"/>
                      <w:color w:val="auto"/>
                      <w:sz w:val="21"/>
                      <w:szCs w:val="21"/>
                      <w:highlight w:val="none"/>
                      <w:lang w:val="en-US" w:eastAsia="zh-CN"/>
                    </w:rPr>
                    <w:t>。</w:t>
                  </w:r>
                </w:p>
              </w:tc>
              <w:tc>
                <w:tcPr>
                  <w:tcW w:w="252" w:type="pct"/>
                  <w:noWrap w:val="0"/>
                  <w:vAlign w:val="center"/>
                </w:tcPr>
                <w:p w14:paraId="18F5B8E3">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75DEA4A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4298C223">
                  <w:pPr>
                    <w:rPr>
                      <w:rFonts w:hint="default" w:ascii="Times New Roman" w:hAnsi="Times New Roman" w:cs="Times New Roman"/>
                      <w:color w:val="auto"/>
                      <w:sz w:val="21"/>
                      <w:szCs w:val="21"/>
                      <w:highlight w:val="none"/>
                    </w:rPr>
                  </w:pPr>
                </w:p>
              </w:tc>
              <w:tc>
                <w:tcPr>
                  <w:tcW w:w="2483" w:type="pct"/>
                  <w:noWrap w:val="0"/>
                  <w:vAlign w:val="center"/>
                </w:tcPr>
                <w:p w14:paraId="4D2A45B4">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实验室通风系统要求如下：实验过程中产生有害气体、蒸汽、气味、烟雾、挥发性物质等的实验室，应设置通风柜等工艺排风设施。除非有特殊要求，实验室应保持微负压，并保证室内空气由清洁区向污染的实验区流动。</w:t>
                  </w:r>
                </w:p>
              </w:tc>
              <w:tc>
                <w:tcPr>
                  <w:tcW w:w="1473" w:type="pct"/>
                  <w:noWrap w:val="0"/>
                  <w:vAlign w:val="center"/>
                </w:tcPr>
                <w:p w14:paraId="5069B77A">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项目实验室涉及挥发性有机物产生区域设置通风柜用于实验室排风，实验室保持微负压，室内空气由清洁区向污染的实验区流动。</w:t>
                  </w:r>
                </w:p>
              </w:tc>
              <w:tc>
                <w:tcPr>
                  <w:tcW w:w="252" w:type="pct"/>
                  <w:noWrap w:val="0"/>
                  <w:vAlign w:val="center"/>
                </w:tcPr>
                <w:p w14:paraId="2F725459">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5C4ECBD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32FC56F0">
                  <w:pPr>
                    <w:rPr>
                      <w:rFonts w:hint="default" w:ascii="Times New Roman" w:hAnsi="Times New Roman" w:cs="Times New Roman"/>
                      <w:color w:val="auto"/>
                      <w:sz w:val="21"/>
                      <w:szCs w:val="21"/>
                      <w:highlight w:val="none"/>
                    </w:rPr>
                  </w:pPr>
                </w:p>
              </w:tc>
              <w:tc>
                <w:tcPr>
                  <w:tcW w:w="2483" w:type="pct"/>
                  <w:noWrap w:val="0"/>
                  <w:vAlign w:val="center"/>
                </w:tcPr>
                <w:p w14:paraId="38B8CB4A">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工艺性空调系统的室内洁净度、设计温度、相对湿度及其允许波动范围、室内风速、气流组织、噪声和振动控制标准应根据工艺需求和健康要求确定。</w:t>
                  </w:r>
                </w:p>
              </w:tc>
              <w:tc>
                <w:tcPr>
                  <w:tcW w:w="1473" w:type="pct"/>
                  <w:noWrap w:val="0"/>
                  <w:vAlign w:val="center"/>
                </w:tcPr>
                <w:p w14:paraId="57E38495">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项目设有空调系统，各项运行参数均按照检测工作工艺需求和人员健康防护要求设计。</w:t>
                  </w:r>
                </w:p>
              </w:tc>
              <w:tc>
                <w:tcPr>
                  <w:tcW w:w="252" w:type="pct"/>
                  <w:noWrap w:val="0"/>
                  <w:vAlign w:val="center"/>
                </w:tcPr>
                <w:p w14:paraId="7122BC3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044E4FF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732BB332">
                  <w:pPr>
                    <w:rPr>
                      <w:rFonts w:hint="default" w:ascii="Times New Roman" w:hAnsi="Times New Roman" w:cs="Times New Roman"/>
                      <w:color w:val="auto"/>
                      <w:sz w:val="21"/>
                      <w:szCs w:val="21"/>
                      <w:highlight w:val="none"/>
                    </w:rPr>
                  </w:pPr>
                </w:p>
              </w:tc>
              <w:tc>
                <w:tcPr>
                  <w:tcW w:w="2483" w:type="pct"/>
                  <w:noWrap w:val="0"/>
                  <w:vAlign w:val="center"/>
                </w:tcPr>
                <w:p w14:paraId="27E92883">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通风、空调设备产生的振动，当依靠自然衰减不能满足要求时，应设置隔振器或采取其他隔振措施。</w:t>
                  </w:r>
                </w:p>
              </w:tc>
              <w:tc>
                <w:tcPr>
                  <w:tcW w:w="1473" w:type="pct"/>
                  <w:noWrap w:val="0"/>
                  <w:vAlign w:val="center"/>
                </w:tcPr>
                <w:p w14:paraId="1E4C3980">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项目通风及空调设备配套设计</w:t>
                  </w:r>
                  <w:r>
                    <w:rPr>
                      <w:rFonts w:hint="eastAsia" w:cs="Times New Roman"/>
                      <w:color w:val="auto"/>
                      <w:sz w:val="21"/>
                      <w:szCs w:val="21"/>
                      <w:highlight w:val="none"/>
                      <w:lang w:val="en-US" w:eastAsia="zh-CN"/>
                    </w:rPr>
                    <w:t>基础</w:t>
                  </w:r>
                  <w:r>
                    <w:rPr>
                      <w:rFonts w:hint="default" w:ascii="Times New Roman" w:hAnsi="Times New Roman" w:cs="Times New Roman"/>
                      <w:color w:val="auto"/>
                      <w:sz w:val="21"/>
                      <w:szCs w:val="21"/>
                      <w:highlight w:val="none"/>
                      <w:lang w:val="en-US" w:eastAsia="zh-CN"/>
                    </w:rPr>
                    <w:t>减振设施用于减小噪声排放影响。</w:t>
                  </w:r>
                </w:p>
              </w:tc>
              <w:tc>
                <w:tcPr>
                  <w:tcW w:w="252" w:type="pct"/>
                  <w:noWrap w:val="0"/>
                  <w:vAlign w:val="center"/>
                </w:tcPr>
                <w:p w14:paraId="167F7627">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4B25E666">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63343FBE">
                  <w:pPr>
                    <w:rPr>
                      <w:rFonts w:hint="default" w:ascii="Times New Roman" w:hAnsi="Times New Roman" w:cs="Times New Roman"/>
                      <w:color w:val="auto"/>
                      <w:sz w:val="21"/>
                      <w:szCs w:val="21"/>
                      <w:highlight w:val="none"/>
                    </w:rPr>
                  </w:pPr>
                </w:p>
              </w:tc>
              <w:tc>
                <w:tcPr>
                  <w:tcW w:w="2483" w:type="pct"/>
                  <w:noWrap w:val="0"/>
                  <w:vAlign w:val="center"/>
                </w:tcPr>
                <w:p w14:paraId="3732462F">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实验室设计和建设宜设置专门的收集区来储存处理前的实验废弃物，确保实验室有害废弃物得到安全收集、识别、存储和处置。所有实验废弃物的收集、标识、储存和处置均应按适用的国家标准要求进行。实验室危险品的储存和处置设施应与物品的危险性相适应，符合适用要求的规定。实验室的危险废弃物应弃置专门设计的、专用的和有标识的用于处置危险废物的容器和设施内，装量不能超过建议的装载容量。</w:t>
                  </w:r>
                </w:p>
              </w:tc>
              <w:tc>
                <w:tcPr>
                  <w:tcW w:w="1473" w:type="pct"/>
                  <w:noWrap w:val="0"/>
                  <w:vAlign w:val="center"/>
                </w:tcPr>
                <w:p w14:paraId="77C3E5B9">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危险废物采用专用容器分类收集，按照危险废物贮存场所建设规范、标准要求设置危险废物贮存库，危废分类收集、分区暂存于</w:t>
                  </w:r>
                  <w:r>
                    <w:rPr>
                      <w:rFonts w:hint="eastAsia" w:cs="Times New Roman"/>
                      <w:color w:val="auto"/>
                      <w:sz w:val="21"/>
                      <w:szCs w:val="21"/>
                      <w:highlight w:val="none"/>
                      <w:lang w:val="en-US" w:eastAsia="zh-CN"/>
                    </w:rPr>
                    <w:t>危废贮存库</w:t>
                  </w:r>
                  <w:r>
                    <w:rPr>
                      <w:rFonts w:hint="default" w:ascii="Times New Roman" w:hAnsi="Times New Roman" w:cs="Times New Roman"/>
                      <w:color w:val="auto"/>
                      <w:sz w:val="21"/>
                      <w:szCs w:val="21"/>
                      <w:highlight w:val="none"/>
                      <w:lang w:val="en-US" w:eastAsia="zh-CN"/>
                    </w:rPr>
                    <w:t>，危险废物委托具有处置该类危险废物资质的单位进行转运处置；危险品储存与物品的危险性相适应。</w:t>
                  </w:r>
                </w:p>
              </w:tc>
              <w:tc>
                <w:tcPr>
                  <w:tcW w:w="252" w:type="pct"/>
                  <w:noWrap w:val="0"/>
                  <w:vAlign w:val="center"/>
                </w:tcPr>
                <w:p w14:paraId="7E5FF3D7">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55947F2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790" w:type="pct"/>
                  <w:vMerge w:val="continue"/>
                  <w:noWrap w:val="0"/>
                  <w:vAlign w:val="center"/>
                </w:tcPr>
                <w:p w14:paraId="3FF80615">
                  <w:pPr>
                    <w:rPr>
                      <w:rFonts w:hint="default" w:ascii="Times New Roman" w:hAnsi="Times New Roman" w:cs="Times New Roman"/>
                      <w:color w:val="auto"/>
                      <w:sz w:val="21"/>
                      <w:szCs w:val="21"/>
                      <w:highlight w:val="none"/>
                    </w:rPr>
                  </w:pPr>
                </w:p>
              </w:tc>
              <w:tc>
                <w:tcPr>
                  <w:tcW w:w="2483" w:type="pct"/>
                  <w:noWrap w:val="0"/>
                  <w:vAlign w:val="center"/>
                </w:tcPr>
                <w:p w14:paraId="13259598">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实验室废液、废气、废渣、废物等废弃物应分类收集、存放和集中处理，确保不扩大污染，避免交叉污染。对于较纯的溶剂废液或贵重试剂，宜在技术经济比较后回收利用。实验室应设置收集、储存危险废弃物的场所。无法在实验室妥善处理的剧毒、致癌性废弃物以及其他危险废弃物应报环保部门或其他有资质的单位处理，并做好记录。</w:t>
                  </w:r>
                </w:p>
                <w:p w14:paraId="1C6D126F">
                  <w:pPr>
                    <w:rPr>
                      <w:rFonts w:hint="default" w:ascii="Times New Roman" w:hAnsi="Times New Roman" w:cs="Times New Roman"/>
                      <w:color w:val="auto"/>
                      <w:sz w:val="21"/>
                      <w:szCs w:val="21"/>
                      <w:highlight w:val="none"/>
                    </w:rPr>
                  </w:pPr>
                </w:p>
              </w:tc>
              <w:tc>
                <w:tcPr>
                  <w:tcW w:w="1473" w:type="pct"/>
                  <w:noWrap w:val="0"/>
                  <w:vAlign w:val="center"/>
                </w:tcPr>
                <w:p w14:paraId="3F04AE08">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项目废液、废气、废渣、废物等废弃物分类收集、存放和集中处理，化学试剂用量较少，不进行溶剂回收；项目危险废弃物采用专用容器分类收集，设置危废贮存库，危废分类收集、分区暂存于危险废物贮存场所，危险废物委托具有处置该类危险废物资质的单位进行转运处置，建设单位将做好台账记录，并按要求进行存档。</w:t>
                  </w:r>
                </w:p>
              </w:tc>
              <w:tc>
                <w:tcPr>
                  <w:tcW w:w="252" w:type="pct"/>
                  <w:noWrap w:val="0"/>
                  <w:vAlign w:val="center"/>
                </w:tcPr>
                <w:p w14:paraId="1E274DB3">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bl>
          <w:p w14:paraId="5875BA89">
            <w:pPr>
              <w:pStyle w:val="12"/>
              <w:spacing w:after="0"/>
              <w:ind w:left="0" w:leftChars="0" w:firstLine="0" w:firstLineChars="0"/>
              <w:rPr>
                <w:color w:val="000000" w:themeColor="text1"/>
                <w14:textFill>
                  <w14:solidFill>
                    <w14:schemeClr w14:val="tx1"/>
                  </w14:solidFill>
                </w14:textFill>
              </w:rPr>
            </w:pPr>
          </w:p>
        </w:tc>
      </w:tr>
    </w:tbl>
    <w:p w14:paraId="2F706F44">
      <w:pPr>
        <w:rPr>
          <w:color w:val="000000" w:themeColor="text1"/>
          <w14:textFill>
            <w14:solidFill>
              <w14:schemeClr w14:val="tx1"/>
            </w14:solidFill>
          </w14:textFill>
        </w:rPr>
        <w:sectPr>
          <w:pgSz w:w="16838" w:h="11906" w:orient="landscape"/>
          <w:pgMar w:top="1531" w:right="1701" w:bottom="1531" w:left="1701" w:header="851" w:footer="1077" w:gutter="0"/>
          <w:pgBorders>
            <w:top w:val="none" w:sz="0" w:space="0"/>
            <w:left w:val="none" w:sz="0" w:space="0"/>
            <w:bottom w:val="none" w:sz="0" w:space="0"/>
            <w:right w:val="none" w:sz="0" w:space="0"/>
          </w:pgBorders>
          <w:cols w:space="720" w:num="1"/>
          <w:docGrid w:linePitch="312" w:charSpace="0"/>
        </w:sectPr>
      </w:pPr>
    </w:p>
    <w:tbl>
      <w:tblPr>
        <w:tblStyle w:val="28"/>
        <w:tblW w:w="486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7"/>
        <w:gridCol w:w="7985"/>
      </w:tblGrid>
      <w:tr w14:paraId="63708D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83" w:hRule="atLeast"/>
          <w:jc w:val="center"/>
        </w:trPr>
        <w:tc>
          <w:tcPr>
            <w:tcW w:w="469" w:type="pct"/>
            <w:vAlign w:val="center"/>
          </w:tcPr>
          <w:p w14:paraId="782C21EB">
            <w:pPr>
              <w:autoSpaceDE w:val="0"/>
              <w:autoSpaceDN w:val="0"/>
              <w:adjustRightInd w:val="0"/>
              <w:snapToGrid w:val="0"/>
              <w:jc w:val="center"/>
              <w:rPr>
                <w:color w:val="auto"/>
                <w:kern w:val="0"/>
                <w:sz w:val="24"/>
              </w:rPr>
            </w:pPr>
            <w:r>
              <w:rPr>
                <w:color w:val="auto"/>
                <w:kern w:val="0"/>
                <w:sz w:val="24"/>
              </w:rPr>
              <w:br w:type="page"/>
            </w:r>
            <w:r>
              <w:rPr>
                <w:color w:val="auto"/>
                <w:kern w:val="0"/>
                <w:sz w:val="24"/>
              </w:rPr>
              <w:t>其他符合性分析</w:t>
            </w:r>
          </w:p>
        </w:tc>
        <w:tc>
          <w:tcPr>
            <w:tcW w:w="4530" w:type="pct"/>
          </w:tcPr>
          <w:p w14:paraId="1EC8942B">
            <w:pPr>
              <w:adjustRightInd w:val="0"/>
              <w:snapToGrid w:val="0"/>
              <w:spacing w:line="360" w:lineRule="auto"/>
              <w:ind w:firstLine="482" w:firstLineChars="200"/>
              <w:outlineLvl w:val="1"/>
              <w:rPr>
                <w:b/>
                <w:color w:val="auto"/>
                <w:sz w:val="24"/>
              </w:rPr>
            </w:pPr>
            <w:r>
              <w:rPr>
                <w:b/>
                <w:color w:val="auto"/>
                <w:sz w:val="24"/>
              </w:rPr>
              <w:t>3、产业政策的符合性</w:t>
            </w:r>
          </w:p>
          <w:p w14:paraId="6D5F5C48">
            <w:pPr>
              <w:widowControl/>
              <w:spacing w:line="360" w:lineRule="auto"/>
              <w:ind w:firstLine="480" w:firstLineChars="200"/>
              <w:rPr>
                <w:color w:val="auto"/>
                <w:sz w:val="24"/>
              </w:rPr>
            </w:pPr>
            <w:r>
              <w:rPr>
                <w:rFonts w:hint="eastAsia"/>
                <w:color w:val="auto"/>
                <w:sz w:val="24"/>
              </w:rPr>
              <w:t>本项目属于检测服务类的建设项目。根据《产业结构调整指导目录（20</w:t>
            </w:r>
            <w:r>
              <w:rPr>
                <w:rFonts w:hint="eastAsia"/>
                <w:color w:val="auto"/>
                <w:sz w:val="24"/>
                <w:lang w:val="en-US" w:eastAsia="zh-CN"/>
              </w:rPr>
              <w:t>24</w:t>
            </w:r>
            <w:r>
              <w:rPr>
                <w:rFonts w:hint="eastAsia"/>
                <w:color w:val="auto"/>
                <w:sz w:val="24"/>
              </w:rPr>
              <w:t>年本）》可知，本项目属于</w:t>
            </w:r>
            <w:r>
              <w:rPr>
                <w:rFonts w:hint="eastAsia"/>
                <w:color w:val="auto"/>
                <w:sz w:val="24"/>
                <w:lang w:val="en-US" w:eastAsia="zh-CN"/>
              </w:rPr>
              <w:t>鼓励类：</w:t>
            </w:r>
            <w:r>
              <w:rPr>
                <w:rFonts w:hint="eastAsia"/>
                <w:color w:val="auto"/>
                <w:sz w:val="24"/>
                <w:lang w:eastAsia="zh-CN"/>
              </w:rPr>
              <w:t>“</w:t>
            </w:r>
            <w:r>
              <w:rPr>
                <w:rFonts w:hint="eastAsia"/>
                <w:color w:val="auto"/>
                <w:sz w:val="24"/>
              </w:rPr>
              <w:t>三十一、科技服务</w:t>
            </w:r>
            <w:r>
              <w:rPr>
                <w:rFonts w:hint="eastAsia"/>
                <w:color w:val="auto"/>
                <w:sz w:val="24"/>
                <w:lang w:val="en-US" w:eastAsia="zh-CN"/>
              </w:rPr>
              <w:t>业</w:t>
            </w:r>
            <w:r>
              <w:rPr>
                <w:rFonts w:hint="eastAsia"/>
                <w:color w:val="auto"/>
                <w:sz w:val="24"/>
              </w:rPr>
              <w:t>，</w:t>
            </w:r>
            <w:r>
              <w:rPr>
                <w:rFonts w:hint="eastAsia"/>
                <w:color w:val="auto"/>
                <w:sz w:val="24"/>
                <w:lang w:val="en-US" w:eastAsia="zh-CN"/>
              </w:rPr>
              <w:t>5</w:t>
            </w:r>
            <w:r>
              <w:rPr>
                <w:rFonts w:hint="eastAsia"/>
                <w:color w:val="auto"/>
                <w:sz w:val="24"/>
              </w:rPr>
              <w:t>、</w:t>
            </w:r>
            <w:r>
              <w:rPr>
                <w:rFonts w:hint="eastAsia"/>
                <w:color w:val="auto"/>
                <w:sz w:val="24"/>
                <w:lang w:val="en-US" w:eastAsia="zh-CN"/>
              </w:rPr>
              <w:t>检验检测认证服务：分析、试验、测试以及相关技术咨询与研发服务</w:t>
            </w:r>
            <w:r>
              <w:rPr>
                <w:rFonts w:hint="eastAsia"/>
                <w:color w:val="auto"/>
                <w:sz w:val="24"/>
                <w:lang w:eastAsia="zh-CN"/>
              </w:rPr>
              <w:t>”</w:t>
            </w:r>
            <w:r>
              <w:rPr>
                <w:rFonts w:hint="eastAsia"/>
                <w:color w:val="auto"/>
                <w:sz w:val="24"/>
              </w:rPr>
              <w:t>。</w:t>
            </w:r>
          </w:p>
          <w:p w14:paraId="65E24AD0">
            <w:pPr>
              <w:widowControl/>
              <w:spacing w:line="360" w:lineRule="auto"/>
              <w:ind w:firstLine="480" w:firstLineChars="200"/>
              <w:rPr>
                <w:color w:val="auto"/>
                <w:sz w:val="24"/>
              </w:rPr>
            </w:pPr>
            <w:r>
              <w:rPr>
                <w:color w:val="auto"/>
                <w:sz w:val="24"/>
              </w:rPr>
              <w:t>本项目为</w:t>
            </w:r>
            <w:r>
              <w:rPr>
                <w:rFonts w:hint="eastAsia"/>
                <w:color w:val="auto"/>
                <w:sz w:val="24"/>
                <w:highlight w:val="none"/>
              </w:rPr>
              <w:t>研究和试验发展</w:t>
            </w:r>
            <w:r>
              <w:rPr>
                <w:color w:val="auto"/>
                <w:sz w:val="24"/>
              </w:rPr>
              <w:t>，不属于《市场准入负面清单（202</w:t>
            </w:r>
            <w:r>
              <w:rPr>
                <w:rFonts w:hint="eastAsia"/>
                <w:color w:val="auto"/>
                <w:sz w:val="24"/>
                <w:lang w:val="en-US" w:eastAsia="zh-CN"/>
              </w:rPr>
              <w:t>5</w:t>
            </w:r>
            <w:r>
              <w:rPr>
                <w:color w:val="auto"/>
                <w:sz w:val="24"/>
              </w:rPr>
              <w:t>年版）》中禁止</w:t>
            </w:r>
            <w:r>
              <w:rPr>
                <w:rFonts w:hint="eastAsia"/>
                <w:color w:val="auto"/>
                <w:sz w:val="24"/>
                <w:lang w:val="en-US" w:eastAsia="zh-CN"/>
              </w:rPr>
              <w:t>准入</w:t>
            </w:r>
            <w:r>
              <w:rPr>
                <w:color w:val="auto"/>
                <w:sz w:val="24"/>
              </w:rPr>
              <w:t>类项目。</w:t>
            </w:r>
          </w:p>
          <w:p w14:paraId="6C972EA3">
            <w:pPr>
              <w:widowControl/>
              <w:spacing w:line="360" w:lineRule="auto"/>
              <w:ind w:firstLine="480" w:firstLineChars="200"/>
              <w:rPr>
                <w:color w:val="auto"/>
                <w:sz w:val="24"/>
              </w:rPr>
            </w:pPr>
            <w:r>
              <w:rPr>
                <w:color w:val="auto"/>
                <w:sz w:val="24"/>
              </w:rPr>
              <w:t>综上，项目的建设符合国家及地方产业政策要求。</w:t>
            </w:r>
          </w:p>
          <w:p w14:paraId="4AEB8622">
            <w:pPr>
              <w:adjustRightInd w:val="0"/>
              <w:snapToGrid w:val="0"/>
              <w:spacing w:line="360" w:lineRule="auto"/>
              <w:ind w:firstLine="482" w:firstLineChars="200"/>
              <w:outlineLvl w:val="1"/>
              <w:rPr>
                <w:b/>
                <w:color w:val="auto"/>
                <w:sz w:val="24"/>
              </w:rPr>
            </w:pPr>
            <w:r>
              <w:rPr>
                <w:rFonts w:hint="eastAsia"/>
                <w:b/>
                <w:color w:val="auto"/>
                <w:sz w:val="24"/>
              </w:rPr>
              <w:t>4</w:t>
            </w:r>
            <w:r>
              <w:rPr>
                <w:b/>
                <w:color w:val="auto"/>
                <w:sz w:val="24"/>
              </w:rPr>
              <w:t>、选址合理性分析</w:t>
            </w:r>
          </w:p>
          <w:p w14:paraId="21E0F1C9">
            <w:pPr>
              <w:widowControl/>
              <w:spacing w:line="360" w:lineRule="auto"/>
              <w:ind w:firstLine="480" w:firstLineChars="200"/>
              <w:rPr>
                <w:color w:val="auto"/>
                <w:sz w:val="24"/>
              </w:rPr>
            </w:pPr>
            <w:r>
              <w:rPr>
                <w:rFonts w:hint="eastAsia"/>
                <w:color w:val="auto"/>
                <w:sz w:val="24"/>
              </w:rPr>
              <w:t>（1）位置及交通</w:t>
            </w:r>
          </w:p>
          <w:p w14:paraId="5E8B3BCD">
            <w:pPr>
              <w:widowControl/>
              <w:spacing w:line="360" w:lineRule="auto"/>
              <w:ind w:firstLine="480" w:firstLineChars="200"/>
              <w:rPr>
                <w:rFonts w:hint="default"/>
                <w:color w:val="auto"/>
                <w:sz w:val="24"/>
                <w:lang w:val="en-US"/>
              </w:rPr>
            </w:pPr>
            <w:r>
              <w:rPr>
                <w:rFonts w:hint="eastAsia"/>
                <w:color w:val="auto"/>
                <w:sz w:val="24"/>
              </w:rPr>
              <w:t>本项目位于</w:t>
            </w:r>
            <w:r>
              <w:rPr>
                <w:rFonts w:hint="eastAsia"/>
                <w:color w:val="auto"/>
                <w:sz w:val="24"/>
                <w:lang w:eastAsia="zh-CN"/>
              </w:rPr>
              <w:t>沣东新城天章大道与丰安路十字东南角（西安众汇电子科技有限公司办公楼一层）</w:t>
            </w:r>
            <w:r>
              <w:rPr>
                <w:rFonts w:hint="eastAsia"/>
                <w:color w:val="auto"/>
                <w:sz w:val="24"/>
              </w:rPr>
              <w:t>，项目区交通运输较便捷。</w:t>
            </w:r>
            <w:r>
              <w:rPr>
                <w:rFonts w:hint="eastAsia"/>
                <w:color w:val="auto"/>
                <w:sz w:val="24"/>
                <w:lang w:val="en-US" w:eastAsia="zh-CN"/>
              </w:rPr>
              <w:t>西安市正通市政工程试验检测有限公司租赁西安众汇电子科技有限公司院内场地进行建设，项目用地性质为工业用地，土地证见附件8，租赁合同见附件3。</w:t>
            </w:r>
          </w:p>
          <w:p w14:paraId="23CED4C6">
            <w:pPr>
              <w:widowControl/>
              <w:spacing w:line="360" w:lineRule="auto"/>
              <w:ind w:firstLine="480" w:firstLineChars="200"/>
              <w:rPr>
                <w:color w:val="auto"/>
                <w:sz w:val="24"/>
              </w:rPr>
            </w:pPr>
            <w:r>
              <w:rPr>
                <w:rFonts w:hint="eastAsia"/>
                <w:color w:val="auto"/>
                <w:sz w:val="24"/>
              </w:rPr>
              <w:t>（2）基础设施条件</w:t>
            </w:r>
          </w:p>
          <w:p w14:paraId="1D869E44">
            <w:pPr>
              <w:widowControl/>
              <w:spacing w:line="360" w:lineRule="auto"/>
              <w:ind w:firstLine="480" w:firstLineChars="200"/>
              <w:rPr>
                <w:color w:val="auto"/>
                <w:sz w:val="24"/>
              </w:rPr>
            </w:pPr>
            <w:r>
              <w:rPr>
                <w:rFonts w:hint="eastAsia"/>
                <w:color w:val="auto"/>
                <w:sz w:val="24"/>
              </w:rPr>
              <w:t>经调查，项目所在地供水、供电管网已铺设到位，水源、电源有保障，可满足生产及生活需要。</w:t>
            </w:r>
          </w:p>
          <w:p w14:paraId="38E6F10F">
            <w:pPr>
              <w:widowControl/>
              <w:spacing w:line="360" w:lineRule="auto"/>
              <w:ind w:firstLine="480" w:firstLineChars="200"/>
              <w:rPr>
                <w:color w:val="auto"/>
                <w:sz w:val="24"/>
              </w:rPr>
            </w:pPr>
            <w:r>
              <w:rPr>
                <w:rFonts w:hint="eastAsia"/>
                <w:color w:val="auto"/>
                <w:sz w:val="24"/>
              </w:rPr>
              <w:t>（3）环境敏感性</w:t>
            </w:r>
          </w:p>
          <w:p w14:paraId="740A15C7">
            <w:pPr>
              <w:widowControl/>
              <w:spacing w:line="360" w:lineRule="auto"/>
              <w:ind w:firstLine="480" w:firstLineChars="200"/>
              <w:rPr>
                <w:color w:val="auto"/>
                <w:sz w:val="24"/>
              </w:rPr>
            </w:pPr>
            <w:r>
              <w:rPr>
                <w:rFonts w:hint="eastAsia"/>
                <w:color w:val="auto"/>
                <w:sz w:val="24"/>
              </w:rPr>
              <w:t>本项目位于</w:t>
            </w:r>
            <w:r>
              <w:rPr>
                <w:rFonts w:hint="eastAsia"/>
                <w:color w:val="auto"/>
                <w:sz w:val="24"/>
                <w:lang w:eastAsia="zh-CN"/>
              </w:rPr>
              <w:t>沣东新城天章大道与丰安路十字东南角（西安众汇电子科技有限公司办公楼一层）</w:t>
            </w:r>
            <w:r>
              <w:rPr>
                <w:rFonts w:hint="eastAsia"/>
                <w:color w:val="auto"/>
                <w:sz w:val="24"/>
              </w:rPr>
              <w:t>，所选场址及周围无自然保护区、风景名胜区、生态保护区、集中式的饮用水水源地等环境敏感区。</w:t>
            </w:r>
          </w:p>
          <w:p w14:paraId="66235693">
            <w:pPr>
              <w:widowControl/>
              <w:spacing w:line="360" w:lineRule="auto"/>
              <w:ind w:firstLine="480" w:firstLineChars="200"/>
              <w:rPr>
                <w:color w:val="auto"/>
                <w:sz w:val="24"/>
              </w:rPr>
            </w:pPr>
            <w:r>
              <w:rPr>
                <w:rFonts w:hint="eastAsia"/>
                <w:color w:val="auto"/>
                <w:sz w:val="24"/>
              </w:rPr>
              <w:t>（4）污染物达标排放的可达性</w:t>
            </w:r>
          </w:p>
          <w:p w14:paraId="4B021CD2">
            <w:pPr>
              <w:widowControl/>
              <w:spacing w:line="360" w:lineRule="auto"/>
              <w:ind w:firstLine="480" w:firstLineChars="200"/>
              <w:rPr>
                <w:color w:val="auto"/>
                <w:sz w:val="24"/>
              </w:rPr>
            </w:pPr>
            <w:r>
              <w:rPr>
                <w:rFonts w:hint="eastAsia"/>
                <w:color w:val="auto"/>
                <w:sz w:val="24"/>
              </w:rPr>
              <w:t>项目</w:t>
            </w:r>
            <w:r>
              <w:rPr>
                <w:rFonts w:hint="eastAsia"/>
                <w:color w:val="auto"/>
                <w:sz w:val="24"/>
                <w:lang w:val="en-US" w:eastAsia="zh-CN"/>
              </w:rPr>
              <w:t>实验室器皿后段清洗废水、地面清洁废水和物理检测废水经沉淀池收集后，与生活污水一同排入化粪池处理，最终通过市政污水管网排入西安净水处理有限责任公司第六再生水厂</w:t>
            </w:r>
            <w:r>
              <w:rPr>
                <w:rFonts w:hint="eastAsia"/>
                <w:color w:val="auto"/>
                <w:sz w:val="24"/>
              </w:rPr>
              <w:t>；噪声经</w:t>
            </w:r>
            <w:r>
              <w:rPr>
                <w:rFonts w:hint="eastAsia"/>
                <w:color w:val="auto"/>
                <w:sz w:val="24"/>
                <w:lang w:val="en-US" w:eastAsia="zh-CN"/>
              </w:rPr>
              <w:t>室内</w:t>
            </w:r>
            <w:r>
              <w:rPr>
                <w:rFonts w:hint="eastAsia"/>
                <w:color w:val="auto"/>
                <w:sz w:val="24"/>
              </w:rPr>
              <w:t>隔声、基础减振、距离衰减后对周围环境影响小；运营期废气经</w:t>
            </w:r>
            <w:r>
              <w:rPr>
                <w:rFonts w:hint="eastAsia" w:ascii="宋体" w:hAnsi="宋体"/>
                <w:color w:val="auto"/>
                <w:sz w:val="24"/>
                <w:highlight w:val="none"/>
                <w:lang w:eastAsia="zh-CN"/>
              </w:rPr>
              <w:t>二级活性炭</w:t>
            </w:r>
            <w:r>
              <w:rPr>
                <w:rFonts w:hint="eastAsia" w:ascii="宋体" w:hAnsi="宋体"/>
                <w:color w:val="auto"/>
                <w:sz w:val="24"/>
                <w:highlight w:val="none"/>
                <w:lang w:val="en-US" w:eastAsia="zh-CN"/>
              </w:rPr>
              <w:t>吸附</w:t>
            </w:r>
            <w:r>
              <w:rPr>
                <w:rFonts w:hint="eastAsia"/>
                <w:color w:val="auto"/>
                <w:sz w:val="24"/>
              </w:rPr>
              <w:t>处理后，废气能达标排放；生活垃圾</w:t>
            </w:r>
            <w:r>
              <w:rPr>
                <w:rFonts w:hint="eastAsia"/>
                <w:color w:val="auto"/>
                <w:sz w:val="24"/>
                <w:lang w:val="en-US"/>
              </w:rPr>
              <w:t>分类收集交环卫部门处理</w:t>
            </w:r>
            <w:r>
              <w:rPr>
                <w:rFonts w:hint="eastAsia"/>
                <w:color w:val="auto"/>
                <w:sz w:val="24"/>
              </w:rPr>
              <w:t>，废包装材料</w:t>
            </w:r>
            <w:r>
              <w:rPr>
                <w:rFonts w:hint="eastAsia"/>
                <w:color w:val="auto"/>
                <w:sz w:val="24"/>
                <w:lang w:val="en-US"/>
              </w:rPr>
              <w:t>集中收集、定期外售</w:t>
            </w:r>
            <w:r>
              <w:rPr>
                <w:rFonts w:hint="eastAsia"/>
                <w:color w:val="auto"/>
                <w:sz w:val="24"/>
              </w:rPr>
              <w:t>、</w:t>
            </w:r>
            <w:r>
              <w:rPr>
                <w:rFonts w:hint="eastAsia"/>
                <w:color w:val="auto"/>
                <w:sz w:val="24"/>
                <w:lang w:val="en-US" w:eastAsia="zh-CN"/>
              </w:rPr>
              <w:t>试验废样委托建筑垃圾清运公司运输、处理</w:t>
            </w:r>
            <w:r>
              <w:rPr>
                <w:rFonts w:hint="eastAsia"/>
                <w:color w:val="auto"/>
                <w:sz w:val="24"/>
              </w:rPr>
              <w:t>，废</w:t>
            </w:r>
            <w:r>
              <w:rPr>
                <w:rFonts w:hint="eastAsia"/>
                <w:color w:val="auto"/>
                <w:sz w:val="24"/>
                <w:lang w:eastAsia="zh-CN"/>
              </w:rPr>
              <w:t>活性炭</w:t>
            </w:r>
            <w:r>
              <w:rPr>
                <w:rFonts w:hint="eastAsia"/>
                <w:color w:val="auto"/>
                <w:sz w:val="24"/>
              </w:rPr>
              <w:t>、</w:t>
            </w:r>
            <w:r>
              <w:rPr>
                <w:rFonts w:hint="eastAsia"/>
                <w:color w:val="auto"/>
                <w:sz w:val="24"/>
                <w:lang w:val="en-US"/>
              </w:rPr>
              <w:t>试验室废液</w:t>
            </w:r>
            <w:r>
              <w:rPr>
                <w:rFonts w:hint="eastAsia"/>
                <w:color w:val="auto"/>
                <w:sz w:val="24"/>
              </w:rPr>
              <w:t>、</w:t>
            </w:r>
            <w:r>
              <w:rPr>
                <w:rFonts w:hint="eastAsia"/>
                <w:color w:val="auto"/>
                <w:sz w:val="24"/>
                <w:lang w:val="en-US" w:eastAsia="zh-CN"/>
              </w:rPr>
              <w:t>废试剂瓶</w:t>
            </w:r>
            <w:r>
              <w:rPr>
                <w:rFonts w:hint="eastAsia"/>
                <w:color w:val="auto"/>
                <w:sz w:val="24"/>
              </w:rPr>
              <w:t>暂存于危险废物贮存库，定期交由有资质单位统一处置。综上，在采取相应环保措施后，本项目产生的各类污染物均可实现达标排放，不会改变当地环境质量现状，不会对周围环境产生明显影响。</w:t>
            </w:r>
          </w:p>
          <w:p w14:paraId="33372DBE">
            <w:pPr>
              <w:pStyle w:val="9"/>
              <w:spacing w:before="0" w:after="0" w:line="360" w:lineRule="auto"/>
              <w:ind w:right="0" w:firstLine="480" w:firstLineChars="200"/>
              <w:rPr>
                <w:color w:val="auto"/>
                <w:sz w:val="24"/>
                <w:szCs w:val="24"/>
              </w:rPr>
            </w:pPr>
            <w:r>
              <w:rPr>
                <w:rFonts w:hint="eastAsia"/>
                <w:color w:val="auto"/>
                <w:sz w:val="24"/>
              </w:rPr>
              <w:t>因此，从环保角度分析，项目选址合理。</w:t>
            </w:r>
          </w:p>
        </w:tc>
      </w:tr>
    </w:tbl>
    <w:p w14:paraId="1321EA1D">
      <w:pPr>
        <w:spacing w:line="360" w:lineRule="auto"/>
        <w:rPr>
          <w:rFonts w:eastAsia="黑体"/>
          <w:color w:val="000000" w:themeColor="text1"/>
          <w:sz w:val="30"/>
          <w14:textFill>
            <w14:solidFill>
              <w14:schemeClr w14:val="tx1"/>
            </w14:solidFill>
          </w14:textFill>
        </w:rPr>
        <w:sectPr>
          <w:pgSz w:w="11906" w:h="16838"/>
          <w:pgMar w:top="1701" w:right="1531" w:bottom="1701" w:left="1531" w:header="851" w:footer="1077" w:gutter="0"/>
          <w:pgBorders>
            <w:top w:val="none" w:sz="0" w:space="0"/>
            <w:left w:val="none" w:sz="0" w:space="0"/>
            <w:bottom w:val="none" w:sz="0" w:space="0"/>
            <w:right w:val="none" w:sz="0" w:space="0"/>
          </w:pgBorders>
          <w:cols w:space="720" w:num="1"/>
          <w:docGrid w:linePitch="312" w:charSpace="0"/>
        </w:sectPr>
      </w:pPr>
    </w:p>
    <w:p w14:paraId="32ECB5C9">
      <w:pPr>
        <w:jc w:val="center"/>
        <w:outlineLvl w:val="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二、</w:t>
      </w:r>
      <w:r>
        <w:rPr>
          <w:rFonts w:ascii="宋体" w:hAnsi="宋体"/>
          <w:b/>
          <w:bCs/>
          <w:color w:val="000000" w:themeColor="text1"/>
          <w:sz w:val="28"/>
          <w:szCs w:val="28"/>
          <w14:textFill>
            <w14:solidFill>
              <w14:schemeClr w14:val="tx1"/>
            </w14:solidFill>
          </w14:textFill>
        </w:rPr>
        <w:t>建设项目工程分析</w:t>
      </w:r>
    </w:p>
    <w:tbl>
      <w:tblPr>
        <w:tblStyle w:val="28"/>
        <w:tblW w:w="92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516"/>
      </w:tblGrid>
      <w:tr w14:paraId="6F5F72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3012" w:hRule="atLeast"/>
          <w:jc w:val="center"/>
        </w:trPr>
        <w:tc>
          <w:tcPr>
            <w:tcW w:w="436" w:type="dxa"/>
            <w:tcBorders>
              <w:top w:val="single" w:color="auto" w:sz="4" w:space="0"/>
              <w:left w:val="single" w:color="auto" w:sz="4" w:space="0"/>
            </w:tcBorders>
            <w:vAlign w:val="center"/>
          </w:tcPr>
          <w:p w14:paraId="77D151B5">
            <w:pPr>
              <w:pStyle w:val="25"/>
              <w:adjustRightInd w:val="0"/>
              <w:snapToGrid w:val="0"/>
              <w:spacing w:before="0" w:beforeAutospacing="0" w:after="0" w:afterAutospacing="0"/>
              <w:jc w:val="center"/>
              <w:rPr>
                <w:rFonts w:cs="宋体"/>
                <w:color w:val="auto"/>
                <w:szCs w:val="24"/>
              </w:rPr>
            </w:pPr>
            <w:r>
              <w:rPr>
                <w:rFonts w:hint="eastAsia" w:cs="宋体"/>
                <w:color w:val="auto"/>
                <w:szCs w:val="24"/>
              </w:rPr>
              <w:t>建设内容</w:t>
            </w:r>
          </w:p>
        </w:tc>
        <w:tc>
          <w:tcPr>
            <w:tcW w:w="8843" w:type="dxa"/>
            <w:tcBorders>
              <w:top w:val="single" w:color="auto" w:sz="4" w:space="0"/>
              <w:right w:val="single" w:color="auto" w:sz="4" w:space="0"/>
            </w:tcBorders>
          </w:tcPr>
          <w:p w14:paraId="067AFFA0">
            <w:pPr>
              <w:spacing w:line="360" w:lineRule="auto"/>
              <w:ind w:firstLine="482" w:firstLineChars="200"/>
              <w:rPr>
                <w:b/>
                <w:bCs/>
                <w:color w:val="auto"/>
                <w:sz w:val="24"/>
              </w:rPr>
            </w:pPr>
            <w:r>
              <w:rPr>
                <w:rFonts w:hint="eastAsia"/>
                <w:b/>
                <w:color w:val="auto"/>
                <w:sz w:val="24"/>
              </w:rPr>
              <w:t>1</w:t>
            </w:r>
            <w:r>
              <w:rPr>
                <w:rFonts w:hint="eastAsia"/>
                <w:b/>
                <w:bCs/>
                <w:color w:val="auto"/>
                <w:sz w:val="24"/>
              </w:rPr>
              <w:t>、项目基本情况</w:t>
            </w:r>
          </w:p>
          <w:p w14:paraId="0A925501">
            <w:pPr>
              <w:spacing w:line="360" w:lineRule="auto"/>
              <w:ind w:firstLine="480" w:firstLineChars="200"/>
              <w:rPr>
                <w:rFonts w:hint="eastAsia" w:eastAsia="宋体"/>
                <w:color w:val="auto"/>
                <w:sz w:val="24"/>
                <w:lang w:eastAsia="zh-CN"/>
              </w:rPr>
            </w:pPr>
            <w:r>
              <w:rPr>
                <w:color w:val="auto"/>
                <w:sz w:val="24"/>
              </w:rPr>
              <w:t>项目名称：</w:t>
            </w:r>
            <w:r>
              <w:rPr>
                <w:rFonts w:hint="eastAsia"/>
                <w:bCs/>
                <w:color w:val="auto"/>
                <w:sz w:val="24"/>
                <w:lang w:eastAsia="zh-CN"/>
              </w:rPr>
              <w:t>西安市正通市政工程试验检测有限公司实验室建设项目</w:t>
            </w:r>
          </w:p>
          <w:p w14:paraId="6484F793">
            <w:pPr>
              <w:spacing w:line="360" w:lineRule="auto"/>
              <w:ind w:firstLine="480" w:firstLineChars="200"/>
              <w:rPr>
                <w:rFonts w:hint="eastAsia" w:eastAsia="宋体"/>
                <w:color w:val="auto"/>
                <w:sz w:val="24"/>
                <w:lang w:eastAsia="zh-CN"/>
              </w:rPr>
            </w:pPr>
            <w:r>
              <w:rPr>
                <w:color w:val="auto"/>
                <w:sz w:val="24"/>
              </w:rPr>
              <w:t>建设单位：</w:t>
            </w:r>
            <w:r>
              <w:rPr>
                <w:rFonts w:hint="eastAsia"/>
                <w:color w:val="auto"/>
                <w:sz w:val="24"/>
                <w:lang w:eastAsia="zh-CN"/>
              </w:rPr>
              <w:t>西安市正通市政工程试验检测有限公司</w:t>
            </w:r>
          </w:p>
          <w:p w14:paraId="35861361">
            <w:pPr>
              <w:spacing w:line="360" w:lineRule="auto"/>
              <w:ind w:firstLine="480" w:firstLineChars="200"/>
              <w:rPr>
                <w:color w:val="auto"/>
                <w:sz w:val="24"/>
              </w:rPr>
            </w:pPr>
            <w:r>
              <w:rPr>
                <w:color w:val="auto"/>
                <w:sz w:val="24"/>
              </w:rPr>
              <w:t>建设性质：</w:t>
            </w:r>
            <w:r>
              <w:rPr>
                <w:rFonts w:hint="eastAsia"/>
                <w:color w:val="auto"/>
                <w:sz w:val="24"/>
                <w:lang w:val="en-US" w:eastAsia="zh-CN"/>
              </w:rPr>
              <w:t>新</w:t>
            </w:r>
            <w:r>
              <w:rPr>
                <w:rFonts w:hint="eastAsia"/>
                <w:color w:val="auto"/>
                <w:sz w:val="24"/>
              </w:rPr>
              <w:t>建</w:t>
            </w:r>
          </w:p>
          <w:p w14:paraId="783383A6">
            <w:pPr>
              <w:spacing w:line="360" w:lineRule="auto"/>
              <w:ind w:firstLine="480" w:firstLineChars="200"/>
              <w:rPr>
                <w:color w:val="auto"/>
                <w:sz w:val="24"/>
              </w:rPr>
            </w:pPr>
            <w:r>
              <w:rPr>
                <w:color w:val="auto"/>
                <w:sz w:val="24"/>
              </w:rPr>
              <w:t>项目投资：项目总投资为</w:t>
            </w:r>
            <w:r>
              <w:rPr>
                <w:rFonts w:hint="eastAsia"/>
                <w:color w:val="auto"/>
                <w:sz w:val="24"/>
                <w:lang w:val="en-US" w:eastAsia="zh-CN"/>
              </w:rPr>
              <w:t>7</w:t>
            </w:r>
            <w:r>
              <w:rPr>
                <w:rFonts w:hint="eastAsia"/>
                <w:color w:val="auto"/>
                <w:sz w:val="24"/>
              </w:rPr>
              <w:t>00</w:t>
            </w:r>
            <w:r>
              <w:rPr>
                <w:color w:val="auto"/>
                <w:sz w:val="24"/>
              </w:rPr>
              <w:t>万元，资金</w:t>
            </w:r>
            <w:r>
              <w:rPr>
                <w:rFonts w:hint="eastAsia"/>
                <w:color w:val="auto"/>
                <w:sz w:val="24"/>
              </w:rPr>
              <w:t>全部由</w:t>
            </w:r>
            <w:r>
              <w:rPr>
                <w:color w:val="auto"/>
                <w:sz w:val="24"/>
              </w:rPr>
              <w:t>企业自筹。</w:t>
            </w:r>
          </w:p>
          <w:p w14:paraId="4CB5C20A">
            <w:pPr>
              <w:spacing w:line="360" w:lineRule="auto"/>
              <w:ind w:firstLine="480" w:firstLineChars="200"/>
              <w:rPr>
                <w:color w:val="auto"/>
                <w:sz w:val="24"/>
              </w:rPr>
            </w:pPr>
            <w:r>
              <w:rPr>
                <w:color w:val="auto"/>
                <w:sz w:val="24"/>
              </w:rPr>
              <w:t>建设地点：</w:t>
            </w:r>
            <w:r>
              <w:rPr>
                <w:rFonts w:hint="eastAsia"/>
                <w:color w:val="auto"/>
                <w:sz w:val="24"/>
                <w:lang w:val="en-US" w:eastAsia="zh-CN"/>
              </w:rPr>
              <w:t>项目位于陕西省西安市</w:t>
            </w:r>
            <w:r>
              <w:rPr>
                <w:rFonts w:hint="eastAsia"/>
                <w:color w:val="auto"/>
                <w:sz w:val="24"/>
                <w:u w:val="none"/>
                <w:lang w:eastAsia="zh-CN"/>
              </w:rPr>
              <w:t>沣东新城天章大道与丰安路十字东南角（西安众汇电子科技有限公司办公楼一层）</w:t>
            </w:r>
            <w:r>
              <w:rPr>
                <w:color w:val="auto"/>
                <w:sz w:val="24"/>
                <w:u w:val="none"/>
              </w:rPr>
              <w:t>，中心位置地理为东经108度</w:t>
            </w:r>
            <w:r>
              <w:rPr>
                <w:rFonts w:hint="eastAsia"/>
                <w:color w:val="auto"/>
                <w:sz w:val="24"/>
                <w:u w:val="none"/>
                <w:lang w:val="en-US" w:eastAsia="zh-CN"/>
              </w:rPr>
              <w:t>49</w:t>
            </w:r>
            <w:r>
              <w:rPr>
                <w:color w:val="auto"/>
                <w:sz w:val="24"/>
                <w:u w:val="none"/>
              </w:rPr>
              <w:t>分</w:t>
            </w:r>
            <w:r>
              <w:rPr>
                <w:rFonts w:hint="eastAsia"/>
                <w:color w:val="auto"/>
                <w:sz w:val="24"/>
                <w:u w:val="none"/>
                <w:lang w:val="en-US" w:eastAsia="zh-CN"/>
              </w:rPr>
              <w:t>13.160</w:t>
            </w:r>
            <w:r>
              <w:rPr>
                <w:color w:val="auto"/>
                <w:sz w:val="24"/>
                <w:u w:val="none"/>
              </w:rPr>
              <w:t>秒，北纬34度</w:t>
            </w:r>
            <w:r>
              <w:rPr>
                <w:rFonts w:hint="eastAsia"/>
                <w:color w:val="auto"/>
                <w:sz w:val="24"/>
                <w:u w:val="none"/>
              </w:rPr>
              <w:t>1</w:t>
            </w:r>
            <w:r>
              <w:rPr>
                <w:rFonts w:hint="eastAsia"/>
                <w:color w:val="auto"/>
                <w:sz w:val="24"/>
                <w:u w:val="none"/>
                <w:lang w:val="en-US" w:eastAsia="zh-CN"/>
              </w:rPr>
              <w:t>9</w:t>
            </w:r>
            <w:r>
              <w:rPr>
                <w:color w:val="auto"/>
                <w:sz w:val="24"/>
                <w:u w:val="none"/>
              </w:rPr>
              <w:t>分</w:t>
            </w:r>
            <w:r>
              <w:rPr>
                <w:rFonts w:hint="eastAsia"/>
                <w:color w:val="auto"/>
                <w:sz w:val="24"/>
                <w:u w:val="none"/>
                <w:lang w:val="en-US" w:eastAsia="zh-CN"/>
              </w:rPr>
              <w:t>36.950</w:t>
            </w:r>
            <w:r>
              <w:rPr>
                <w:color w:val="auto"/>
                <w:sz w:val="24"/>
                <w:u w:val="none"/>
              </w:rPr>
              <w:t>秒。</w:t>
            </w:r>
            <w:r>
              <w:rPr>
                <w:color w:val="auto"/>
                <w:sz w:val="24"/>
              </w:rPr>
              <w:t>详见附图1地理位置图。</w:t>
            </w:r>
          </w:p>
          <w:p w14:paraId="475245C0">
            <w:pPr>
              <w:spacing w:line="360" w:lineRule="auto"/>
              <w:ind w:firstLine="480" w:firstLineChars="200"/>
              <w:rPr>
                <w:color w:val="auto"/>
                <w:sz w:val="24"/>
              </w:rPr>
            </w:pPr>
            <w:r>
              <w:rPr>
                <w:color w:val="auto"/>
                <w:sz w:val="24"/>
              </w:rPr>
              <w:t>四邻关系：</w:t>
            </w:r>
            <w:r>
              <w:rPr>
                <w:rFonts w:hint="eastAsia"/>
                <w:color w:val="auto"/>
                <w:sz w:val="24"/>
              </w:rPr>
              <w:t>本项目位于</w:t>
            </w:r>
            <w:r>
              <w:rPr>
                <w:rFonts w:hint="eastAsia"/>
                <w:color w:val="auto"/>
                <w:sz w:val="24"/>
                <w:lang w:val="en-US" w:eastAsia="zh-CN"/>
              </w:rPr>
              <w:t>陕西省西安市</w:t>
            </w:r>
            <w:r>
              <w:rPr>
                <w:rFonts w:hint="eastAsia"/>
                <w:color w:val="auto"/>
                <w:sz w:val="24"/>
                <w:lang w:eastAsia="zh-CN"/>
              </w:rPr>
              <w:t>沣东新城天章大道与丰安路十字东南角（西安众汇电子科技有限公司办公楼一层）</w:t>
            </w:r>
            <w:r>
              <w:rPr>
                <w:rFonts w:hint="eastAsia"/>
                <w:color w:val="auto"/>
                <w:sz w:val="24"/>
              </w:rPr>
              <w:t>。</w:t>
            </w:r>
            <w:r>
              <w:rPr>
                <w:rFonts w:hint="eastAsia"/>
                <w:color w:val="auto"/>
                <w:sz w:val="24"/>
                <w:lang w:val="en-US" w:eastAsia="zh-CN"/>
              </w:rPr>
              <w:t>企业租赁西安众汇电子科技有限公司院内办公楼一楼，二楼为西安惠诚汽车销售服务有限公司，三楼为陕汽德龙荣创天驰汽车销售公司，四楼为养乐多（中国）投资有限公司西安分公司，五楼为西安诺威勒科技有限公司、陕西锦泽工程车辆有限公司和西安中物语企业咨询管理有限公司。项目北侧为陕西省建筑设备安装质检中心和丰安路，东侧为陕西省建筑设备安装质检中心和西安重装伟肯电气有限责任公司，南侧为西安维美羊绒制品有限公司，西侧为天章大道、西安天工电气有限公司、陕西宏基药业有限公司。</w:t>
            </w:r>
            <w:r>
              <w:rPr>
                <w:color w:val="auto"/>
                <w:sz w:val="24"/>
              </w:rPr>
              <w:t>详见附图</w:t>
            </w:r>
            <w:r>
              <w:rPr>
                <w:rFonts w:hint="eastAsia"/>
                <w:color w:val="auto"/>
                <w:sz w:val="24"/>
              </w:rPr>
              <w:t>2</w:t>
            </w:r>
            <w:r>
              <w:rPr>
                <w:color w:val="auto"/>
                <w:sz w:val="24"/>
              </w:rPr>
              <w:t>四邻关系图。</w:t>
            </w:r>
          </w:p>
          <w:p w14:paraId="5AEBD25E">
            <w:pPr>
              <w:spacing w:line="360" w:lineRule="auto"/>
              <w:ind w:firstLine="482" w:firstLineChars="200"/>
              <w:rPr>
                <w:b/>
                <w:bCs/>
                <w:color w:val="auto"/>
                <w:sz w:val="24"/>
              </w:rPr>
            </w:pPr>
            <w:r>
              <w:rPr>
                <w:rFonts w:hint="eastAsia"/>
                <w:b/>
                <w:bCs/>
                <w:color w:val="auto"/>
                <w:sz w:val="24"/>
                <w:lang w:val="en-US" w:eastAsia="zh-CN"/>
              </w:rPr>
              <w:t>2</w:t>
            </w:r>
            <w:r>
              <w:rPr>
                <w:b/>
                <w:bCs/>
                <w:color w:val="auto"/>
                <w:sz w:val="24"/>
              </w:rPr>
              <w:t>、建设规模及建设内容</w:t>
            </w:r>
          </w:p>
          <w:p w14:paraId="5ADDE0D7">
            <w:pPr>
              <w:widowControl/>
              <w:spacing w:line="360" w:lineRule="auto"/>
              <w:ind w:firstLine="480" w:firstLineChars="200"/>
              <w:rPr>
                <w:rFonts w:hint="default" w:eastAsia="宋体"/>
                <w:color w:val="auto"/>
                <w:sz w:val="24"/>
                <w:lang w:val="en-US" w:eastAsia="zh-CN"/>
              </w:rPr>
            </w:pPr>
            <w:r>
              <w:rPr>
                <w:rFonts w:hint="eastAsia"/>
                <w:color w:val="auto"/>
                <w:sz w:val="24"/>
                <w:lang w:val="en-US" w:eastAsia="zh-CN"/>
              </w:rPr>
              <w:t>本项目租赁西安众汇电子科技有限公司院内办公楼一楼，建筑总面积854.37平方米，主要购置微机控制压力试验机、微机控制电液伺服万能试验机、全自动比表面积测定仪等设备，建设包括办公区和试验区。主要对客户提供的建设工程材料或者室外工程进行物理或化学性能检测，并最终形成检测报告。</w:t>
            </w:r>
          </w:p>
          <w:p w14:paraId="731F4C94">
            <w:pPr>
              <w:widowControl/>
              <w:spacing w:line="360" w:lineRule="auto"/>
              <w:ind w:firstLine="480" w:firstLineChars="200"/>
              <w:rPr>
                <w:color w:val="auto"/>
                <w:sz w:val="24"/>
              </w:rPr>
            </w:pPr>
            <w:r>
              <w:rPr>
                <w:rFonts w:hint="eastAsia"/>
                <w:color w:val="auto"/>
                <w:sz w:val="24"/>
              </w:rPr>
              <w:t>本项目工程组成见表2-1。</w:t>
            </w:r>
          </w:p>
          <w:p w14:paraId="3CC19318">
            <w:pPr>
              <w:widowControl/>
              <w:jc w:val="center"/>
              <w:rPr>
                <w:rFonts w:hAnsi="宋体"/>
                <w:b/>
                <w:bCs/>
                <w:color w:val="auto"/>
                <w:sz w:val="24"/>
              </w:rPr>
            </w:pPr>
            <w:r>
              <w:rPr>
                <w:b/>
                <w:bCs/>
                <w:color w:val="auto"/>
                <w:sz w:val="24"/>
              </w:rPr>
              <w:t>表2-1  本项目工程组成</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00"/>
              <w:gridCol w:w="1354"/>
              <w:gridCol w:w="5649"/>
              <w:gridCol w:w="993"/>
            </w:tblGrid>
            <w:tr w14:paraId="7E881A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699" w:type="pct"/>
                  <w:vAlign w:val="center"/>
                </w:tcPr>
                <w:p w14:paraId="541BEC7B">
                  <w:pPr>
                    <w:adjustRightInd w:val="0"/>
                    <w:snapToGrid w:val="0"/>
                    <w:jc w:val="center"/>
                    <w:rPr>
                      <w:b/>
                      <w:color w:val="auto"/>
                      <w:szCs w:val="21"/>
                    </w:rPr>
                  </w:pPr>
                  <w:bookmarkStart w:id="2" w:name="OLE_LINK1" w:colFirst="0" w:colLast="4"/>
                  <w:bookmarkStart w:id="3" w:name="OLE_LINK2" w:colFirst="0" w:colLast="4"/>
                  <w:bookmarkStart w:id="4" w:name="_Hlk38377492"/>
                  <w:r>
                    <w:rPr>
                      <w:b/>
                      <w:color w:val="auto"/>
                      <w:szCs w:val="21"/>
                    </w:rPr>
                    <w:t>项目工程组成</w:t>
                  </w:r>
                </w:p>
              </w:tc>
              <w:tc>
                <w:tcPr>
                  <w:tcW w:w="728" w:type="pct"/>
                  <w:vAlign w:val="center"/>
                </w:tcPr>
                <w:p w14:paraId="35F8C529">
                  <w:pPr>
                    <w:adjustRightInd w:val="0"/>
                    <w:snapToGrid w:val="0"/>
                    <w:jc w:val="center"/>
                    <w:rPr>
                      <w:b/>
                      <w:color w:val="auto"/>
                      <w:szCs w:val="21"/>
                    </w:rPr>
                  </w:pPr>
                  <w:r>
                    <w:rPr>
                      <w:b/>
                      <w:color w:val="auto"/>
                      <w:szCs w:val="21"/>
                    </w:rPr>
                    <w:t>子工程</w:t>
                  </w:r>
                </w:p>
              </w:tc>
              <w:tc>
                <w:tcPr>
                  <w:tcW w:w="3038" w:type="pct"/>
                  <w:vAlign w:val="center"/>
                </w:tcPr>
                <w:p w14:paraId="77256134">
                  <w:pPr>
                    <w:adjustRightInd w:val="0"/>
                    <w:snapToGrid w:val="0"/>
                    <w:jc w:val="center"/>
                    <w:rPr>
                      <w:rFonts w:hint="default" w:eastAsia="宋体"/>
                      <w:b/>
                      <w:color w:val="auto"/>
                      <w:szCs w:val="21"/>
                      <w:lang w:val="en-US" w:eastAsia="zh-CN"/>
                    </w:rPr>
                  </w:pPr>
                  <w:r>
                    <w:rPr>
                      <w:rFonts w:hint="eastAsia"/>
                      <w:b/>
                      <w:color w:val="auto"/>
                      <w:szCs w:val="21"/>
                      <w:lang w:val="en-US" w:eastAsia="zh-CN"/>
                    </w:rPr>
                    <w:t>主要建设内容</w:t>
                  </w:r>
                </w:p>
              </w:tc>
              <w:tc>
                <w:tcPr>
                  <w:tcW w:w="534" w:type="pct"/>
                  <w:vAlign w:val="center"/>
                </w:tcPr>
                <w:p w14:paraId="55D00B45">
                  <w:pPr>
                    <w:adjustRightInd w:val="0"/>
                    <w:snapToGrid w:val="0"/>
                    <w:jc w:val="center"/>
                    <w:rPr>
                      <w:b/>
                      <w:color w:val="auto"/>
                      <w:szCs w:val="21"/>
                    </w:rPr>
                  </w:pPr>
                  <w:r>
                    <w:rPr>
                      <w:b/>
                      <w:color w:val="auto"/>
                      <w:szCs w:val="21"/>
                    </w:rPr>
                    <w:t>备注</w:t>
                  </w:r>
                </w:p>
              </w:tc>
            </w:tr>
            <w:tr w14:paraId="636437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699" w:type="pct"/>
                  <w:vMerge w:val="restart"/>
                  <w:vAlign w:val="center"/>
                </w:tcPr>
                <w:p w14:paraId="2AFE337E">
                  <w:pPr>
                    <w:adjustRightInd w:val="0"/>
                    <w:snapToGrid w:val="0"/>
                    <w:jc w:val="center"/>
                    <w:rPr>
                      <w:color w:val="auto"/>
                      <w:szCs w:val="21"/>
                    </w:rPr>
                  </w:pPr>
                  <w:r>
                    <w:rPr>
                      <w:color w:val="auto"/>
                      <w:szCs w:val="21"/>
                    </w:rPr>
                    <w:t>主体工程</w:t>
                  </w:r>
                </w:p>
              </w:tc>
              <w:tc>
                <w:tcPr>
                  <w:tcW w:w="728" w:type="pct"/>
                  <w:vMerge w:val="restart"/>
                  <w:vAlign w:val="center"/>
                </w:tcPr>
                <w:p w14:paraId="5E7F434F">
                  <w:pPr>
                    <w:adjustRightInd w:val="0"/>
                    <w:snapToGrid w:val="0"/>
                    <w:jc w:val="center"/>
                    <w:rPr>
                      <w:rFonts w:hint="eastAsia" w:eastAsia="宋体"/>
                      <w:color w:val="auto"/>
                      <w:szCs w:val="21"/>
                      <w:lang w:eastAsia="zh-CN"/>
                    </w:rPr>
                  </w:pPr>
                  <w:r>
                    <w:rPr>
                      <w:rFonts w:hint="eastAsia"/>
                      <w:color w:val="auto"/>
                      <w:szCs w:val="21"/>
                      <w:lang w:val="en-US" w:eastAsia="zh-CN"/>
                    </w:rPr>
                    <w:t>实验室</w:t>
                  </w:r>
                </w:p>
              </w:tc>
              <w:tc>
                <w:tcPr>
                  <w:tcW w:w="3038" w:type="pct"/>
                  <w:vAlign w:val="center"/>
                </w:tcPr>
                <w:p w14:paraId="77BB6620">
                  <w:pPr>
                    <w:adjustRightInd w:val="0"/>
                    <w:snapToGrid w:val="0"/>
                    <w:jc w:val="center"/>
                    <w:rPr>
                      <w:rFonts w:hint="default" w:eastAsia="宋体"/>
                      <w:color w:val="auto"/>
                      <w:kern w:val="0"/>
                      <w:szCs w:val="21"/>
                      <w:lang w:val="en-US" w:eastAsia="zh-CN" w:bidi="ar"/>
                    </w:rPr>
                  </w:pPr>
                  <w:r>
                    <w:rPr>
                      <w:rFonts w:hint="eastAsia"/>
                      <w:color w:val="auto"/>
                      <w:kern w:val="0"/>
                      <w:szCs w:val="21"/>
                    </w:rPr>
                    <w:t>化学室：</w:t>
                  </w:r>
                  <w:r>
                    <w:rPr>
                      <w:color w:val="auto"/>
                      <w:kern w:val="0"/>
                      <w:szCs w:val="21"/>
                      <w:highlight w:val="none"/>
                      <w:lang w:bidi="ar"/>
                    </w:rPr>
                    <w:t>面积约为</w:t>
                  </w:r>
                  <w:r>
                    <w:rPr>
                      <w:rFonts w:hint="eastAsia"/>
                      <w:color w:val="auto"/>
                      <w:kern w:val="0"/>
                      <w:szCs w:val="21"/>
                      <w:highlight w:val="none"/>
                      <w:lang w:val="en-US" w:eastAsia="zh-CN" w:bidi="ar"/>
                    </w:rPr>
                    <w:t xml:space="preserve">30 </w:t>
                  </w:r>
                  <w:r>
                    <w:rPr>
                      <w:snapToGrid w:val="0"/>
                      <w:color w:val="auto"/>
                      <w:szCs w:val="21"/>
                      <w:highlight w:val="none"/>
                    </w:rPr>
                    <w:t>m</w:t>
                  </w:r>
                  <w:r>
                    <w:rPr>
                      <w:snapToGrid w:val="0"/>
                      <w:color w:val="auto"/>
                      <w:szCs w:val="21"/>
                      <w:highlight w:val="none"/>
                      <w:vertAlign w:val="superscript"/>
                    </w:rPr>
                    <w:t>2</w:t>
                  </w:r>
                  <w:r>
                    <w:rPr>
                      <w:snapToGrid w:val="0"/>
                      <w:color w:val="auto"/>
                      <w:szCs w:val="21"/>
                      <w:highlight w:val="none"/>
                    </w:rPr>
                    <w:t>，</w:t>
                  </w:r>
                  <w:r>
                    <w:rPr>
                      <w:rFonts w:hint="eastAsia"/>
                      <w:color w:val="auto"/>
                      <w:kern w:val="0"/>
                      <w:szCs w:val="21"/>
                    </w:rPr>
                    <w:t>主要对</w:t>
                  </w:r>
                  <w:r>
                    <w:rPr>
                      <w:rFonts w:hint="eastAsia"/>
                      <w:color w:val="auto"/>
                      <w:kern w:val="0"/>
                      <w:szCs w:val="21"/>
                      <w:lang w:val="en-US" w:eastAsia="zh-CN"/>
                    </w:rPr>
                    <w:t>水泥检测氯离子含量、对石灰检测有效氧化钙、氧化镁含量、</w:t>
                  </w:r>
                  <w:r>
                    <w:rPr>
                      <w:rFonts w:hint="eastAsia"/>
                      <w:color w:val="auto"/>
                      <w:kern w:val="0"/>
                      <w:szCs w:val="21"/>
                    </w:rPr>
                    <w:t>三氧化硫含量</w:t>
                  </w:r>
                  <w:r>
                    <w:rPr>
                      <w:rFonts w:hint="eastAsia"/>
                      <w:color w:val="auto"/>
                      <w:kern w:val="0"/>
                      <w:szCs w:val="21"/>
                      <w:lang w:eastAsia="zh-CN"/>
                    </w:rPr>
                    <w:t>、</w:t>
                  </w:r>
                  <w:r>
                    <w:rPr>
                      <w:rFonts w:hint="eastAsia"/>
                      <w:color w:val="auto"/>
                      <w:kern w:val="0"/>
                      <w:szCs w:val="21"/>
                      <w:lang w:val="en-US" w:eastAsia="zh-CN"/>
                    </w:rPr>
                    <w:t>对粉煤灰检测</w:t>
                  </w:r>
                  <w:r>
                    <w:rPr>
                      <w:rFonts w:hint="eastAsia"/>
                      <w:color w:val="auto"/>
                      <w:kern w:val="0"/>
                      <w:szCs w:val="21"/>
                    </w:rPr>
                    <w:t>三氧化硫含量等有害物质</w:t>
                  </w:r>
                  <w:r>
                    <w:rPr>
                      <w:rFonts w:hint="eastAsia"/>
                      <w:color w:val="auto"/>
                      <w:kern w:val="0"/>
                      <w:szCs w:val="21"/>
                      <w:lang w:val="en-US" w:eastAsia="zh-CN"/>
                    </w:rPr>
                    <w:t>含量</w:t>
                  </w:r>
                </w:p>
              </w:tc>
              <w:tc>
                <w:tcPr>
                  <w:tcW w:w="534" w:type="pct"/>
                  <w:vMerge w:val="restart"/>
                  <w:vAlign w:val="center"/>
                </w:tcPr>
                <w:p w14:paraId="1095F57D">
                  <w:pPr>
                    <w:adjustRightInd w:val="0"/>
                    <w:snapToGrid w:val="0"/>
                    <w:jc w:val="center"/>
                    <w:rPr>
                      <w:rFonts w:hint="eastAsia" w:eastAsia="宋体"/>
                      <w:color w:val="auto"/>
                      <w:kern w:val="0"/>
                      <w:szCs w:val="21"/>
                      <w:lang w:val="en-US" w:eastAsia="zh-CN" w:bidi="ar"/>
                    </w:rPr>
                  </w:pPr>
                  <w:r>
                    <w:rPr>
                      <w:rFonts w:hint="eastAsia"/>
                      <w:color w:val="auto"/>
                      <w:kern w:val="0"/>
                      <w:szCs w:val="21"/>
                      <w:lang w:val="en-US" w:eastAsia="zh-CN" w:bidi="ar"/>
                    </w:rPr>
                    <w:t>新建</w:t>
                  </w:r>
                </w:p>
              </w:tc>
            </w:tr>
            <w:tr w14:paraId="2CFDF8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699" w:type="pct"/>
                  <w:vMerge w:val="continue"/>
                  <w:vAlign w:val="center"/>
                </w:tcPr>
                <w:p w14:paraId="236F3F2E">
                  <w:pPr>
                    <w:adjustRightInd w:val="0"/>
                    <w:snapToGrid w:val="0"/>
                    <w:jc w:val="center"/>
                    <w:rPr>
                      <w:color w:val="auto"/>
                    </w:rPr>
                  </w:pPr>
                </w:p>
              </w:tc>
              <w:tc>
                <w:tcPr>
                  <w:tcW w:w="728" w:type="pct"/>
                  <w:vMerge w:val="continue"/>
                  <w:vAlign w:val="center"/>
                </w:tcPr>
                <w:p w14:paraId="0A65E298">
                  <w:pPr>
                    <w:adjustRightInd w:val="0"/>
                    <w:snapToGrid w:val="0"/>
                    <w:jc w:val="center"/>
                    <w:rPr>
                      <w:color w:val="auto"/>
                    </w:rPr>
                  </w:pPr>
                </w:p>
              </w:tc>
              <w:tc>
                <w:tcPr>
                  <w:tcW w:w="3038" w:type="pct"/>
                  <w:vAlign w:val="center"/>
                </w:tcPr>
                <w:p w14:paraId="289A447A">
                  <w:pPr>
                    <w:adjustRightInd w:val="0"/>
                    <w:snapToGrid w:val="0"/>
                    <w:jc w:val="center"/>
                    <w:rPr>
                      <w:rFonts w:hint="eastAsia"/>
                      <w:color w:val="auto"/>
                      <w:kern w:val="0"/>
                      <w:szCs w:val="21"/>
                      <w:lang w:val="en-US" w:eastAsia="zh-CN" w:bidi="ar"/>
                    </w:rPr>
                  </w:pPr>
                  <w:r>
                    <w:rPr>
                      <w:rFonts w:hint="eastAsia"/>
                      <w:snapToGrid w:val="0"/>
                      <w:color w:val="auto"/>
                      <w:szCs w:val="21"/>
                    </w:rPr>
                    <w:t>水泥室：</w:t>
                  </w:r>
                  <w:r>
                    <w:rPr>
                      <w:color w:val="auto"/>
                      <w:kern w:val="0"/>
                      <w:szCs w:val="21"/>
                      <w:highlight w:val="none"/>
                      <w:lang w:bidi="ar"/>
                    </w:rPr>
                    <w:t>面积约为</w:t>
                  </w:r>
                  <w:r>
                    <w:rPr>
                      <w:rFonts w:hint="eastAsia"/>
                      <w:color w:val="auto"/>
                      <w:kern w:val="0"/>
                      <w:szCs w:val="21"/>
                      <w:highlight w:val="none"/>
                      <w:lang w:val="en-US" w:eastAsia="zh-CN" w:bidi="ar"/>
                    </w:rPr>
                    <w:t xml:space="preserve">40 </w:t>
                  </w:r>
                  <w:r>
                    <w:rPr>
                      <w:snapToGrid w:val="0"/>
                      <w:color w:val="auto"/>
                      <w:szCs w:val="21"/>
                      <w:highlight w:val="none"/>
                    </w:rPr>
                    <w:t>m</w:t>
                  </w:r>
                  <w:r>
                    <w:rPr>
                      <w:snapToGrid w:val="0"/>
                      <w:color w:val="auto"/>
                      <w:szCs w:val="21"/>
                      <w:highlight w:val="none"/>
                      <w:vertAlign w:val="superscript"/>
                    </w:rPr>
                    <w:t>2</w:t>
                  </w:r>
                  <w:r>
                    <w:rPr>
                      <w:snapToGrid w:val="0"/>
                      <w:color w:val="auto"/>
                      <w:szCs w:val="21"/>
                      <w:highlight w:val="none"/>
                    </w:rPr>
                    <w:t>，</w:t>
                  </w:r>
                  <w:r>
                    <w:rPr>
                      <w:rFonts w:hint="eastAsia"/>
                      <w:snapToGrid w:val="0"/>
                      <w:color w:val="auto"/>
                      <w:szCs w:val="21"/>
                    </w:rPr>
                    <w:t>通过水泥与标准水泥混合后的测定结果分析水泥性能，或直接对加水后养护的水泥进行性能测定</w:t>
                  </w:r>
                </w:p>
              </w:tc>
              <w:tc>
                <w:tcPr>
                  <w:tcW w:w="534" w:type="pct"/>
                  <w:vMerge w:val="continue"/>
                  <w:vAlign w:val="center"/>
                </w:tcPr>
                <w:p w14:paraId="31FFD79D">
                  <w:pPr>
                    <w:adjustRightInd w:val="0"/>
                    <w:snapToGrid w:val="0"/>
                    <w:jc w:val="center"/>
                    <w:rPr>
                      <w:rFonts w:hint="eastAsia"/>
                      <w:color w:val="auto"/>
                      <w:kern w:val="0"/>
                      <w:szCs w:val="21"/>
                      <w:lang w:val="en-US" w:eastAsia="zh-CN" w:bidi="ar"/>
                    </w:rPr>
                  </w:pPr>
                </w:p>
              </w:tc>
            </w:tr>
            <w:tr w14:paraId="0280A4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699" w:type="pct"/>
                  <w:vMerge w:val="continue"/>
                  <w:vAlign w:val="center"/>
                </w:tcPr>
                <w:p w14:paraId="7805CEB5">
                  <w:pPr>
                    <w:adjustRightInd w:val="0"/>
                    <w:snapToGrid w:val="0"/>
                    <w:jc w:val="center"/>
                    <w:rPr>
                      <w:rFonts w:hint="eastAsia"/>
                      <w:color w:val="auto"/>
                      <w:kern w:val="0"/>
                      <w:szCs w:val="21"/>
                      <w:lang w:val="en-US" w:eastAsia="zh-CN" w:bidi="ar"/>
                    </w:rPr>
                  </w:pPr>
                </w:p>
              </w:tc>
              <w:tc>
                <w:tcPr>
                  <w:tcW w:w="728" w:type="pct"/>
                  <w:vMerge w:val="continue"/>
                  <w:vAlign w:val="center"/>
                </w:tcPr>
                <w:p w14:paraId="2F663F97">
                  <w:pPr>
                    <w:adjustRightInd w:val="0"/>
                    <w:snapToGrid w:val="0"/>
                    <w:jc w:val="center"/>
                    <w:rPr>
                      <w:rFonts w:hint="eastAsia"/>
                      <w:color w:val="auto"/>
                      <w:kern w:val="0"/>
                      <w:szCs w:val="21"/>
                      <w:lang w:val="en-US" w:eastAsia="zh-CN" w:bidi="ar"/>
                    </w:rPr>
                  </w:pPr>
                </w:p>
              </w:tc>
              <w:tc>
                <w:tcPr>
                  <w:tcW w:w="3038" w:type="pct"/>
                  <w:vAlign w:val="center"/>
                </w:tcPr>
                <w:p w14:paraId="43E37337">
                  <w:pPr>
                    <w:adjustRightInd w:val="0"/>
                    <w:snapToGrid w:val="0"/>
                    <w:jc w:val="center"/>
                    <w:rPr>
                      <w:rFonts w:hint="default"/>
                      <w:color w:val="auto"/>
                      <w:kern w:val="0"/>
                      <w:szCs w:val="21"/>
                      <w:lang w:val="en-US" w:eastAsia="zh-CN" w:bidi="ar"/>
                    </w:rPr>
                  </w:pPr>
                  <w:r>
                    <w:rPr>
                      <w:rFonts w:hint="eastAsia"/>
                      <w:color w:val="auto"/>
                      <w:kern w:val="0"/>
                      <w:szCs w:val="21"/>
                      <w:lang w:val="en-US" w:eastAsia="zh-CN" w:bidi="ar"/>
                    </w:rPr>
                    <w:t>混凝土室：</w:t>
                  </w:r>
                  <w:r>
                    <w:rPr>
                      <w:color w:val="auto"/>
                      <w:kern w:val="0"/>
                      <w:szCs w:val="21"/>
                      <w:highlight w:val="none"/>
                      <w:lang w:bidi="ar"/>
                    </w:rPr>
                    <w:t>面积约为</w:t>
                  </w:r>
                  <w:r>
                    <w:rPr>
                      <w:rFonts w:hint="eastAsia"/>
                      <w:color w:val="auto"/>
                      <w:kern w:val="0"/>
                      <w:szCs w:val="21"/>
                      <w:highlight w:val="none"/>
                      <w:lang w:val="en-US" w:eastAsia="zh-CN" w:bidi="ar"/>
                    </w:rPr>
                    <w:t xml:space="preserve">40 </w:t>
                  </w:r>
                  <w:r>
                    <w:rPr>
                      <w:snapToGrid w:val="0"/>
                      <w:color w:val="auto"/>
                      <w:szCs w:val="21"/>
                      <w:highlight w:val="none"/>
                    </w:rPr>
                    <w:t>m</w:t>
                  </w:r>
                  <w:r>
                    <w:rPr>
                      <w:snapToGrid w:val="0"/>
                      <w:color w:val="auto"/>
                      <w:szCs w:val="21"/>
                      <w:highlight w:val="none"/>
                      <w:vertAlign w:val="superscript"/>
                    </w:rPr>
                    <w:t>2</w:t>
                  </w:r>
                  <w:r>
                    <w:rPr>
                      <w:snapToGrid w:val="0"/>
                      <w:color w:val="auto"/>
                      <w:szCs w:val="21"/>
                      <w:highlight w:val="none"/>
                    </w:rPr>
                    <w:t>，</w:t>
                  </w:r>
                  <w:r>
                    <w:rPr>
                      <w:rFonts w:hint="eastAsia"/>
                      <w:color w:val="auto"/>
                      <w:kern w:val="0"/>
                      <w:szCs w:val="21"/>
                      <w:lang w:val="en-US" w:eastAsia="zh-CN" w:bidi="ar"/>
                    </w:rPr>
                    <w:t>对混凝土的塌落度、凝结时间、表观密度等项目的检测</w:t>
                  </w:r>
                </w:p>
              </w:tc>
              <w:tc>
                <w:tcPr>
                  <w:tcW w:w="534" w:type="pct"/>
                  <w:vMerge w:val="continue"/>
                  <w:vAlign w:val="center"/>
                </w:tcPr>
                <w:p w14:paraId="05CD5308">
                  <w:pPr>
                    <w:adjustRightInd w:val="0"/>
                    <w:snapToGrid w:val="0"/>
                    <w:jc w:val="center"/>
                    <w:rPr>
                      <w:rFonts w:hint="eastAsia"/>
                      <w:color w:val="auto"/>
                      <w:kern w:val="0"/>
                      <w:szCs w:val="21"/>
                      <w:lang w:val="en-US" w:eastAsia="zh-CN" w:bidi="ar"/>
                    </w:rPr>
                  </w:pPr>
                </w:p>
              </w:tc>
            </w:tr>
            <w:tr w14:paraId="370442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699" w:type="pct"/>
                  <w:vMerge w:val="continue"/>
                  <w:vAlign w:val="center"/>
                </w:tcPr>
                <w:p w14:paraId="0366797C">
                  <w:pPr>
                    <w:adjustRightInd w:val="0"/>
                    <w:snapToGrid w:val="0"/>
                    <w:jc w:val="center"/>
                    <w:rPr>
                      <w:rFonts w:hint="eastAsia"/>
                      <w:color w:val="auto"/>
                      <w:kern w:val="0"/>
                      <w:szCs w:val="21"/>
                      <w:lang w:val="en-US" w:eastAsia="zh-CN" w:bidi="ar"/>
                    </w:rPr>
                  </w:pPr>
                </w:p>
              </w:tc>
              <w:tc>
                <w:tcPr>
                  <w:tcW w:w="728" w:type="pct"/>
                  <w:vMerge w:val="continue"/>
                  <w:vAlign w:val="center"/>
                </w:tcPr>
                <w:p w14:paraId="0AA236B5">
                  <w:pPr>
                    <w:adjustRightInd w:val="0"/>
                    <w:snapToGrid w:val="0"/>
                    <w:jc w:val="center"/>
                    <w:rPr>
                      <w:rFonts w:hint="eastAsia"/>
                      <w:color w:val="auto"/>
                      <w:kern w:val="0"/>
                      <w:szCs w:val="21"/>
                      <w:lang w:val="en-US" w:eastAsia="zh-CN" w:bidi="ar"/>
                    </w:rPr>
                  </w:pPr>
                </w:p>
              </w:tc>
              <w:tc>
                <w:tcPr>
                  <w:tcW w:w="3038" w:type="pct"/>
                  <w:vAlign w:val="center"/>
                </w:tcPr>
                <w:p w14:paraId="1D02DAEA">
                  <w:pPr>
                    <w:adjustRightInd w:val="0"/>
                    <w:snapToGrid w:val="0"/>
                    <w:jc w:val="center"/>
                    <w:rPr>
                      <w:rFonts w:hint="default"/>
                      <w:color w:val="auto"/>
                      <w:kern w:val="0"/>
                      <w:szCs w:val="21"/>
                      <w:lang w:val="en-US" w:eastAsia="zh-CN" w:bidi="ar"/>
                    </w:rPr>
                  </w:pPr>
                  <w:r>
                    <w:rPr>
                      <w:rFonts w:hint="eastAsia"/>
                      <w:color w:val="auto"/>
                      <w:kern w:val="0"/>
                      <w:szCs w:val="21"/>
                      <w:lang w:val="en-US" w:eastAsia="zh-CN" w:bidi="ar"/>
                    </w:rPr>
                    <w:t>抗渗</w:t>
                  </w:r>
                  <w:r>
                    <w:rPr>
                      <w:rFonts w:hint="eastAsia"/>
                      <w:snapToGrid w:val="0"/>
                      <w:color w:val="auto"/>
                      <w:szCs w:val="21"/>
                    </w:rPr>
                    <w:t>室：</w:t>
                  </w:r>
                  <w:r>
                    <w:rPr>
                      <w:color w:val="auto"/>
                      <w:kern w:val="0"/>
                      <w:szCs w:val="21"/>
                      <w:highlight w:val="none"/>
                      <w:lang w:bidi="ar"/>
                    </w:rPr>
                    <w:t>面积约为</w:t>
                  </w:r>
                  <w:r>
                    <w:rPr>
                      <w:rFonts w:hint="eastAsia"/>
                      <w:color w:val="auto"/>
                      <w:kern w:val="0"/>
                      <w:szCs w:val="21"/>
                      <w:highlight w:val="none"/>
                      <w:lang w:val="en-US" w:eastAsia="zh-CN" w:bidi="ar"/>
                    </w:rPr>
                    <w:t>45</w:t>
                  </w:r>
                  <w:r>
                    <w:rPr>
                      <w:snapToGrid w:val="0"/>
                      <w:color w:val="auto"/>
                      <w:szCs w:val="21"/>
                      <w:highlight w:val="none"/>
                    </w:rPr>
                    <w:t>m</w:t>
                  </w:r>
                  <w:r>
                    <w:rPr>
                      <w:snapToGrid w:val="0"/>
                      <w:color w:val="auto"/>
                      <w:szCs w:val="21"/>
                      <w:highlight w:val="none"/>
                      <w:vertAlign w:val="superscript"/>
                    </w:rPr>
                    <w:t>2</w:t>
                  </w:r>
                  <w:r>
                    <w:rPr>
                      <w:snapToGrid w:val="0"/>
                      <w:color w:val="auto"/>
                      <w:szCs w:val="21"/>
                      <w:highlight w:val="none"/>
                    </w:rPr>
                    <w:t>，</w:t>
                  </w:r>
                  <w:r>
                    <w:rPr>
                      <w:rFonts w:hint="eastAsia"/>
                      <w:snapToGrid w:val="0"/>
                      <w:color w:val="auto"/>
                      <w:szCs w:val="21"/>
                    </w:rPr>
                    <w:t>对混凝土、岩石等建材的渗透性能进行测定</w:t>
                  </w:r>
                </w:p>
              </w:tc>
              <w:tc>
                <w:tcPr>
                  <w:tcW w:w="534" w:type="pct"/>
                  <w:vMerge w:val="continue"/>
                  <w:vAlign w:val="center"/>
                </w:tcPr>
                <w:p w14:paraId="497629DA">
                  <w:pPr>
                    <w:adjustRightInd w:val="0"/>
                    <w:snapToGrid w:val="0"/>
                    <w:jc w:val="center"/>
                    <w:rPr>
                      <w:rFonts w:hint="eastAsia"/>
                      <w:color w:val="auto"/>
                      <w:kern w:val="0"/>
                      <w:szCs w:val="21"/>
                      <w:lang w:val="en-US" w:eastAsia="zh-CN" w:bidi="ar"/>
                    </w:rPr>
                  </w:pPr>
                </w:p>
              </w:tc>
            </w:tr>
            <w:tr w14:paraId="407F7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699" w:type="pct"/>
                  <w:vMerge w:val="continue"/>
                  <w:vAlign w:val="center"/>
                </w:tcPr>
                <w:p w14:paraId="2639DD1D">
                  <w:pPr>
                    <w:adjustRightInd w:val="0"/>
                    <w:snapToGrid w:val="0"/>
                    <w:jc w:val="center"/>
                    <w:rPr>
                      <w:rFonts w:hint="eastAsia"/>
                      <w:color w:val="auto"/>
                      <w:kern w:val="0"/>
                      <w:szCs w:val="21"/>
                      <w:lang w:val="en-US" w:eastAsia="zh-CN" w:bidi="ar"/>
                    </w:rPr>
                  </w:pPr>
                </w:p>
              </w:tc>
              <w:tc>
                <w:tcPr>
                  <w:tcW w:w="728" w:type="pct"/>
                  <w:vMerge w:val="continue"/>
                  <w:vAlign w:val="center"/>
                </w:tcPr>
                <w:p w14:paraId="765078A6">
                  <w:pPr>
                    <w:adjustRightInd w:val="0"/>
                    <w:snapToGrid w:val="0"/>
                    <w:jc w:val="center"/>
                    <w:rPr>
                      <w:rFonts w:hint="eastAsia"/>
                      <w:color w:val="auto"/>
                      <w:kern w:val="0"/>
                      <w:szCs w:val="21"/>
                      <w:lang w:val="en-US" w:eastAsia="zh-CN" w:bidi="ar"/>
                    </w:rPr>
                  </w:pPr>
                </w:p>
              </w:tc>
              <w:tc>
                <w:tcPr>
                  <w:tcW w:w="3038" w:type="pct"/>
                  <w:vAlign w:val="center"/>
                </w:tcPr>
                <w:p w14:paraId="75263EF2">
                  <w:pPr>
                    <w:adjustRightInd w:val="0"/>
                    <w:snapToGrid w:val="0"/>
                    <w:jc w:val="center"/>
                    <w:rPr>
                      <w:rFonts w:hint="default"/>
                      <w:color w:val="auto"/>
                      <w:kern w:val="0"/>
                      <w:szCs w:val="21"/>
                      <w:lang w:val="en-US" w:eastAsia="zh-CN" w:bidi="ar"/>
                    </w:rPr>
                  </w:pPr>
                  <w:r>
                    <w:rPr>
                      <w:rFonts w:hint="eastAsia"/>
                      <w:color w:val="auto"/>
                      <w:kern w:val="0"/>
                      <w:szCs w:val="21"/>
                      <w:lang w:val="en-US" w:eastAsia="zh-CN" w:bidi="ar"/>
                    </w:rPr>
                    <w:t>沥青检测室：两间，</w:t>
                  </w:r>
                  <w:r>
                    <w:rPr>
                      <w:color w:val="auto"/>
                      <w:kern w:val="0"/>
                      <w:szCs w:val="21"/>
                      <w:highlight w:val="none"/>
                      <w:lang w:bidi="ar"/>
                    </w:rPr>
                    <w:t>面积</w:t>
                  </w:r>
                  <w:r>
                    <w:rPr>
                      <w:rFonts w:hint="eastAsia"/>
                      <w:color w:val="auto"/>
                      <w:kern w:val="0"/>
                      <w:szCs w:val="21"/>
                      <w:highlight w:val="none"/>
                      <w:lang w:val="en-US" w:eastAsia="zh-CN" w:bidi="ar"/>
                    </w:rPr>
                    <w:t>共计</w:t>
                  </w:r>
                  <w:r>
                    <w:rPr>
                      <w:color w:val="auto"/>
                      <w:kern w:val="0"/>
                      <w:szCs w:val="21"/>
                      <w:highlight w:val="none"/>
                      <w:lang w:bidi="ar"/>
                    </w:rPr>
                    <w:t>约为</w:t>
                  </w:r>
                  <w:r>
                    <w:rPr>
                      <w:rFonts w:hint="eastAsia"/>
                      <w:color w:val="auto"/>
                      <w:kern w:val="0"/>
                      <w:szCs w:val="21"/>
                      <w:highlight w:val="none"/>
                      <w:lang w:val="en-US" w:eastAsia="zh-CN" w:bidi="ar"/>
                    </w:rPr>
                    <w:t xml:space="preserve">70 </w:t>
                  </w:r>
                  <w:r>
                    <w:rPr>
                      <w:snapToGrid w:val="0"/>
                      <w:color w:val="auto"/>
                      <w:szCs w:val="21"/>
                      <w:highlight w:val="none"/>
                    </w:rPr>
                    <w:t>m</w:t>
                  </w:r>
                  <w:r>
                    <w:rPr>
                      <w:snapToGrid w:val="0"/>
                      <w:color w:val="auto"/>
                      <w:szCs w:val="21"/>
                      <w:highlight w:val="none"/>
                      <w:vertAlign w:val="superscript"/>
                    </w:rPr>
                    <w:t>2</w:t>
                  </w:r>
                  <w:r>
                    <w:rPr>
                      <w:snapToGrid w:val="0"/>
                      <w:color w:val="auto"/>
                      <w:szCs w:val="21"/>
                      <w:highlight w:val="none"/>
                    </w:rPr>
                    <w:t>，</w:t>
                  </w:r>
                  <w:r>
                    <w:rPr>
                      <w:rFonts w:hint="eastAsia"/>
                      <w:color w:val="auto"/>
                      <w:kern w:val="0"/>
                      <w:szCs w:val="21"/>
                      <w:lang w:val="en-US" w:eastAsia="zh-CN" w:bidi="ar"/>
                    </w:rPr>
                    <w:t>主要是对沥青与粗集料的粘附性、车辙试验等沥青项目的检测</w:t>
                  </w:r>
                </w:p>
              </w:tc>
              <w:tc>
                <w:tcPr>
                  <w:tcW w:w="534" w:type="pct"/>
                  <w:vMerge w:val="continue"/>
                  <w:vAlign w:val="center"/>
                </w:tcPr>
                <w:p w14:paraId="3377CDC9">
                  <w:pPr>
                    <w:adjustRightInd w:val="0"/>
                    <w:snapToGrid w:val="0"/>
                    <w:jc w:val="center"/>
                    <w:rPr>
                      <w:rFonts w:hint="eastAsia"/>
                      <w:color w:val="auto"/>
                      <w:kern w:val="0"/>
                      <w:szCs w:val="21"/>
                      <w:lang w:val="en-US" w:eastAsia="zh-CN" w:bidi="ar"/>
                    </w:rPr>
                  </w:pPr>
                </w:p>
              </w:tc>
            </w:tr>
            <w:tr w14:paraId="3CE6AB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699" w:type="pct"/>
                  <w:vMerge w:val="continue"/>
                  <w:vAlign w:val="center"/>
                </w:tcPr>
                <w:p w14:paraId="52804605">
                  <w:pPr>
                    <w:adjustRightInd w:val="0"/>
                    <w:snapToGrid w:val="0"/>
                    <w:jc w:val="center"/>
                    <w:rPr>
                      <w:rFonts w:hint="eastAsia"/>
                      <w:color w:val="auto"/>
                      <w:kern w:val="0"/>
                      <w:szCs w:val="21"/>
                      <w:lang w:val="en-US" w:eastAsia="zh-CN" w:bidi="ar"/>
                    </w:rPr>
                  </w:pPr>
                </w:p>
              </w:tc>
              <w:tc>
                <w:tcPr>
                  <w:tcW w:w="728" w:type="pct"/>
                  <w:vMerge w:val="continue"/>
                  <w:vAlign w:val="center"/>
                </w:tcPr>
                <w:p w14:paraId="5AA42040">
                  <w:pPr>
                    <w:adjustRightInd w:val="0"/>
                    <w:snapToGrid w:val="0"/>
                    <w:jc w:val="center"/>
                    <w:rPr>
                      <w:rFonts w:hint="eastAsia"/>
                      <w:color w:val="auto"/>
                      <w:kern w:val="0"/>
                      <w:szCs w:val="21"/>
                      <w:lang w:val="en-US" w:eastAsia="zh-CN" w:bidi="ar"/>
                    </w:rPr>
                  </w:pPr>
                </w:p>
              </w:tc>
              <w:tc>
                <w:tcPr>
                  <w:tcW w:w="3038" w:type="pct"/>
                  <w:vAlign w:val="center"/>
                </w:tcPr>
                <w:p w14:paraId="78BF9E5D">
                  <w:pPr>
                    <w:adjustRightInd w:val="0"/>
                    <w:snapToGrid w:val="0"/>
                    <w:jc w:val="center"/>
                    <w:rPr>
                      <w:rFonts w:hint="eastAsia"/>
                      <w:color w:val="auto"/>
                      <w:kern w:val="0"/>
                      <w:szCs w:val="21"/>
                      <w:lang w:val="en-US" w:eastAsia="zh-CN" w:bidi="ar"/>
                    </w:rPr>
                  </w:pPr>
                  <w:r>
                    <w:rPr>
                      <w:rFonts w:hint="eastAsia"/>
                      <w:snapToGrid w:val="0"/>
                      <w:color w:val="auto"/>
                      <w:szCs w:val="21"/>
                    </w:rPr>
                    <w:t>土工室：</w:t>
                  </w:r>
                  <w:r>
                    <w:rPr>
                      <w:color w:val="auto"/>
                      <w:kern w:val="0"/>
                      <w:szCs w:val="21"/>
                      <w:highlight w:val="none"/>
                      <w:lang w:bidi="ar"/>
                    </w:rPr>
                    <w:t>面积约为</w:t>
                  </w:r>
                  <w:r>
                    <w:rPr>
                      <w:rFonts w:hint="eastAsia"/>
                      <w:color w:val="auto"/>
                      <w:kern w:val="0"/>
                      <w:szCs w:val="21"/>
                      <w:highlight w:val="none"/>
                      <w:lang w:val="en-US" w:eastAsia="zh-CN" w:bidi="ar"/>
                    </w:rPr>
                    <w:t xml:space="preserve">35 </w:t>
                  </w:r>
                  <w:r>
                    <w:rPr>
                      <w:snapToGrid w:val="0"/>
                      <w:color w:val="auto"/>
                      <w:szCs w:val="21"/>
                      <w:highlight w:val="none"/>
                    </w:rPr>
                    <w:t>m</w:t>
                  </w:r>
                  <w:r>
                    <w:rPr>
                      <w:snapToGrid w:val="0"/>
                      <w:color w:val="auto"/>
                      <w:szCs w:val="21"/>
                      <w:highlight w:val="none"/>
                      <w:vertAlign w:val="superscript"/>
                    </w:rPr>
                    <w:t>2</w:t>
                  </w:r>
                  <w:r>
                    <w:rPr>
                      <w:snapToGrid w:val="0"/>
                      <w:color w:val="auto"/>
                      <w:szCs w:val="21"/>
                      <w:highlight w:val="none"/>
                    </w:rPr>
                    <w:t>，</w:t>
                  </w:r>
                  <w:r>
                    <w:rPr>
                      <w:rFonts w:hint="eastAsia"/>
                      <w:snapToGrid w:val="0"/>
                      <w:color w:val="auto"/>
                      <w:szCs w:val="21"/>
                    </w:rPr>
                    <w:t>对土的渗透性、密度、含水量等物理性能进行测定</w:t>
                  </w:r>
                </w:p>
              </w:tc>
              <w:tc>
                <w:tcPr>
                  <w:tcW w:w="534" w:type="pct"/>
                  <w:vMerge w:val="continue"/>
                  <w:vAlign w:val="center"/>
                </w:tcPr>
                <w:p w14:paraId="42466B30">
                  <w:pPr>
                    <w:adjustRightInd w:val="0"/>
                    <w:snapToGrid w:val="0"/>
                    <w:jc w:val="center"/>
                    <w:rPr>
                      <w:rFonts w:hint="eastAsia"/>
                      <w:color w:val="auto"/>
                      <w:kern w:val="0"/>
                      <w:szCs w:val="21"/>
                      <w:lang w:val="en-US" w:eastAsia="zh-CN" w:bidi="ar"/>
                    </w:rPr>
                  </w:pPr>
                </w:p>
              </w:tc>
            </w:tr>
            <w:tr w14:paraId="71A03C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699" w:type="pct"/>
                  <w:vMerge w:val="continue"/>
                  <w:vAlign w:val="center"/>
                </w:tcPr>
                <w:p w14:paraId="17EC2F79">
                  <w:pPr>
                    <w:adjustRightInd w:val="0"/>
                    <w:snapToGrid w:val="0"/>
                    <w:jc w:val="center"/>
                    <w:rPr>
                      <w:rFonts w:hint="eastAsia"/>
                      <w:color w:val="auto"/>
                      <w:kern w:val="0"/>
                      <w:szCs w:val="21"/>
                      <w:lang w:val="en-US" w:eastAsia="zh-CN" w:bidi="ar"/>
                    </w:rPr>
                  </w:pPr>
                </w:p>
              </w:tc>
              <w:tc>
                <w:tcPr>
                  <w:tcW w:w="728" w:type="pct"/>
                  <w:vMerge w:val="continue"/>
                  <w:vAlign w:val="center"/>
                </w:tcPr>
                <w:p w14:paraId="2BADE736">
                  <w:pPr>
                    <w:adjustRightInd w:val="0"/>
                    <w:snapToGrid w:val="0"/>
                    <w:jc w:val="center"/>
                    <w:rPr>
                      <w:rFonts w:hint="eastAsia"/>
                      <w:color w:val="auto"/>
                      <w:kern w:val="0"/>
                      <w:szCs w:val="21"/>
                      <w:lang w:val="en-US" w:eastAsia="zh-CN" w:bidi="ar"/>
                    </w:rPr>
                  </w:pPr>
                </w:p>
              </w:tc>
              <w:tc>
                <w:tcPr>
                  <w:tcW w:w="3038" w:type="pct"/>
                  <w:vAlign w:val="center"/>
                </w:tcPr>
                <w:p w14:paraId="2D8DF228">
                  <w:pPr>
                    <w:adjustRightInd w:val="0"/>
                    <w:snapToGrid w:val="0"/>
                    <w:jc w:val="center"/>
                    <w:rPr>
                      <w:rFonts w:hint="default"/>
                      <w:color w:val="auto"/>
                      <w:kern w:val="0"/>
                      <w:szCs w:val="21"/>
                      <w:lang w:val="en-US" w:eastAsia="zh-CN" w:bidi="ar"/>
                    </w:rPr>
                  </w:pPr>
                  <w:r>
                    <w:rPr>
                      <w:rFonts w:hint="eastAsia"/>
                      <w:color w:val="auto"/>
                      <w:kern w:val="0"/>
                      <w:szCs w:val="21"/>
                      <w:lang w:val="en-US" w:eastAsia="zh-CN" w:bidi="ar"/>
                    </w:rPr>
                    <w:t>管材室：</w:t>
                  </w:r>
                  <w:r>
                    <w:rPr>
                      <w:color w:val="auto"/>
                      <w:kern w:val="0"/>
                      <w:szCs w:val="21"/>
                      <w:highlight w:val="none"/>
                      <w:lang w:bidi="ar"/>
                    </w:rPr>
                    <w:t>面积约为</w:t>
                  </w:r>
                  <w:r>
                    <w:rPr>
                      <w:rFonts w:hint="eastAsia"/>
                      <w:color w:val="auto"/>
                      <w:kern w:val="0"/>
                      <w:szCs w:val="21"/>
                      <w:highlight w:val="none"/>
                      <w:lang w:val="en-US" w:eastAsia="zh-CN" w:bidi="ar"/>
                    </w:rPr>
                    <w:t>35</w:t>
                  </w:r>
                  <w:r>
                    <w:rPr>
                      <w:snapToGrid w:val="0"/>
                      <w:color w:val="auto"/>
                      <w:szCs w:val="21"/>
                      <w:highlight w:val="none"/>
                    </w:rPr>
                    <w:t>m</w:t>
                  </w:r>
                  <w:r>
                    <w:rPr>
                      <w:snapToGrid w:val="0"/>
                      <w:color w:val="auto"/>
                      <w:szCs w:val="21"/>
                      <w:highlight w:val="none"/>
                      <w:vertAlign w:val="superscript"/>
                    </w:rPr>
                    <w:t>2</w:t>
                  </w:r>
                  <w:r>
                    <w:rPr>
                      <w:snapToGrid w:val="0"/>
                      <w:color w:val="auto"/>
                      <w:szCs w:val="21"/>
                      <w:highlight w:val="none"/>
                    </w:rPr>
                    <w:t>，</w:t>
                  </w:r>
                  <w:r>
                    <w:rPr>
                      <w:rFonts w:hint="eastAsia"/>
                      <w:color w:val="auto"/>
                      <w:kern w:val="0"/>
                      <w:szCs w:val="21"/>
                      <w:lang w:val="en-US" w:eastAsia="zh-CN" w:bidi="ar"/>
                    </w:rPr>
                    <w:t>对管材的尺寸、刚度、柔韧性的检测</w:t>
                  </w:r>
                </w:p>
              </w:tc>
              <w:tc>
                <w:tcPr>
                  <w:tcW w:w="534" w:type="pct"/>
                  <w:vMerge w:val="continue"/>
                  <w:vAlign w:val="center"/>
                </w:tcPr>
                <w:p w14:paraId="671B14A8">
                  <w:pPr>
                    <w:adjustRightInd w:val="0"/>
                    <w:snapToGrid w:val="0"/>
                    <w:jc w:val="center"/>
                    <w:rPr>
                      <w:rFonts w:hint="eastAsia"/>
                      <w:color w:val="auto"/>
                      <w:kern w:val="0"/>
                      <w:szCs w:val="21"/>
                      <w:lang w:val="en-US" w:eastAsia="zh-CN" w:bidi="ar"/>
                    </w:rPr>
                  </w:pPr>
                </w:p>
              </w:tc>
            </w:tr>
            <w:tr w14:paraId="0EB87C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699" w:type="pct"/>
                  <w:vMerge w:val="continue"/>
                  <w:vAlign w:val="center"/>
                </w:tcPr>
                <w:p w14:paraId="7653DB2E">
                  <w:pPr>
                    <w:adjustRightInd w:val="0"/>
                    <w:snapToGrid w:val="0"/>
                    <w:jc w:val="center"/>
                    <w:rPr>
                      <w:rFonts w:hint="eastAsia"/>
                      <w:color w:val="auto"/>
                      <w:kern w:val="0"/>
                      <w:szCs w:val="21"/>
                      <w:lang w:val="en-US" w:eastAsia="zh-CN" w:bidi="ar"/>
                    </w:rPr>
                  </w:pPr>
                </w:p>
              </w:tc>
              <w:tc>
                <w:tcPr>
                  <w:tcW w:w="728" w:type="pct"/>
                  <w:vMerge w:val="continue"/>
                  <w:vAlign w:val="center"/>
                </w:tcPr>
                <w:p w14:paraId="717D11BC">
                  <w:pPr>
                    <w:adjustRightInd w:val="0"/>
                    <w:snapToGrid w:val="0"/>
                    <w:jc w:val="center"/>
                    <w:rPr>
                      <w:rFonts w:hint="eastAsia"/>
                      <w:color w:val="auto"/>
                      <w:kern w:val="0"/>
                      <w:szCs w:val="21"/>
                      <w:lang w:val="en-US" w:eastAsia="zh-CN" w:bidi="ar"/>
                    </w:rPr>
                  </w:pPr>
                </w:p>
              </w:tc>
              <w:tc>
                <w:tcPr>
                  <w:tcW w:w="3038" w:type="pct"/>
                  <w:vAlign w:val="center"/>
                </w:tcPr>
                <w:p w14:paraId="12C9782C">
                  <w:pPr>
                    <w:adjustRightInd w:val="0"/>
                    <w:snapToGrid w:val="0"/>
                    <w:jc w:val="center"/>
                    <w:rPr>
                      <w:rFonts w:hint="default"/>
                      <w:color w:val="auto"/>
                      <w:kern w:val="0"/>
                      <w:szCs w:val="21"/>
                      <w:lang w:val="en-US" w:eastAsia="zh-CN" w:bidi="ar"/>
                    </w:rPr>
                  </w:pPr>
                  <w:r>
                    <w:rPr>
                      <w:rFonts w:hint="eastAsia"/>
                      <w:color w:val="auto"/>
                      <w:kern w:val="0"/>
                      <w:szCs w:val="21"/>
                      <w:lang w:val="en-US" w:eastAsia="zh-CN" w:bidi="ar"/>
                    </w:rPr>
                    <w:t>检测室：</w:t>
                  </w:r>
                  <w:r>
                    <w:rPr>
                      <w:color w:val="auto"/>
                      <w:kern w:val="0"/>
                      <w:szCs w:val="21"/>
                      <w:highlight w:val="none"/>
                      <w:lang w:bidi="ar"/>
                    </w:rPr>
                    <w:t>面积约为</w:t>
                  </w:r>
                  <w:r>
                    <w:rPr>
                      <w:rFonts w:hint="eastAsia"/>
                      <w:color w:val="auto"/>
                      <w:kern w:val="0"/>
                      <w:szCs w:val="21"/>
                      <w:highlight w:val="none"/>
                      <w:lang w:val="en-US" w:eastAsia="zh-CN" w:bidi="ar"/>
                    </w:rPr>
                    <w:t xml:space="preserve">45 </w:t>
                  </w:r>
                  <w:r>
                    <w:rPr>
                      <w:snapToGrid w:val="0"/>
                      <w:color w:val="auto"/>
                      <w:szCs w:val="21"/>
                      <w:highlight w:val="none"/>
                    </w:rPr>
                    <w:t>m</w:t>
                  </w:r>
                  <w:r>
                    <w:rPr>
                      <w:snapToGrid w:val="0"/>
                      <w:color w:val="auto"/>
                      <w:szCs w:val="21"/>
                      <w:highlight w:val="none"/>
                      <w:vertAlign w:val="superscript"/>
                    </w:rPr>
                    <w:t>2</w:t>
                  </w:r>
                  <w:r>
                    <w:rPr>
                      <w:snapToGrid w:val="0"/>
                      <w:color w:val="auto"/>
                      <w:szCs w:val="21"/>
                      <w:highlight w:val="none"/>
                    </w:rPr>
                    <w:t>，</w:t>
                  </w:r>
                  <w:r>
                    <w:rPr>
                      <w:rFonts w:hint="eastAsia"/>
                      <w:color w:val="auto"/>
                      <w:kern w:val="0"/>
                      <w:szCs w:val="21"/>
                      <w:lang w:val="en-US" w:eastAsia="zh-CN" w:bidi="ar"/>
                    </w:rPr>
                    <w:t>对</w:t>
                  </w:r>
                  <w:r>
                    <w:rPr>
                      <w:rFonts w:hint="eastAsia"/>
                      <w:snapToGrid w:val="0"/>
                      <w:color w:val="auto"/>
                      <w:szCs w:val="21"/>
                    </w:rPr>
                    <w:t>各类建筑材料</w:t>
                  </w:r>
                  <w:r>
                    <w:rPr>
                      <w:rFonts w:hint="eastAsia"/>
                      <w:color w:val="auto"/>
                      <w:kern w:val="0"/>
                      <w:szCs w:val="21"/>
                      <w:lang w:val="en-US" w:eastAsia="zh-CN" w:bidi="ar"/>
                    </w:rPr>
                    <w:t>进行抗冲耐磨、密度、微观物理性的检测</w:t>
                  </w:r>
                </w:p>
              </w:tc>
              <w:tc>
                <w:tcPr>
                  <w:tcW w:w="534" w:type="pct"/>
                  <w:vMerge w:val="continue"/>
                  <w:vAlign w:val="center"/>
                </w:tcPr>
                <w:p w14:paraId="1F09064A">
                  <w:pPr>
                    <w:adjustRightInd w:val="0"/>
                    <w:snapToGrid w:val="0"/>
                    <w:jc w:val="center"/>
                    <w:rPr>
                      <w:rFonts w:hint="eastAsia"/>
                      <w:color w:val="auto"/>
                      <w:kern w:val="0"/>
                      <w:szCs w:val="21"/>
                      <w:lang w:val="en-US" w:eastAsia="zh-CN" w:bidi="ar"/>
                    </w:rPr>
                  </w:pPr>
                </w:p>
              </w:tc>
            </w:tr>
            <w:tr w14:paraId="6A8FF5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trPr>
              <w:tc>
                <w:tcPr>
                  <w:tcW w:w="699" w:type="pct"/>
                  <w:vMerge w:val="continue"/>
                  <w:vAlign w:val="center"/>
                </w:tcPr>
                <w:p w14:paraId="782185F6">
                  <w:pPr>
                    <w:adjustRightInd w:val="0"/>
                    <w:snapToGrid w:val="0"/>
                    <w:jc w:val="center"/>
                    <w:rPr>
                      <w:rFonts w:hint="eastAsia"/>
                      <w:color w:val="auto"/>
                      <w:kern w:val="0"/>
                      <w:szCs w:val="21"/>
                      <w:lang w:val="en-US" w:eastAsia="zh-CN" w:bidi="ar"/>
                    </w:rPr>
                  </w:pPr>
                </w:p>
              </w:tc>
              <w:tc>
                <w:tcPr>
                  <w:tcW w:w="728" w:type="pct"/>
                  <w:vMerge w:val="continue"/>
                  <w:vAlign w:val="center"/>
                </w:tcPr>
                <w:p w14:paraId="6A0F5BE6">
                  <w:pPr>
                    <w:adjustRightInd w:val="0"/>
                    <w:snapToGrid w:val="0"/>
                    <w:jc w:val="center"/>
                    <w:rPr>
                      <w:rFonts w:hint="eastAsia"/>
                      <w:color w:val="auto"/>
                      <w:kern w:val="0"/>
                      <w:szCs w:val="21"/>
                      <w:lang w:val="en-US" w:eastAsia="zh-CN" w:bidi="ar"/>
                    </w:rPr>
                  </w:pPr>
                </w:p>
              </w:tc>
              <w:tc>
                <w:tcPr>
                  <w:tcW w:w="3038" w:type="pct"/>
                  <w:vAlign w:val="center"/>
                </w:tcPr>
                <w:p w14:paraId="150FA2B7">
                  <w:pPr>
                    <w:adjustRightInd w:val="0"/>
                    <w:snapToGrid w:val="0"/>
                    <w:jc w:val="center"/>
                    <w:rPr>
                      <w:rFonts w:hint="eastAsia"/>
                      <w:color w:val="auto"/>
                      <w:kern w:val="0"/>
                      <w:szCs w:val="21"/>
                      <w:lang w:val="en-US" w:eastAsia="zh-CN" w:bidi="ar"/>
                    </w:rPr>
                  </w:pPr>
                  <w:r>
                    <w:rPr>
                      <w:rFonts w:hint="eastAsia"/>
                      <w:snapToGrid w:val="0"/>
                      <w:color w:val="auto"/>
                      <w:szCs w:val="21"/>
                    </w:rPr>
                    <w:t>力学室：</w:t>
                  </w:r>
                  <w:r>
                    <w:rPr>
                      <w:color w:val="auto"/>
                      <w:kern w:val="0"/>
                      <w:szCs w:val="21"/>
                      <w:highlight w:val="none"/>
                      <w:lang w:bidi="ar"/>
                    </w:rPr>
                    <w:t>面积约为</w:t>
                  </w:r>
                  <w:r>
                    <w:rPr>
                      <w:rFonts w:hint="eastAsia"/>
                      <w:color w:val="auto"/>
                      <w:kern w:val="0"/>
                      <w:szCs w:val="21"/>
                      <w:highlight w:val="none"/>
                      <w:lang w:val="en-US" w:eastAsia="zh-CN" w:bidi="ar"/>
                    </w:rPr>
                    <w:t xml:space="preserve">90 </w:t>
                  </w:r>
                  <w:r>
                    <w:rPr>
                      <w:snapToGrid w:val="0"/>
                      <w:color w:val="auto"/>
                      <w:szCs w:val="21"/>
                      <w:highlight w:val="none"/>
                    </w:rPr>
                    <w:t>m</w:t>
                  </w:r>
                  <w:r>
                    <w:rPr>
                      <w:snapToGrid w:val="0"/>
                      <w:color w:val="auto"/>
                      <w:szCs w:val="21"/>
                      <w:highlight w:val="none"/>
                      <w:vertAlign w:val="superscript"/>
                    </w:rPr>
                    <w:t>2</w:t>
                  </w:r>
                  <w:r>
                    <w:rPr>
                      <w:snapToGrid w:val="0"/>
                      <w:color w:val="auto"/>
                      <w:szCs w:val="21"/>
                      <w:highlight w:val="none"/>
                    </w:rPr>
                    <w:t>，</w:t>
                  </w:r>
                  <w:r>
                    <w:rPr>
                      <w:rFonts w:hint="eastAsia"/>
                      <w:snapToGrid w:val="0"/>
                      <w:color w:val="auto"/>
                      <w:szCs w:val="21"/>
                    </w:rPr>
                    <w:t>对各类建筑材料的力学性能进行测定</w:t>
                  </w:r>
                </w:p>
              </w:tc>
              <w:tc>
                <w:tcPr>
                  <w:tcW w:w="534" w:type="pct"/>
                  <w:vMerge w:val="continue"/>
                  <w:vAlign w:val="center"/>
                </w:tcPr>
                <w:p w14:paraId="0C895AA0">
                  <w:pPr>
                    <w:adjustRightInd w:val="0"/>
                    <w:snapToGrid w:val="0"/>
                    <w:jc w:val="center"/>
                    <w:rPr>
                      <w:rFonts w:hint="eastAsia"/>
                      <w:color w:val="auto"/>
                      <w:kern w:val="0"/>
                      <w:szCs w:val="21"/>
                      <w:lang w:val="en-US" w:eastAsia="zh-CN" w:bidi="ar"/>
                    </w:rPr>
                  </w:pPr>
                </w:p>
              </w:tc>
            </w:tr>
            <w:tr w14:paraId="0D2696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699" w:type="pct"/>
                  <w:vMerge w:val="restart"/>
                  <w:vAlign w:val="center"/>
                </w:tcPr>
                <w:p w14:paraId="2B1A5FE3">
                  <w:pPr>
                    <w:adjustRightInd w:val="0"/>
                    <w:snapToGrid w:val="0"/>
                    <w:jc w:val="center"/>
                    <w:rPr>
                      <w:color w:val="auto"/>
                      <w:szCs w:val="21"/>
                    </w:rPr>
                  </w:pPr>
                  <w:r>
                    <w:rPr>
                      <w:color w:val="auto"/>
                      <w:szCs w:val="21"/>
                    </w:rPr>
                    <w:t>储运工程</w:t>
                  </w:r>
                </w:p>
              </w:tc>
              <w:tc>
                <w:tcPr>
                  <w:tcW w:w="728" w:type="pct"/>
                  <w:vAlign w:val="center"/>
                </w:tcPr>
                <w:p w14:paraId="617FF5DB">
                  <w:pPr>
                    <w:adjustRightInd w:val="0"/>
                    <w:snapToGrid w:val="0"/>
                    <w:jc w:val="center"/>
                    <w:rPr>
                      <w:rFonts w:hint="eastAsia" w:eastAsia="宋体"/>
                      <w:color w:val="auto"/>
                      <w:szCs w:val="21"/>
                      <w:lang w:eastAsia="zh-CN"/>
                    </w:rPr>
                  </w:pPr>
                  <w:r>
                    <w:rPr>
                      <w:rFonts w:hint="eastAsia"/>
                      <w:bCs/>
                      <w:color w:val="auto"/>
                      <w:szCs w:val="21"/>
                      <w:lang w:val="en-US" w:eastAsia="zh-CN"/>
                    </w:rPr>
                    <w:t>调节室</w:t>
                  </w:r>
                </w:p>
              </w:tc>
              <w:tc>
                <w:tcPr>
                  <w:tcW w:w="3038" w:type="pct"/>
                  <w:vAlign w:val="center"/>
                </w:tcPr>
                <w:p w14:paraId="7228D15B">
                  <w:pPr>
                    <w:adjustRightInd w:val="0"/>
                    <w:snapToGrid w:val="0"/>
                    <w:jc w:val="center"/>
                    <w:rPr>
                      <w:rFonts w:hint="default" w:eastAsia="宋体"/>
                      <w:color w:val="auto"/>
                      <w:szCs w:val="21"/>
                      <w:lang w:val="en-US" w:eastAsia="zh-CN"/>
                    </w:rPr>
                  </w:pPr>
                  <w:r>
                    <w:rPr>
                      <w:rFonts w:hint="eastAsia"/>
                      <w:color w:val="auto"/>
                      <w:szCs w:val="21"/>
                      <w:lang w:val="en-US" w:eastAsia="zh-CN"/>
                    </w:rPr>
                    <w:t>位于项目东南侧，</w:t>
                  </w:r>
                  <w:r>
                    <w:rPr>
                      <w:color w:val="auto"/>
                      <w:kern w:val="0"/>
                      <w:szCs w:val="21"/>
                      <w:highlight w:val="none"/>
                      <w:lang w:bidi="ar"/>
                    </w:rPr>
                    <w:t>面积约为1</w:t>
                  </w:r>
                  <w:r>
                    <w:rPr>
                      <w:rFonts w:hint="eastAsia"/>
                      <w:color w:val="auto"/>
                      <w:kern w:val="0"/>
                      <w:szCs w:val="21"/>
                      <w:highlight w:val="none"/>
                      <w:lang w:val="en-US" w:eastAsia="zh-CN" w:bidi="ar"/>
                    </w:rPr>
                    <w:t xml:space="preserve">0 </w:t>
                  </w:r>
                  <w:r>
                    <w:rPr>
                      <w:snapToGrid w:val="0"/>
                      <w:color w:val="auto"/>
                      <w:szCs w:val="21"/>
                      <w:highlight w:val="none"/>
                    </w:rPr>
                    <w:t>m</w:t>
                  </w:r>
                  <w:r>
                    <w:rPr>
                      <w:snapToGrid w:val="0"/>
                      <w:color w:val="auto"/>
                      <w:szCs w:val="21"/>
                      <w:highlight w:val="none"/>
                      <w:vertAlign w:val="superscript"/>
                    </w:rPr>
                    <w:t>2</w:t>
                  </w:r>
                  <w:r>
                    <w:rPr>
                      <w:snapToGrid w:val="0"/>
                      <w:color w:val="auto"/>
                      <w:szCs w:val="21"/>
                      <w:highlight w:val="none"/>
                    </w:rPr>
                    <w:t>，</w:t>
                  </w:r>
                  <w:r>
                    <w:rPr>
                      <w:rFonts w:hint="eastAsia"/>
                      <w:color w:val="auto"/>
                      <w:szCs w:val="21"/>
                      <w:lang w:val="en-US" w:eastAsia="zh-CN"/>
                    </w:rPr>
                    <w:t>主要用于样品的暂存及调配</w:t>
                  </w:r>
                </w:p>
              </w:tc>
              <w:tc>
                <w:tcPr>
                  <w:tcW w:w="534" w:type="pct"/>
                  <w:vMerge w:val="restart"/>
                  <w:vAlign w:val="center"/>
                </w:tcPr>
                <w:p w14:paraId="0E4F6D06">
                  <w:pPr>
                    <w:adjustRightInd w:val="0"/>
                    <w:snapToGrid w:val="0"/>
                    <w:jc w:val="center"/>
                    <w:rPr>
                      <w:rFonts w:hint="eastAsia" w:eastAsia="宋体"/>
                      <w:color w:val="auto"/>
                      <w:szCs w:val="21"/>
                      <w:lang w:val="en-US" w:eastAsia="zh-CN"/>
                    </w:rPr>
                  </w:pPr>
                  <w:r>
                    <w:rPr>
                      <w:rFonts w:hint="eastAsia"/>
                      <w:color w:val="auto"/>
                      <w:szCs w:val="21"/>
                      <w:lang w:val="en-US" w:eastAsia="zh-CN"/>
                    </w:rPr>
                    <w:t>新建</w:t>
                  </w:r>
                </w:p>
              </w:tc>
            </w:tr>
            <w:tr w14:paraId="448F7A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699" w:type="pct"/>
                  <w:vMerge w:val="continue"/>
                  <w:vAlign w:val="center"/>
                </w:tcPr>
                <w:p w14:paraId="3205F4FB">
                  <w:pPr>
                    <w:adjustRightInd w:val="0"/>
                    <w:snapToGrid w:val="0"/>
                    <w:jc w:val="center"/>
                    <w:rPr>
                      <w:color w:val="auto"/>
                      <w:szCs w:val="21"/>
                    </w:rPr>
                  </w:pPr>
                </w:p>
              </w:tc>
              <w:tc>
                <w:tcPr>
                  <w:tcW w:w="728" w:type="pct"/>
                  <w:vAlign w:val="center"/>
                </w:tcPr>
                <w:p w14:paraId="557F9114">
                  <w:pPr>
                    <w:adjustRightInd w:val="0"/>
                    <w:snapToGrid w:val="0"/>
                    <w:jc w:val="center"/>
                    <w:rPr>
                      <w:rFonts w:hint="default" w:eastAsia="宋体"/>
                      <w:color w:val="auto"/>
                      <w:szCs w:val="21"/>
                      <w:lang w:val="en-US" w:eastAsia="zh-CN"/>
                    </w:rPr>
                  </w:pPr>
                  <w:r>
                    <w:rPr>
                      <w:rFonts w:hint="eastAsia"/>
                      <w:bCs/>
                      <w:color w:val="auto"/>
                      <w:szCs w:val="21"/>
                      <w:lang w:val="en-US" w:eastAsia="zh-CN"/>
                    </w:rPr>
                    <w:t>样品室</w:t>
                  </w:r>
                </w:p>
              </w:tc>
              <w:tc>
                <w:tcPr>
                  <w:tcW w:w="3038" w:type="pct"/>
                  <w:vAlign w:val="center"/>
                </w:tcPr>
                <w:p w14:paraId="6E1E4852">
                  <w:pPr>
                    <w:adjustRightInd w:val="0"/>
                    <w:snapToGrid w:val="0"/>
                    <w:jc w:val="center"/>
                    <w:rPr>
                      <w:color w:val="auto"/>
                      <w:szCs w:val="21"/>
                    </w:rPr>
                  </w:pPr>
                  <w:r>
                    <w:rPr>
                      <w:rFonts w:hint="eastAsia"/>
                      <w:color w:val="auto"/>
                      <w:kern w:val="0"/>
                      <w:szCs w:val="21"/>
                      <w:highlight w:val="none"/>
                      <w:lang w:val="en-US" w:eastAsia="zh-CN"/>
                    </w:rPr>
                    <w:t>位于项目东侧，面积</w:t>
                  </w:r>
                  <w:r>
                    <w:rPr>
                      <w:color w:val="auto"/>
                      <w:kern w:val="0"/>
                      <w:szCs w:val="21"/>
                      <w:highlight w:val="none"/>
                    </w:rPr>
                    <w:t>约8 m</w:t>
                  </w:r>
                  <w:r>
                    <w:rPr>
                      <w:color w:val="auto"/>
                      <w:kern w:val="0"/>
                      <w:szCs w:val="21"/>
                      <w:highlight w:val="none"/>
                      <w:vertAlign w:val="superscript"/>
                    </w:rPr>
                    <w:t>2</w:t>
                  </w:r>
                  <w:r>
                    <w:rPr>
                      <w:color w:val="auto"/>
                      <w:kern w:val="0"/>
                      <w:szCs w:val="21"/>
                      <w:highlight w:val="none"/>
                    </w:rPr>
                    <w:t>，</w:t>
                  </w:r>
                  <w:r>
                    <w:rPr>
                      <w:rFonts w:hint="eastAsia"/>
                      <w:color w:val="auto"/>
                      <w:kern w:val="0"/>
                      <w:szCs w:val="21"/>
                      <w:highlight w:val="none"/>
                      <w:lang w:val="en-US" w:eastAsia="zh-CN"/>
                    </w:rPr>
                    <w:t>主要用于</w:t>
                  </w:r>
                  <w:r>
                    <w:rPr>
                      <w:color w:val="auto"/>
                      <w:kern w:val="0"/>
                      <w:szCs w:val="21"/>
                      <w:highlight w:val="none"/>
                    </w:rPr>
                    <w:t>接收客户送检的样品</w:t>
                  </w:r>
                </w:p>
              </w:tc>
              <w:tc>
                <w:tcPr>
                  <w:tcW w:w="534" w:type="pct"/>
                  <w:vMerge w:val="continue"/>
                  <w:vAlign w:val="center"/>
                </w:tcPr>
                <w:p w14:paraId="190911BE">
                  <w:pPr>
                    <w:adjustRightInd w:val="0"/>
                    <w:snapToGrid w:val="0"/>
                    <w:jc w:val="center"/>
                    <w:rPr>
                      <w:color w:val="auto"/>
                      <w:szCs w:val="21"/>
                    </w:rPr>
                  </w:pPr>
                </w:p>
              </w:tc>
            </w:tr>
            <w:tr w14:paraId="264B37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99" w:type="pct"/>
                  <w:vMerge w:val="continue"/>
                  <w:vAlign w:val="center"/>
                </w:tcPr>
                <w:p w14:paraId="6107F2E6">
                  <w:pPr>
                    <w:adjustRightInd w:val="0"/>
                    <w:snapToGrid w:val="0"/>
                    <w:jc w:val="center"/>
                    <w:rPr>
                      <w:color w:val="auto"/>
                      <w:szCs w:val="21"/>
                    </w:rPr>
                  </w:pPr>
                </w:p>
              </w:tc>
              <w:tc>
                <w:tcPr>
                  <w:tcW w:w="728" w:type="pct"/>
                  <w:vAlign w:val="center"/>
                </w:tcPr>
                <w:p w14:paraId="373D92BB">
                  <w:pPr>
                    <w:adjustRightInd w:val="0"/>
                    <w:snapToGrid w:val="0"/>
                    <w:jc w:val="center"/>
                    <w:rPr>
                      <w:rFonts w:hint="eastAsia" w:eastAsia="宋体"/>
                      <w:color w:val="auto"/>
                      <w:szCs w:val="21"/>
                      <w:lang w:eastAsia="zh-CN"/>
                    </w:rPr>
                  </w:pPr>
                  <w:r>
                    <w:rPr>
                      <w:rFonts w:hint="eastAsia"/>
                      <w:bCs/>
                      <w:color w:val="auto"/>
                      <w:szCs w:val="21"/>
                      <w:lang w:val="en-US" w:eastAsia="zh-CN"/>
                    </w:rPr>
                    <w:t>留样室</w:t>
                  </w:r>
                </w:p>
              </w:tc>
              <w:tc>
                <w:tcPr>
                  <w:tcW w:w="3038" w:type="pct"/>
                  <w:vAlign w:val="center"/>
                </w:tcPr>
                <w:p w14:paraId="2B8A27BA">
                  <w:pPr>
                    <w:adjustRightInd w:val="0"/>
                    <w:snapToGrid w:val="0"/>
                    <w:jc w:val="center"/>
                    <w:rPr>
                      <w:color w:val="auto"/>
                      <w:szCs w:val="21"/>
                    </w:rPr>
                  </w:pPr>
                  <w:r>
                    <w:rPr>
                      <w:color w:val="auto"/>
                      <w:kern w:val="0"/>
                      <w:szCs w:val="21"/>
                      <w:highlight w:val="none"/>
                      <w:lang w:bidi="ar"/>
                    </w:rPr>
                    <w:t>位于</w:t>
                  </w:r>
                  <w:r>
                    <w:rPr>
                      <w:rFonts w:hint="eastAsia"/>
                      <w:color w:val="auto"/>
                      <w:kern w:val="0"/>
                      <w:szCs w:val="21"/>
                      <w:highlight w:val="none"/>
                      <w:lang w:val="en-US" w:eastAsia="zh-CN" w:bidi="ar"/>
                    </w:rPr>
                    <w:t>项目</w:t>
                  </w:r>
                  <w:r>
                    <w:rPr>
                      <w:color w:val="auto"/>
                      <w:kern w:val="0"/>
                      <w:szCs w:val="21"/>
                      <w:highlight w:val="none"/>
                      <w:lang w:bidi="ar"/>
                    </w:rPr>
                    <w:t>东侧，面积约为</w:t>
                  </w:r>
                  <w:r>
                    <w:rPr>
                      <w:rFonts w:hint="eastAsia"/>
                      <w:color w:val="auto"/>
                      <w:kern w:val="0"/>
                      <w:szCs w:val="21"/>
                      <w:highlight w:val="none"/>
                      <w:lang w:val="en-US" w:eastAsia="zh-CN" w:bidi="ar"/>
                    </w:rPr>
                    <w:t>8</w:t>
                  </w:r>
                  <w:r>
                    <w:rPr>
                      <w:snapToGrid w:val="0"/>
                      <w:color w:val="auto"/>
                      <w:szCs w:val="21"/>
                      <w:highlight w:val="none"/>
                    </w:rPr>
                    <w:t>m</w:t>
                  </w:r>
                  <w:r>
                    <w:rPr>
                      <w:snapToGrid w:val="0"/>
                      <w:color w:val="auto"/>
                      <w:szCs w:val="21"/>
                      <w:highlight w:val="none"/>
                      <w:vertAlign w:val="superscript"/>
                    </w:rPr>
                    <w:t>2</w:t>
                  </w:r>
                  <w:r>
                    <w:rPr>
                      <w:snapToGrid w:val="0"/>
                      <w:color w:val="auto"/>
                      <w:szCs w:val="21"/>
                      <w:highlight w:val="none"/>
                    </w:rPr>
                    <w:t>，主要作为样品留样区域</w:t>
                  </w:r>
                </w:p>
              </w:tc>
              <w:tc>
                <w:tcPr>
                  <w:tcW w:w="534" w:type="pct"/>
                  <w:vMerge w:val="continue"/>
                  <w:vAlign w:val="center"/>
                </w:tcPr>
                <w:p w14:paraId="7C03DE71">
                  <w:pPr>
                    <w:adjustRightInd w:val="0"/>
                    <w:snapToGrid w:val="0"/>
                    <w:jc w:val="center"/>
                    <w:rPr>
                      <w:color w:val="auto"/>
                      <w:szCs w:val="21"/>
                    </w:rPr>
                  </w:pPr>
                </w:p>
              </w:tc>
            </w:tr>
            <w:tr w14:paraId="715A50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99" w:type="pct"/>
                  <w:vMerge w:val="continue"/>
                  <w:vAlign w:val="center"/>
                </w:tcPr>
                <w:p w14:paraId="3FB36DEE">
                  <w:pPr>
                    <w:adjustRightInd w:val="0"/>
                    <w:snapToGrid w:val="0"/>
                    <w:jc w:val="center"/>
                    <w:rPr>
                      <w:color w:val="auto"/>
                      <w:szCs w:val="21"/>
                    </w:rPr>
                  </w:pPr>
                </w:p>
              </w:tc>
              <w:tc>
                <w:tcPr>
                  <w:tcW w:w="728" w:type="pct"/>
                  <w:vAlign w:val="center"/>
                </w:tcPr>
                <w:p w14:paraId="133345B0">
                  <w:pPr>
                    <w:adjustRightInd w:val="0"/>
                    <w:snapToGrid w:val="0"/>
                    <w:jc w:val="center"/>
                    <w:rPr>
                      <w:rFonts w:hint="default"/>
                      <w:bCs/>
                      <w:color w:val="auto"/>
                      <w:szCs w:val="21"/>
                      <w:lang w:val="en-US" w:eastAsia="zh-CN"/>
                    </w:rPr>
                  </w:pPr>
                  <w:r>
                    <w:rPr>
                      <w:rFonts w:hint="eastAsia"/>
                      <w:bCs/>
                      <w:color w:val="auto"/>
                      <w:szCs w:val="21"/>
                      <w:lang w:val="en-US" w:eastAsia="zh-CN"/>
                    </w:rPr>
                    <w:t>一般固废暂存点</w:t>
                  </w:r>
                </w:p>
              </w:tc>
              <w:tc>
                <w:tcPr>
                  <w:tcW w:w="3038" w:type="pct"/>
                  <w:vAlign w:val="center"/>
                </w:tcPr>
                <w:p w14:paraId="3C380EA8">
                  <w:pPr>
                    <w:adjustRightInd w:val="0"/>
                    <w:snapToGrid w:val="0"/>
                    <w:jc w:val="center"/>
                    <w:rPr>
                      <w:rFonts w:hint="default" w:eastAsia="宋体"/>
                      <w:color w:val="auto"/>
                      <w:szCs w:val="21"/>
                      <w:lang w:val="en-US" w:eastAsia="zh-CN"/>
                    </w:rPr>
                  </w:pPr>
                  <w:r>
                    <w:rPr>
                      <w:rFonts w:hint="eastAsia"/>
                      <w:color w:val="auto"/>
                      <w:szCs w:val="21"/>
                      <w:lang w:val="en-US" w:eastAsia="zh-CN"/>
                    </w:rPr>
                    <w:t>位于项目办公楼外北侧，面积约</w:t>
                  </w:r>
                  <w:r>
                    <w:rPr>
                      <w:rFonts w:hint="eastAsia"/>
                      <w:color w:val="auto"/>
                      <w:kern w:val="0"/>
                      <w:szCs w:val="21"/>
                      <w:highlight w:val="none"/>
                      <w:lang w:val="en-US" w:eastAsia="zh-CN"/>
                    </w:rPr>
                    <w:t>25 m</w:t>
                  </w:r>
                  <w:r>
                    <w:rPr>
                      <w:rFonts w:hint="eastAsia"/>
                      <w:color w:val="auto"/>
                      <w:kern w:val="0"/>
                      <w:szCs w:val="21"/>
                      <w:highlight w:val="none"/>
                      <w:vertAlign w:val="superscript"/>
                      <w:lang w:val="en-US" w:eastAsia="zh-CN"/>
                    </w:rPr>
                    <w:t>2</w:t>
                  </w:r>
                  <w:r>
                    <w:rPr>
                      <w:rFonts w:hint="eastAsia"/>
                      <w:color w:val="auto"/>
                      <w:kern w:val="0"/>
                      <w:szCs w:val="21"/>
                      <w:highlight w:val="none"/>
                      <w:vertAlign w:val="baseline"/>
                      <w:lang w:val="en-US" w:eastAsia="zh-CN"/>
                    </w:rPr>
                    <w:t>，</w:t>
                  </w:r>
                  <w:r>
                    <w:rPr>
                      <w:rFonts w:hint="eastAsia"/>
                      <w:color w:val="auto"/>
                      <w:kern w:val="0"/>
                      <w:szCs w:val="21"/>
                      <w:highlight w:val="none"/>
                      <w:lang w:val="en-US" w:eastAsia="zh-CN"/>
                    </w:rPr>
                    <w:t>用于实验废料的暂存，废包装材料集中收集、定期外售，试验废样委托建筑垃圾清运公司运输、处理</w:t>
                  </w:r>
                </w:p>
              </w:tc>
              <w:tc>
                <w:tcPr>
                  <w:tcW w:w="534" w:type="pct"/>
                  <w:vAlign w:val="center"/>
                </w:tcPr>
                <w:p w14:paraId="06B8D668">
                  <w:pPr>
                    <w:adjustRightInd w:val="0"/>
                    <w:snapToGrid w:val="0"/>
                    <w:jc w:val="center"/>
                    <w:rPr>
                      <w:rFonts w:hint="eastAsia" w:eastAsia="宋体"/>
                      <w:color w:val="auto"/>
                      <w:szCs w:val="21"/>
                      <w:lang w:val="en-US" w:eastAsia="zh-CN"/>
                    </w:rPr>
                  </w:pPr>
                  <w:r>
                    <w:rPr>
                      <w:rFonts w:hint="eastAsia"/>
                      <w:color w:val="auto"/>
                      <w:szCs w:val="21"/>
                      <w:lang w:val="en-US" w:eastAsia="zh-CN"/>
                    </w:rPr>
                    <w:t>新建</w:t>
                  </w:r>
                </w:p>
              </w:tc>
            </w:tr>
            <w:tr w14:paraId="5A9C04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99" w:type="pct"/>
                  <w:vMerge w:val="continue"/>
                  <w:vAlign w:val="center"/>
                </w:tcPr>
                <w:p w14:paraId="56E70233">
                  <w:pPr>
                    <w:adjustRightInd w:val="0"/>
                    <w:snapToGrid w:val="0"/>
                    <w:jc w:val="center"/>
                    <w:rPr>
                      <w:color w:val="auto"/>
                      <w:szCs w:val="21"/>
                    </w:rPr>
                  </w:pPr>
                </w:p>
              </w:tc>
              <w:tc>
                <w:tcPr>
                  <w:tcW w:w="728" w:type="pct"/>
                  <w:vAlign w:val="center"/>
                </w:tcPr>
                <w:p w14:paraId="1A7325F1">
                  <w:pPr>
                    <w:adjustRightInd w:val="0"/>
                    <w:snapToGrid w:val="0"/>
                    <w:jc w:val="center"/>
                    <w:rPr>
                      <w:rFonts w:hint="eastAsia"/>
                      <w:bCs/>
                      <w:color w:val="auto"/>
                      <w:szCs w:val="21"/>
                      <w:lang w:val="en-US" w:eastAsia="zh-CN"/>
                    </w:rPr>
                  </w:pPr>
                  <w:r>
                    <w:rPr>
                      <w:rFonts w:hint="eastAsia"/>
                      <w:bCs/>
                      <w:color w:val="auto"/>
                      <w:szCs w:val="21"/>
                      <w:lang w:val="en-US" w:eastAsia="zh-CN"/>
                    </w:rPr>
                    <w:t>危废贮存库</w:t>
                  </w:r>
                </w:p>
              </w:tc>
              <w:tc>
                <w:tcPr>
                  <w:tcW w:w="3038" w:type="pct"/>
                  <w:vAlign w:val="center"/>
                </w:tcPr>
                <w:p w14:paraId="00F00319">
                  <w:pPr>
                    <w:adjustRightInd w:val="0"/>
                    <w:snapToGrid w:val="0"/>
                    <w:jc w:val="center"/>
                    <w:rPr>
                      <w:rFonts w:hint="default" w:eastAsia="宋体"/>
                      <w:color w:val="auto"/>
                      <w:szCs w:val="21"/>
                      <w:lang w:val="en-US" w:eastAsia="zh-CN"/>
                    </w:rPr>
                  </w:pPr>
                  <w:r>
                    <w:rPr>
                      <w:rFonts w:hint="eastAsia"/>
                      <w:color w:val="auto"/>
                      <w:szCs w:val="21"/>
                      <w:lang w:val="en-US" w:eastAsia="zh-CN"/>
                    </w:rPr>
                    <w:t>位于项目楼梯间旁，面积约5</w:t>
                  </w:r>
                  <w:r>
                    <w:rPr>
                      <w:rFonts w:hint="eastAsia"/>
                      <w:color w:val="auto"/>
                      <w:kern w:val="0"/>
                      <w:szCs w:val="21"/>
                      <w:highlight w:val="none"/>
                      <w:lang w:val="en-US" w:eastAsia="zh-CN"/>
                    </w:rPr>
                    <w:t xml:space="preserve"> m</w:t>
                  </w:r>
                  <w:r>
                    <w:rPr>
                      <w:rFonts w:hint="eastAsia"/>
                      <w:color w:val="auto"/>
                      <w:kern w:val="0"/>
                      <w:szCs w:val="21"/>
                      <w:highlight w:val="none"/>
                      <w:vertAlign w:val="superscript"/>
                      <w:lang w:val="en-US" w:eastAsia="zh-CN"/>
                    </w:rPr>
                    <w:t>2</w:t>
                  </w:r>
                  <w:r>
                    <w:rPr>
                      <w:rFonts w:hint="eastAsia"/>
                      <w:color w:val="auto"/>
                      <w:kern w:val="0"/>
                      <w:szCs w:val="21"/>
                      <w:highlight w:val="none"/>
                      <w:vertAlign w:val="baseline"/>
                      <w:lang w:val="en-US" w:eastAsia="zh-CN"/>
                    </w:rPr>
                    <w:t>，用于危险废物的暂存，</w:t>
                  </w:r>
                  <w:r>
                    <w:rPr>
                      <w:snapToGrid w:val="0"/>
                      <w:color w:val="auto"/>
                      <w:szCs w:val="21"/>
                      <w:highlight w:val="none"/>
                      <w:lang w:val="zh-CN"/>
                    </w:rPr>
                    <w:t>定期交由有资质单位处理</w:t>
                  </w:r>
                  <w:r>
                    <w:rPr>
                      <w:rFonts w:hint="eastAsia"/>
                      <w:snapToGrid w:val="0"/>
                      <w:color w:val="auto"/>
                      <w:szCs w:val="21"/>
                      <w:highlight w:val="none"/>
                      <w:lang w:val="zh-CN"/>
                    </w:rPr>
                    <w:t>。</w:t>
                  </w:r>
                </w:p>
              </w:tc>
              <w:tc>
                <w:tcPr>
                  <w:tcW w:w="534" w:type="pct"/>
                  <w:vAlign w:val="center"/>
                </w:tcPr>
                <w:p w14:paraId="72527BCA">
                  <w:pPr>
                    <w:adjustRightInd w:val="0"/>
                    <w:snapToGrid w:val="0"/>
                    <w:jc w:val="center"/>
                    <w:rPr>
                      <w:color w:val="auto"/>
                      <w:szCs w:val="21"/>
                    </w:rPr>
                  </w:pPr>
                  <w:r>
                    <w:rPr>
                      <w:rFonts w:hint="eastAsia"/>
                      <w:color w:val="auto"/>
                      <w:szCs w:val="21"/>
                      <w:lang w:val="en-US" w:eastAsia="zh-CN"/>
                    </w:rPr>
                    <w:t>新建</w:t>
                  </w:r>
                </w:p>
              </w:tc>
            </w:tr>
            <w:tr w14:paraId="24FB94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99" w:type="pct"/>
                  <w:vMerge w:val="restart"/>
                  <w:vAlign w:val="center"/>
                </w:tcPr>
                <w:p w14:paraId="1B0D6C1B">
                  <w:pPr>
                    <w:adjustRightInd w:val="0"/>
                    <w:snapToGrid w:val="0"/>
                    <w:jc w:val="center"/>
                    <w:rPr>
                      <w:color w:val="auto"/>
                      <w:szCs w:val="21"/>
                    </w:rPr>
                  </w:pPr>
                  <w:r>
                    <w:rPr>
                      <w:color w:val="auto"/>
                      <w:szCs w:val="21"/>
                    </w:rPr>
                    <w:t>辅助工程</w:t>
                  </w:r>
                </w:p>
              </w:tc>
              <w:tc>
                <w:tcPr>
                  <w:tcW w:w="728" w:type="pct"/>
                  <w:vAlign w:val="center"/>
                </w:tcPr>
                <w:p w14:paraId="0488BAA0">
                  <w:pPr>
                    <w:adjustRightInd w:val="0"/>
                    <w:snapToGrid w:val="0"/>
                    <w:jc w:val="center"/>
                    <w:rPr>
                      <w:rFonts w:hint="eastAsia" w:eastAsia="宋体"/>
                      <w:bCs/>
                      <w:color w:val="auto"/>
                      <w:szCs w:val="21"/>
                      <w:lang w:val="en-US" w:eastAsia="zh-CN"/>
                    </w:rPr>
                  </w:pPr>
                  <w:r>
                    <w:rPr>
                      <w:rFonts w:hint="eastAsia"/>
                      <w:bCs/>
                      <w:color w:val="auto"/>
                      <w:szCs w:val="21"/>
                      <w:lang w:val="en-US" w:eastAsia="zh-CN"/>
                    </w:rPr>
                    <w:t>档案室</w:t>
                  </w:r>
                </w:p>
              </w:tc>
              <w:tc>
                <w:tcPr>
                  <w:tcW w:w="3038" w:type="pct"/>
                  <w:vAlign w:val="center"/>
                </w:tcPr>
                <w:p w14:paraId="4F063966">
                  <w:pPr>
                    <w:adjustRightInd w:val="0"/>
                    <w:snapToGrid w:val="0"/>
                    <w:jc w:val="center"/>
                    <w:rPr>
                      <w:rFonts w:hint="default" w:eastAsia="宋体"/>
                      <w:color w:val="auto"/>
                      <w:szCs w:val="21"/>
                      <w:lang w:val="en-US" w:eastAsia="zh-CN"/>
                    </w:rPr>
                  </w:pPr>
                  <w:r>
                    <w:rPr>
                      <w:rFonts w:hint="eastAsia"/>
                      <w:color w:val="auto"/>
                      <w:szCs w:val="21"/>
                      <w:lang w:val="en-US" w:eastAsia="zh-CN"/>
                    </w:rPr>
                    <w:t>位于项目西侧，面积约30</w:t>
                  </w:r>
                  <w:r>
                    <w:rPr>
                      <w:rFonts w:hint="eastAsia"/>
                      <w:color w:val="auto"/>
                      <w:kern w:val="0"/>
                      <w:szCs w:val="21"/>
                      <w:highlight w:val="none"/>
                      <w:lang w:val="en-US" w:eastAsia="zh-CN"/>
                    </w:rPr>
                    <w:t>m</w:t>
                  </w:r>
                  <w:r>
                    <w:rPr>
                      <w:rFonts w:hint="eastAsia"/>
                      <w:color w:val="auto"/>
                      <w:kern w:val="0"/>
                      <w:szCs w:val="21"/>
                      <w:highlight w:val="none"/>
                      <w:vertAlign w:val="superscript"/>
                      <w:lang w:val="en-US" w:eastAsia="zh-CN"/>
                    </w:rPr>
                    <w:t>2</w:t>
                  </w:r>
                  <w:r>
                    <w:rPr>
                      <w:rFonts w:hint="eastAsia"/>
                      <w:color w:val="auto"/>
                      <w:kern w:val="0"/>
                      <w:szCs w:val="21"/>
                      <w:highlight w:val="none"/>
                      <w:vertAlign w:val="baseline"/>
                      <w:lang w:val="en-US" w:eastAsia="zh-CN"/>
                    </w:rPr>
                    <w:t>，用于档案存放及日常办公打印</w:t>
                  </w:r>
                </w:p>
              </w:tc>
              <w:tc>
                <w:tcPr>
                  <w:tcW w:w="534" w:type="pct"/>
                  <w:vAlign w:val="center"/>
                </w:tcPr>
                <w:p w14:paraId="0238518E">
                  <w:pPr>
                    <w:adjustRightInd w:val="0"/>
                    <w:snapToGrid w:val="0"/>
                    <w:jc w:val="center"/>
                    <w:rPr>
                      <w:color w:val="auto"/>
                      <w:szCs w:val="21"/>
                    </w:rPr>
                  </w:pPr>
                  <w:r>
                    <w:rPr>
                      <w:rFonts w:hint="eastAsia"/>
                      <w:color w:val="auto"/>
                      <w:szCs w:val="21"/>
                      <w:lang w:val="en-US" w:eastAsia="zh-CN"/>
                    </w:rPr>
                    <w:t>新建</w:t>
                  </w:r>
                </w:p>
              </w:tc>
            </w:tr>
            <w:tr w14:paraId="4E346F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99" w:type="pct"/>
                  <w:vMerge w:val="continue"/>
                  <w:vAlign w:val="center"/>
                </w:tcPr>
                <w:p w14:paraId="3A03A589">
                  <w:pPr>
                    <w:adjustRightInd w:val="0"/>
                    <w:snapToGrid w:val="0"/>
                    <w:jc w:val="center"/>
                    <w:rPr>
                      <w:color w:val="auto"/>
                      <w:szCs w:val="21"/>
                    </w:rPr>
                  </w:pPr>
                </w:p>
              </w:tc>
              <w:tc>
                <w:tcPr>
                  <w:tcW w:w="728" w:type="pct"/>
                  <w:vAlign w:val="center"/>
                </w:tcPr>
                <w:p w14:paraId="529320BE">
                  <w:pPr>
                    <w:adjustRightInd w:val="0"/>
                    <w:snapToGrid w:val="0"/>
                    <w:jc w:val="center"/>
                    <w:rPr>
                      <w:rFonts w:hint="eastAsia" w:eastAsia="宋体"/>
                      <w:bCs/>
                      <w:color w:val="auto"/>
                      <w:szCs w:val="21"/>
                      <w:lang w:val="en-US" w:eastAsia="zh-CN"/>
                    </w:rPr>
                  </w:pPr>
                  <w:r>
                    <w:rPr>
                      <w:rFonts w:hint="eastAsia"/>
                      <w:bCs/>
                      <w:color w:val="auto"/>
                      <w:szCs w:val="21"/>
                      <w:lang w:val="en-US" w:eastAsia="zh-CN"/>
                    </w:rPr>
                    <w:t>办公室</w:t>
                  </w:r>
                </w:p>
              </w:tc>
              <w:tc>
                <w:tcPr>
                  <w:tcW w:w="3038" w:type="pct"/>
                  <w:vAlign w:val="center"/>
                </w:tcPr>
                <w:p w14:paraId="312B7824">
                  <w:pPr>
                    <w:adjustRightInd w:val="0"/>
                    <w:snapToGrid w:val="0"/>
                    <w:jc w:val="center"/>
                    <w:rPr>
                      <w:color w:val="auto"/>
                      <w:szCs w:val="21"/>
                    </w:rPr>
                  </w:pPr>
                  <w:r>
                    <w:rPr>
                      <w:rFonts w:hint="eastAsia"/>
                      <w:color w:val="auto"/>
                      <w:kern w:val="0"/>
                      <w:szCs w:val="21"/>
                      <w:highlight w:val="none"/>
                      <w:lang w:val="en-US" w:eastAsia="zh-CN"/>
                    </w:rPr>
                    <w:t>位于项目西部，</w:t>
                  </w:r>
                  <w:r>
                    <w:rPr>
                      <w:color w:val="auto"/>
                      <w:kern w:val="0"/>
                      <w:szCs w:val="21"/>
                      <w:highlight w:val="none"/>
                    </w:rPr>
                    <w:t>面积约为1</w:t>
                  </w:r>
                  <w:r>
                    <w:rPr>
                      <w:rFonts w:hint="eastAsia"/>
                      <w:color w:val="auto"/>
                      <w:kern w:val="0"/>
                      <w:szCs w:val="21"/>
                      <w:highlight w:val="none"/>
                      <w:lang w:val="en-US" w:eastAsia="zh-CN"/>
                    </w:rPr>
                    <w:t>8</w:t>
                  </w:r>
                  <w:r>
                    <w:rPr>
                      <w:color w:val="auto"/>
                      <w:kern w:val="0"/>
                      <w:szCs w:val="21"/>
                      <w:highlight w:val="none"/>
                    </w:rPr>
                    <w:t>0 m</w:t>
                  </w:r>
                  <w:r>
                    <w:rPr>
                      <w:color w:val="auto"/>
                      <w:kern w:val="0"/>
                      <w:szCs w:val="21"/>
                      <w:highlight w:val="none"/>
                      <w:vertAlign w:val="superscript"/>
                    </w:rPr>
                    <w:t>2</w:t>
                  </w:r>
                  <w:r>
                    <w:rPr>
                      <w:color w:val="auto"/>
                      <w:kern w:val="0"/>
                      <w:szCs w:val="21"/>
                      <w:highlight w:val="none"/>
                    </w:rPr>
                    <w:t>，项目办公使用区域</w:t>
                  </w:r>
                </w:p>
              </w:tc>
              <w:tc>
                <w:tcPr>
                  <w:tcW w:w="534" w:type="pct"/>
                  <w:vAlign w:val="center"/>
                </w:tcPr>
                <w:p w14:paraId="39D447C0">
                  <w:pPr>
                    <w:adjustRightInd w:val="0"/>
                    <w:snapToGrid w:val="0"/>
                    <w:jc w:val="center"/>
                    <w:rPr>
                      <w:color w:val="auto"/>
                      <w:szCs w:val="21"/>
                    </w:rPr>
                  </w:pPr>
                  <w:r>
                    <w:rPr>
                      <w:rFonts w:hint="eastAsia"/>
                      <w:color w:val="auto"/>
                      <w:szCs w:val="21"/>
                      <w:lang w:val="en-US" w:eastAsia="zh-CN"/>
                    </w:rPr>
                    <w:t>新建</w:t>
                  </w:r>
                </w:p>
              </w:tc>
            </w:tr>
            <w:tr w14:paraId="70E9C9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699" w:type="pct"/>
                  <w:vMerge w:val="restart"/>
                  <w:vAlign w:val="center"/>
                </w:tcPr>
                <w:p w14:paraId="1670C850">
                  <w:pPr>
                    <w:adjustRightInd w:val="0"/>
                    <w:snapToGrid w:val="0"/>
                    <w:jc w:val="center"/>
                    <w:rPr>
                      <w:color w:val="auto"/>
                      <w:szCs w:val="21"/>
                    </w:rPr>
                  </w:pPr>
                  <w:r>
                    <w:rPr>
                      <w:color w:val="auto"/>
                      <w:szCs w:val="21"/>
                    </w:rPr>
                    <w:t>公用工程</w:t>
                  </w:r>
                </w:p>
              </w:tc>
              <w:tc>
                <w:tcPr>
                  <w:tcW w:w="728" w:type="pct"/>
                  <w:vMerge w:val="restart"/>
                  <w:vAlign w:val="center"/>
                </w:tcPr>
                <w:p w14:paraId="47376BA7">
                  <w:pPr>
                    <w:adjustRightInd w:val="0"/>
                    <w:snapToGrid w:val="0"/>
                    <w:jc w:val="center"/>
                    <w:rPr>
                      <w:color w:val="auto"/>
                      <w:szCs w:val="21"/>
                    </w:rPr>
                  </w:pPr>
                  <w:r>
                    <w:rPr>
                      <w:color w:val="auto"/>
                      <w:szCs w:val="21"/>
                    </w:rPr>
                    <w:t>供水</w:t>
                  </w:r>
                </w:p>
              </w:tc>
              <w:tc>
                <w:tcPr>
                  <w:tcW w:w="3038" w:type="pct"/>
                  <w:vAlign w:val="center"/>
                </w:tcPr>
                <w:p w14:paraId="1C07A31A">
                  <w:pPr>
                    <w:adjustRightInd w:val="0"/>
                    <w:snapToGrid w:val="0"/>
                    <w:jc w:val="center"/>
                    <w:rPr>
                      <w:rFonts w:hint="default" w:eastAsia="宋体"/>
                      <w:color w:val="auto"/>
                      <w:szCs w:val="21"/>
                      <w:lang w:val="en-US" w:eastAsia="zh-CN"/>
                    </w:rPr>
                  </w:pPr>
                  <w:r>
                    <w:rPr>
                      <w:rFonts w:hint="eastAsia"/>
                      <w:color w:val="auto"/>
                      <w:szCs w:val="21"/>
                      <w:lang w:val="en-US" w:eastAsia="zh-CN"/>
                    </w:rPr>
                    <w:t>用水由市政供水提供</w:t>
                  </w:r>
                </w:p>
              </w:tc>
              <w:tc>
                <w:tcPr>
                  <w:tcW w:w="534" w:type="pct"/>
                  <w:vAlign w:val="center"/>
                </w:tcPr>
                <w:p w14:paraId="51F9B01E">
                  <w:pPr>
                    <w:adjustRightInd w:val="0"/>
                    <w:snapToGrid w:val="0"/>
                    <w:jc w:val="center"/>
                    <w:rPr>
                      <w:rFonts w:hint="eastAsia" w:eastAsia="宋体"/>
                      <w:color w:val="auto"/>
                      <w:szCs w:val="21"/>
                      <w:lang w:val="en-US" w:eastAsia="zh-CN"/>
                    </w:rPr>
                  </w:pPr>
                  <w:r>
                    <w:rPr>
                      <w:rFonts w:hint="eastAsia"/>
                      <w:color w:val="auto"/>
                      <w:szCs w:val="21"/>
                      <w:lang w:val="en-US" w:eastAsia="zh-CN"/>
                    </w:rPr>
                    <w:t>依托</w:t>
                  </w:r>
                </w:p>
              </w:tc>
            </w:tr>
            <w:tr w14:paraId="125AC7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699" w:type="pct"/>
                  <w:vMerge w:val="continue"/>
                  <w:vAlign w:val="center"/>
                </w:tcPr>
                <w:p w14:paraId="6CE5D5F1">
                  <w:pPr>
                    <w:adjustRightInd w:val="0"/>
                    <w:snapToGrid w:val="0"/>
                    <w:jc w:val="center"/>
                    <w:rPr>
                      <w:color w:val="auto"/>
                      <w:szCs w:val="21"/>
                    </w:rPr>
                  </w:pPr>
                </w:p>
              </w:tc>
              <w:tc>
                <w:tcPr>
                  <w:tcW w:w="728" w:type="pct"/>
                  <w:vMerge w:val="continue"/>
                  <w:vAlign w:val="center"/>
                </w:tcPr>
                <w:p w14:paraId="68C87568">
                  <w:pPr>
                    <w:adjustRightInd w:val="0"/>
                    <w:snapToGrid w:val="0"/>
                    <w:jc w:val="center"/>
                    <w:rPr>
                      <w:color w:val="auto"/>
                      <w:szCs w:val="21"/>
                    </w:rPr>
                  </w:pPr>
                </w:p>
              </w:tc>
              <w:tc>
                <w:tcPr>
                  <w:tcW w:w="3038" w:type="pct"/>
                  <w:vAlign w:val="center"/>
                </w:tcPr>
                <w:p w14:paraId="42E5B506">
                  <w:pPr>
                    <w:adjustRightInd w:val="0"/>
                    <w:snapToGrid w:val="0"/>
                    <w:jc w:val="center"/>
                    <w:rPr>
                      <w:rFonts w:hint="eastAsia"/>
                      <w:color w:val="auto"/>
                      <w:szCs w:val="21"/>
                      <w:lang w:val="en-US" w:eastAsia="zh-CN"/>
                    </w:rPr>
                  </w:pPr>
                  <w:r>
                    <w:rPr>
                      <w:color w:val="auto"/>
                      <w:szCs w:val="21"/>
                      <w:highlight w:val="none"/>
                    </w:rPr>
                    <w:t>化学</w:t>
                  </w:r>
                  <w:r>
                    <w:rPr>
                      <w:rFonts w:hint="eastAsia"/>
                      <w:color w:val="auto"/>
                      <w:szCs w:val="21"/>
                      <w:highlight w:val="none"/>
                      <w:lang w:eastAsia="zh-CN"/>
                    </w:rPr>
                    <w:t>试验</w:t>
                  </w:r>
                  <w:r>
                    <w:rPr>
                      <w:color w:val="auto"/>
                      <w:szCs w:val="21"/>
                      <w:highlight w:val="none"/>
                    </w:rPr>
                    <w:t>使用的纯水全部外购</w:t>
                  </w:r>
                </w:p>
              </w:tc>
              <w:tc>
                <w:tcPr>
                  <w:tcW w:w="534" w:type="pct"/>
                  <w:vAlign w:val="center"/>
                </w:tcPr>
                <w:p w14:paraId="3112C1E8">
                  <w:pPr>
                    <w:adjustRightInd w:val="0"/>
                    <w:snapToGrid w:val="0"/>
                    <w:jc w:val="center"/>
                    <w:rPr>
                      <w:rFonts w:hint="default"/>
                      <w:color w:val="auto"/>
                      <w:szCs w:val="21"/>
                      <w:lang w:val="en-US" w:eastAsia="zh-CN"/>
                    </w:rPr>
                  </w:pPr>
                  <w:r>
                    <w:rPr>
                      <w:rFonts w:hint="eastAsia"/>
                      <w:color w:val="auto"/>
                      <w:szCs w:val="21"/>
                      <w:lang w:val="en-US" w:eastAsia="zh-CN"/>
                    </w:rPr>
                    <w:t>外购</w:t>
                  </w:r>
                </w:p>
              </w:tc>
            </w:tr>
            <w:tr w14:paraId="2129AE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699" w:type="pct"/>
                  <w:vMerge w:val="continue"/>
                  <w:vAlign w:val="center"/>
                </w:tcPr>
                <w:p w14:paraId="5E442EE9">
                  <w:pPr>
                    <w:widowControl/>
                    <w:adjustRightInd w:val="0"/>
                    <w:snapToGrid w:val="0"/>
                    <w:jc w:val="center"/>
                    <w:rPr>
                      <w:color w:val="auto"/>
                      <w:szCs w:val="21"/>
                    </w:rPr>
                  </w:pPr>
                </w:p>
              </w:tc>
              <w:tc>
                <w:tcPr>
                  <w:tcW w:w="728" w:type="pct"/>
                  <w:vAlign w:val="center"/>
                </w:tcPr>
                <w:p w14:paraId="4BC2F2A6">
                  <w:pPr>
                    <w:adjustRightInd w:val="0"/>
                    <w:snapToGrid w:val="0"/>
                    <w:jc w:val="center"/>
                    <w:rPr>
                      <w:color w:val="auto"/>
                      <w:szCs w:val="21"/>
                    </w:rPr>
                  </w:pPr>
                  <w:r>
                    <w:rPr>
                      <w:color w:val="auto"/>
                      <w:szCs w:val="21"/>
                    </w:rPr>
                    <w:t>排水</w:t>
                  </w:r>
                </w:p>
              </w:tc>
              <w:tc>
                <w:tcPr>
                  <w:tcW w:w="3038" w:type="pct"/>
                  <w:shd w:val="clear" w:color="auto" w:fill="auto"/>
                  <w:vAlign w:val="center"/>
                </w:tcPr>
                <w:p w14:paraId="38736D38">
                  <w:pPr>
                    <w:adjustRightInd w:val="0"/>
                    <w:jc w:val="center"/>
                    <w:rPr>
                      <w:rFonts w:ascii="Times New Roman" w:hAnsi="Times New Roman" w:eastAsia="宋体" w:cs="Times New Roman"/>
                      <w:color w:val="auto"/>
                      <w:kern w:val="2"/>
                      <w:sz w:val="21"/>
                      <w:szCs w:val="21"/>
                      <w:highlight w:val="none"/>
                      <w:lang w:val="en-US" w:eastAsia="zh-CN" w:bidi="ar-SA"/>
                    </w:rPr>
                  </w:pPr>
                  <w:r>
                    <w:rPr>
                      <w:color w:val="auto"/>
                      <w:szCs w:val="21"/>
                      <w:highlight w:val="none"/>
                    </w:rPr>
                    <w:t>化学</w:t>
                  </w:r>
                  <w:r>
                    <w:rPr>
                      <w:rFonts w:hint="eastAsia"/>
                      <w:color w:val="auto"/>
                      <w:szCs w:val="21"/>
                      <w:highlight w:val="none"/>
                      <w:lang w:eastAsia="zh-CN"/>
                    </w:rPr>
                    <w:t>试验</w:t>
                  </w:r>
                  <w:r>
                    <w:rPr>
                      <w:rFonts w:hint="eastAsia"/>
                      <w:color w:val="auto"/>
                      <w:szCs w:val="21"/>
                      <w:highlight w:val="none"/>
                      <w:lang w:val="en-US" w:eastAsia="zh-CN"/>
                    </w:rPr>
                    <w:t>中废液、实验室器皿前两次清洗废水作为危废，暂存于危废贮存库。物理试验废水、实验室器皿后段清洗废水、清洁废水经沉淀池收集后</w:t>
                  </w:r>
                  <w:r>
                    <w:rPr>
                      <w:color w:val="auto"/>
                      <w:szCs w:val="21"/>
                      <w:highlight w:val="none"/>
                    </w:rPr>
                    <w:t>与生活污水一起进入化粪池处理达标后排入市政污水管网，最终进入西安净水处理有限责任公司第六再生水厂</w:t>
                  </w:r>
                </w:p>
              </w:tc>
              <w:tc>
                <w:tcPr>
                  <w:tcW w:w="534" w:type="pct"/>
                  <w:shd w:val="clear" w:color="auto" w:fill="auto"/>
                  <w:vAlign w:val="center"/>
                </w:tcPr>
                <w:p w14:paraId="75A2D268">
                  <w:pPr>
                    <w:adjustRightInd w:val="0"/>
                    <w:jc w:val="center"/>
                    <w:rPr>
                      <w:rFonts w:ascii="Times New Roman" w:hAnsi="Times New Roman" w:eastAsia="宋体" w:cs="Times New Roman"/>
                      <w:color w:val="auto"/>
                      <w:kern w:val="2"/>
                      <w:sz w:val="21"/>
                      <w:szCs w:val="21"/>
                      <w:highlight w:val="none"/>
                      <w:lang w:val="en-US" w:eastAsia="zh-CN" w:bidi="ar-SA"/>
                    </w:rPr>
                  </w:pPr>
                  <w:r>
                    <w:rPr>
                      <w:color w:val="auto"/>
                      <w:szCs w:val="21"/>
                      <w:highlight w:val="none"/>
                    </w:rPr>
                    <w:t>依托</w:t>
                  </w:r>
                </w:p>
              </w:tc>
            </w:tr>
            <w:tr w14:paraId="36AFC2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9" w:type="pct"/>
                  <w:vMerge w:val="continue"/>
                  <w:vAlign w:val="center"/>
                </w:tcPr>
                <w:p w14:paraId="0BFB38AC">
                  <w:pPr>
                    <w:widowControl/>
                    <w:adjustRightInd w:val="0"/>
                    <w:snapToGrid w:val="0"/>
                    <w:jc w:val="center"/>
                    <w:rPr>
                      <w:color w:val="auto"/>
                      <w:szCs w:val="21"/>
                    </w:rPr>
                  </w:pPr>
                </w:p>
              </w:tc>
              <w:tc>
                <w:tcPr>
                  <w:tcW w:w="728" w:type="pct"/>
                  <w:vAlign w:val="center"/>
                </w:tcPr>
                <w:p w14:paraId="1CA78B66">
                  <w:pPr>
                    <w:adjustRightInd w:val="0"/>
                    <w:snapToGrid w:val="0"/>
                    <w:jc w:val="center"/>
                    <w:rPr>
                      <w:color w:val="auto"/>
                      <w:szCs w:val="21"/>
                    </w:rPr>
                  </w:pPr>
                  <w:r>
                    <w:rPr>
                      <w:color w:val="auto"/>
                      <w:szCs w:val="21"/>
                    </w:rPr>
                    <w:t>供电</w:t>
                  </w:r>
                </w:p>
              </w:tc>
              <w:tc>
                <w:tcPr>
                  <w:tcW w:w="3038" w:type="pct"/>
                  <w:vAlign w:val="center"/>
                </w:tcPr>
                <w:p w14:paraId="16DD2F96">
                  <w:pPr>
                    <w:adjustRightInd w:val="0"/>
                    <w:snapToGrid w:val="0"/>
                    <w:jc w:val="center"/>
                    <w:rPr>
                      <w:rFonts w:hint="default" w:eastAsia="宋体"/>
                      <w:color w:val="auto"/>
                      <w:szCs w:val="21"/>
                      <w:lang w:val="en-US" w:eastAsia="zh-CN"/>
                    </w:rPr>
                  </w:pPr>
                  <w:r>
                    <w:rPr>
                      <w:rFonts w:hint="eastAsia"/>
                      <w:color w:val="auto"/>
                      <w:szCs w:val="21"/>
                      <w:lang w:val="en-US" w:eastAsia="zh-CN"/>
                    </w:rPr>
                    <w:t>用电由市政供电供给</w:t>
                  </w:r>
                </w:p>
              </w:tc>
              <w:tc>
                <w:tcPr>
                  <w:tcW w:w="534" w:type="pct"/>
                  <w:vAlign w:val="center"/>
                </w:tcPr>
                <w:p w14:paraId="08DC6C8E">
                  <w:pPr>
                    <w:adjustRightInd w:val="0"/>
                    <w:snapToGrid w:val="0"/>
                    <w:jc w:val="center"/>
                    <w:rPr>
                      <w:rFonts w:hint="eastAsia" w:eastAsia="宋体"/>
                      <w:color w:val="auto"/>
                      <w:szCs w:val="21"/>
                      <w:lang w:val="en-US" w:eastAsia="zh-CN"/>
                    </w:rPr>
                  </w:pPr>
                  <w:r>
                    <w:rPr>
                      <w:rFonts w:hint="eastAsia"/>
                      <w:color w:val="auto"/>
                      <w:szCs w:val="21"/>
                      <w:lang w:val="en-US" w:eastAsia="zh-CN"/>
                    </w:rPr>
                    <w:t>依托</w:t>
                  </w:r>
                </w:p>
              </w:tc>
            </w:tr>
            <w:tr w14:paraId="66B62F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9" w:type="pct"/>
                  <w:vMerge w:val="continue"/>
                  <w:vAlign w:val="center"/>
                </w:tcPr>
                <w:p w14:paraId="05004147">
                  <w:pPr>
                    <w:widowControl/>
                    <w:adjustRightInd w:val="0"/>
                    <w:snapToGrid w:val="0"/>
                    <w:jc w:val="center"/>
                    <w:rPr>
                      <w:color w:val="auto"/>
                      <w:szCs w:val="21"/>
                    </w:rPr>
                  </w:pPr>
                </w:p>
              </w:tc>
              <w:tc>
                <w:tcPr>
                  <w:tcW w:w="728" w:type="pct"/>
                  <w:vAlign w:val="center"/>
                </w:tcPr>
                <w:p w14:paraId="5B2BDEB4">
                  <w:pPr>
                    <w:widowControl/>
                    <w:adjustRightInd w:val="0"/>
                    <w:snapToGrid w:val="0"/>
                    <w:jc w:val="center"/>
                    <w:rPr>
                      <w:color w:val="auto"/>
                      <w:szCs w:val="21"/>
                    </w:rPr>
                  </w:pPr>
                  <w:r>
                    <w:rPr>
                      <w:color w:val="auto"/>
                      <w:szCs w:val="21"/>
                    </w:rPr>
                    <w:t>供暖制冷</w:t>
                  </w:r>
                </w:p>
              </w:tc>
              <w:tc>
                <w:tcPr>
                  <w:tcW w:w="3038" w:type="pct"/>
                  <w:vAlign w:val="center"/>
                </w:tcPr>
                <w:p w14:paraId="7ACDB25F">
                  <w:pPr>
                    <w:adjustRightInd w:val="0"/>
                    <w:snapToGrid w:val="0"/>
                    <w:jc w:val="center"/>
                    <w:rPr>
                      <w:rFonts w:hint="default" w:eastAsia="宋体"/>
                      <w:color w:val="auto"/>
                      <w:szCs w:val="21"/>
                      <w:lang w:val="en-US" w:eastAsia="zh-CN"/>
                    </w:rPr>
                  </w:pPr>
                  <w:r>
                    <w:rPr>
                      <w:rFonts w:hint="eastAsia"/>
                      <w:color w:val="auto"/>
                      <w:szCs w:val="21"/>
                      <w:lang w:val="en-US" w:eastAsia="zh-CN"/>
                    </w:rPr>
                    <w:t>采取空调供暖制冷</w:t>
                  </w:r>
                </w:p>
              </w:tc>
              <w:tc>
                <w:tcPr>
                  <w:tcW w:w="534" w:type="pct"/>
                  <w:vAlign w:val="center"/>
                </w:tcPr>
                <w:p w14:paraId="133D1B37">
                  <w:pPr>
                    <w:adjustRightInd w:val="0"/>
                    <w:snapToGrid w:val="0"/>
                    <w:jc w:val="center"/>
                    <w:rPr>
                      <w:rFonts w:hint="eastAsia" w:eastAsia="宋体"/>
                      <w:color w:val="auto"/>
                      <w:szCs w:val="21"/>
                      <w:lang w:val="en-US" w:eastAsia="zh-CN"/>
                    </w:rPr>
                  </w:pPr>
                  <w:r>
                    <w:rPr>
                      <w:rFonts w:hint="eastAsia"/>
                      <w:color w:val="auto"/>
                      <w:szCs w:val="21"/>
                      <w:lang w:val="en-US" w:eastAsia="zh-CN"/>
                    </w:rPr>
                    <w:t>新建</w:t>
                  </w:r>
                </w:p>
              </w:tc>
            </w:tr>
            <w:tr w14:paraId="3A0E80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99" w:type="pct"/>
                  <w:vMerge w:val="restart"/>
                  <w:vAlign w:val="center"/>
                </w:tcPr>
                <w:p w14:paraId="779FCC9F">
                  <w:pPr>
                    <w:adjustRightInd w:val="0"/>
                    <w:snapToGrid w:val="0"/>
                    <w:jc w:val="center"/>
                    <w:rPr>
                      <w:color w:val="auto"/>
                      <w:szCs w:val="21"/>
                    </w:rPr>
                  </w:pPr>
                  <w:r>
                    <w:rPr>
                      <w:rFonts w:hint="eastAsia"/>
                      <w:color w:val="auto"/>
                      <w:szCs w:val="21"/>
                    </w:rPr>
                    <w:t>环保工程</w:t>
                  </w:r>
                </w:p>
              </w:tc>
              <w:tc>
                <w:tcPr>
                  <w:tcW w:w="728" w:type="pct"/>
                  <w:vAlign w:val="center"/>
                </w:tcPr>
                <w:p w14:paraId="36782255">
                  <w:pPr>
                    <w:adjustRightInd w:val="0"/>
                    <w:snapToGrid w:val="0"/>
                    <w:jc w:val="center"/>
                    <w:rPr>
                      <w:color w:val="auto"/>
                      <w:szCs w:val="21"/>
                    </w:rPr>
                  </w:pPr>
                  <w:r>
                    <w:rPr>
                      <w:color w:val="auto"/>
                      <w:szCs w:val="21"/>
                    </w:rPr>
                    <w:t>废气</w:t>
                  </w:r>
                </w:p>
              </w:tc>
              <w:tc>
                <w:tcPr>
                  <w:tcW w:w="3038" w:type="pct"/>
                  <w:vAlign w:val="center"/>
                </w:tcPr>
                <w:p w14:paraId="280DE19F">
                  <w:pPr>
                    <w:widowControl/>
                    <w:adjustRightInd w:val="0"/>
                    <w:snapToGrid w:val="0"/>
                    <w:jc w:val="center"/>
                    <w:rPr>
                      <w:rFonts w:hint="eastAsia" w:eastAsia="宋体"/>
                      <w:color w:val="auto"/>
                      <w:kern w:val="0"/>
                      <w:szCs w:val="21"/>
                      <w:lang w:eastAsia="zh-CN" w:bidi="ar"/>
                    </w:rPr>
                  </w:pPr>
                  <w:r>
                    <w:rPr>
                      <w:rFonts w:hint="eastAsia"/>
                      <w:color w:val="auto"/>
                      <w:kern w:val="0"/>
                      <w:szCs w:val="21"/>
                    </w:rPr>
                    <w:t>沥青</w:t>
                  </w:r>
                  <w:r>
                    <w:rPr>
                      <w:rFonts w:hint="eastAsia"/>
                      <w:color w:val="auto"/>
                      <w:kern w:val="0"/>
                      <w:szCs w:val="21"/>
                      <w:lang w:val="en-US" w:eastAsia="zh-CN"/>
                    </w:rPr>
                    <w:t>检测</w:t>
                  </w:r>
                  <w:r>
                    <w:rPr>
                      <w:rFonts w:hint="eastAsia"/>
                      <w:color w:val="auto"/>
                      <w:kern w:val="0"/>
                      <w:szCs w:val="21"/>
                    </w:rPr>
                    <w:t>室设置</w:t>
                  </w:r>
                  <w:r>
                    <w:rPr>
                      <w:rFonts w:hint="eastAsia"/>
                      <w:color w:val="auto"/>
                      <w:kern w:val="0"/>
                      <w:szCs w:val="21"/>
                      <w:lang w:val="en-US" w:eastAsia="zh-CN"/>
                    </w:rPr>
                    <w:t>1</w:t>
                  </w:r>
                  <w:r>
                    <w:rPr>
                      <w:rFonts w:hint="eastAsia"/>
                      <w:color w:val="auto"/>
                      <w:kern w:val="0"/>
                      <w:szCs w:val="21"/>
                    </w:rPr>
                    <w:t>个通风橱，</w:t>
                  </w:r>
                  <w:r>
                    <w:rPr>
                      <w:rFonts w:hint="eastAsia"/>
                      <w:color w:val="auto"/>
                      <w:kern w:val="0"/>
                      <w:szCs w:val="21"/>
                      <w:lang w:val="en-US" w:eastAsia="zh-CN"/>
                    </w:rPr>
                    <w:t>7个集气罩、2个万向罩，</w:t>
                  </w:r>
                  <w:r>
                    <w:rPr>
                      <w:rFonts w:hint="eastAsia"/>
                      <w:color w:val="auto"/>
                      <w:kern w:val="0"/>
                      <w:szCs w:val="21"/>
                    </w:rPr>
                    <w:t>收集的沥青废气</w:t>
                  </w:r>
                  <w:r>
                    <w:rPr>
                      <w:rFonts w:hint="eastAsia"/>
                      <w:color w:val="auto"/>
                      <w:kern w:val="0"/>
                      <w:szCs w:val="21"/>
                      <w:lang w:val="en-US" w:eastAsia="zh-CN"/>
                    </w:rPr>
                    <w:t>经二级活性炭吸附</w:t>
                  </w:r>
                  <w:r>
                    <w:rPr>
                      <w:rFonts w:hint="eastAsia"/>
                      <w:color w:val="auto"/>
                      <w:kern w:val="0"/>
                      <w:szCs w:val="21"/>
                    </w:rPr>
                    <w:t>处理，由一根</w:t>
                  </w:r>
                  <w:r>
                    <w:rPr>
                      <w:rFonts w:hint="eastAsia"/>
                      <w:color w:val="auto"/>
                      <w:kern w:val="0"/>
                      <w:szCs w:val="21"/>
                      <w:lang w:eastAsia="zh-CN"/>
                    </w:rPr>
                    <w:t>23m</w:t>
                  </w:r>
                  <w:r>
                    <w:rPr>
                      <w:rFonts w:hint="eastAsia"/>
                      <w:color w:val="auto"/>
                      <w:kern w:val="0"/>
                      <w:szCs w:val="21"/>
                    </w:rPr>
                    <w:t>高排气筒</w:t>
                  </w:r>
                  <w:r>
                    <w:rPr>
                      <w:rFonts w:hint="eastAsia"/>
                      <w:color w:val="auto"/>
                      <w:kern w:val="0"/>
                      <w:szCs w:val="21"/>
                      <w:lang w:val="en-US" w:eastAsia="zh-CN"/>
                    </w:rPr>
                    <w:t>DA001</w:t>
                  </w:r>
                  <w:r>
                    <w:rPr>
                      <w:rFonts w:hint="eastAsia"/>
                      <w:color w:val="auto"/>
                      <w:kern w:val="0"/>
                      <w:szCs w:val="21"/>
                    </w:rPr>
                    <w:t>排放</w:t>
                  </w:r>
                  <w:r>
                    <w:rPr>
                      <w:rFonts w:hint="eastAsia"/>
                      <w:color w:val="auto"/>
                      <w:kern w:val="0"/>
                      <w:szCs w:val="21"/>
                      <w:lang w:eastAsia="zh-CN"/>
                    </w:rPr>
                    <w:t>；</w:t>
                  </w:r>
                  <w:r>
                    <w:rPr>
                      <w:rFonts w:hint="eastAsia"/>
                      <w:color w:val="auto"/>
                      <w:kern w:val="0"/>
                      <w:szCs w:val="21"/>
                    </w:rPr>
                    <w:t>化学室废气经</w:t>
                  </w:r>
                  <w:r>
                    <w:rPr>
                      <w:rFonts w:hint="eastAsia"/>
                      <w:color w:val="auto"/>
                      <w:kern w:val="0"/>
                      <w:szCs w:val="21"/>
                      <w:lang w:val="en-US" w:eastAsia="zh-CN"/>
                    </w:rPr>
                    <w:t>1</w:t>
                  </w:r>
                  <w:r>
                    <w:rPr>
                      <w:rFonts w:hint="eastAsia"/>
                      <w:color w:val="auto"/>
                      <w:kern w:val="0"/>
                      <w:szCs w:val="21"/>
                    </w:rPr>
                    <w:t>个通风橱收集</w:t>
                  </w:r>
                  <w:r>
                    <w:rPr>
                      <w:rFonts w:hint="eastAsia"/>
                      <w:color w:val="auto"/>
                      <w:kern w:val="0"/>
                      <w:szCs w:val="21"/>
                      <w:lang w:val="en-US" w:eastAsia="zh-CN"/>
                    </w:rPr>
                    <w:t>后</w:t>
                  </w:r>
                  <w:r>
                    <w:rPr>
                      <w:rFonts w:hint="eastAsia"/>
                      <w:color w:val="auto"/>
                      <w:kern w:val="0"/>
                      <w:szCs w:val="21"/>
                    </w:rPr>
                    <w:t>由一根</w:t>
                  </w:r>
                  <w:r>
                    <w:rPr>
                      <w:rFonts w:hint="eastAsia"/>
                      <w:color w:val="auto"/>
                      <w:kern w:val="0"/>
                      <w:szCs w:val="21"/>
                      <w:lang w:eastAsia="zh-CN"/>
                    </w:rPr>
                    <w:t>23m</w:t>
                  </w:r>
                  <w:r>
                    <w:rPr>
                      <w:rFonts w:hint="eastAsia"/>
                      <w:color w:val="auto"/>
                      <w:kern w:val="0"/>
                      <w:szCs w:val="21"/>
                    </w:rPr>
                    <w:t>高排气筒</w:t>
                  </w:r>
                  <w:r>
                    <w:rPr>
                      <w:rFonts w:hint="eastAsia"/>
                      <w:color w:val="auto"/>
                      <w:kern w:val="0"/>
                      <w:szCs w:val="21"/>
                      <w:lang w:val="en-US" w:eastAsia="zh-CN"/>
                    </w:rPr>
                    <w:t>DA002</w:t>
                  </w:r>
                  <w:r>
                    <w:rPr>
                      <w:rFonts w:hint="eastAsia"/>
                      <w:color w:val="auto"/>
                      <w:kern w:val="0"/>
                      <w:szCs w:val="21"/>
                    </w:rPr>
                    <w:t>排放</w:t>
                  </w:r>
                </w:p>
              </w:tc>
              <w:tc>
                <w:tcPr>
                  <w:tcW w:w="534" w:type="pct"/>
                  <w:vAlign w:val="center"/>
                </w:tcPr>
                <w:p w14:paraId="5D49A023">
                  <w:pPr>
                    <w:widowControl/>
                    <w:adjustRightInd w:val="0"/>
                    <w:snapToGrid w:val="0"/>
                    <w:jc w:val="center"/>
                    <w:rPr>
                      <w:rFonts w:hint="eastAsia" w:eastAsia="宋体"/>
                      <w:color w:val="auto"/>
                      <w:kern w:val="0"/>
                      <w:szCs w:val="21"/>
                      <w:lang w:val="en-US" w:eastAsia="zh-CN" w:bidi="ar"/>
                    </w:rPr>
                  </w:pPr>
                  <w:r>
                    <w:rPr>
                      <w:rFonts w:hint="eastAsia"/>
                      <w:color w:val="auto"/>
                      <w:kern w:val="0"/>
                      <w:szCs w:val="21"/>
                      <w:lang w:val="en-US" w:eastAsia="zh-CN" w:bidi="ar"/>
                    </w:rPr>
                    <w:t>新建</w:t>
                  </w:r>
                </w:p>
              </w:tc>
            </w:tr>
            <w:tr w14:paraId="22A9C5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699" w:type="pct"/>
                  <w:vMerge w:val="continue"/>
                  <w:vAlign w:val="center"/>
                </w:tcPr>
                <w:p w14:paraId="41AD80B7">
                  <w:pPr>
                    <w:widowControl/>
                    <w:adjustRightInd w:val="0"/>
                    <w:snapToGrid w:val="0"/>
                    <w:jc w:val="center"/>
                    <w:rPr>
                      <w:color w:val="auto"/>
                      <w:szCs w:val="21"/>
                    </w:rPr>
                  </w:pPr>
                </w:p>
              </w:tc>
              <w:tc>
                <w:tcPr>
                  <w:tcW w:w="728" w:type="pct"/>
                  <w:vAlign w:val="center"/>
                </w:tcPr>
                <w:p w14:paraId="68EF41BA">
                  <w:pPr>
                    <w:adjustRightInd w:val="0"/>
                    <w:snapToGrid w:val="0"/>
                    <w:jc w:val="center"/>
                    <w:rPr>
                      <w:color w:val="auto"/>
                      <w:szCs w:val="21"/>
                    </w:rPr>
                  </w:pPr>
                  <w:r>
                    <w:rPr>
                      <w:color w:val="auto"/>
                      <w:szCs w:val="21"/>
                    </w:rPr>
                    <w:t>噪声</w:t>
                  </w:r>
                </w:p>
              </w:tc>
              <w:tc>
                <w:tcPr>
                  <w:tcW w:w="3038" w:type="pct"/>
                  <w:vAlign w:val="center"/>
                </w:tcPr>
                <w:p w14:paraId="1C566F72">
                  <w:pPr>
                    <w:widowControl/>
                    <w:adjustRightInd w:val="0"/>
                    <w:snapToGrid w:val="0"/>
                    <w:jc w:val="center"/>
                    <w:rPr>
                      <w:rFonts w:hint="default" w:eastAsia="宋体"/>
                      <w:color w:val="auto"/>
                      <w:kern w:val="0"/>
                      <w:szCs w:val="21"/>
                      <w:lang w:val="en-US" w:eastAsia="zh-CN" w:bidi="ar"/>
                    </w:rPr>
                  </w:pPr>
                  <w:r>
                    <w:rPr>
                      <w:rFonts w:hint="eastAsia"/>
                      <w:color w:val="auto"/>
                      <w:kern w:val="0"/>
                      <w:szCs w:val="21"/>
                      <w:lang w:val="en-US" w:eastAsia="zh-CN" w:bidi="ar"/>
                    </w:rPr>
                    <w:t>选用低噪声实验仪器，全部置于室内</w:t>
                  </w:r>
                </w:p>
              </w:tc>
              <w:tc>
                <w:tcPr>
                  <w:tcW w:w="534" w:type="pct"/>
                  <w:vAlign w:val="center"/>
                </w:tcPr>
                <w:p w14:paraId="560F8647">
                  <w:pPr>
                    <w:widowControl/>
                    <w:adjustRightInd w:val="0"/>
                    <w:snapToGrid w:val="0"/>
                    <w:jc w:val="center"/>
                    <w:rPr>
                      <w:rFonts w:hint="eastAsia" w:eastAsia="宋体"/>
                      <w:color w:val="auto"/>
                      <w:szCs w:val="21"/>
                      <w:lang w:val="en-US" w:eastAsia="zh-CN"/>
                    </w:rPr>
                  </w:pPr>
                  <w:r>
                    <w:rPr>
                      <w:rFonts w:hint="eastAsia"/>
                      <w:color w:val="auto"/>
                      <w:szCs w:val="21"/>
                      <w:lang w:val="en-US" w:eastAsia="zh-CN"/>
                    </w:rPr>
                    <w:t>新建</w:t>
                  </w:r>
                </w:p>
              </w:tc>
            </w:tr>
            <w:tr w14:paraId="6588E7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2" w:hRule="atLeast"/>
              </w:trPr>
              <w:tc>
                <w:tcPr>
                  <w:tcW w:w="699" w:type="pct"/>
                  <w:vMerge w:val="continue"/>
                  <w:vAlign w:val="center"/>
                </w:tcPr>
                <w:p w14:paraId="4F324393">
                  <w:pPr>
                    <w:widowControl/>
                    <w:adjustRightInd w:val="0"/>
                    <w:snapToGrid w:val="0"/>
                    <w:jc w:val="center"/>
                    <w:rPr>
                      <w:color w:val="auto"/>
                      <w:szCs w:val="21"/>
                    </w:rPr>
                  </w:pPr>
                </w:p>
              </w:tc>
              <w:tc>
                <w:tcPr>
                  <w:tcW w:w="728" w:type="pct"/>
                  <w:vAlign w:val="center"/>
                </w:tcPr>
                <w:p w14:paraId="31F37164">
                  <w:pPr>
                    <w:adjustRightInd w:val="0"/>
                    <w:snapToGrid w:val="0"/>
                    <w:jc w:val="center"/>
                    <w:rPr>
                      <w:color w:val="auto"/>
                      <w:szCs w:val="21"/>
                    </w:rPr>
                  </w:pPr>
                  <w:r>
                    <w:rPr>
                      <w:rFonts w:hint="eastAsia"/>
                      <w:color w:val="auto"/>
                      <w:szCs w:val="21"/>
                    </w:rPr>
                    <w:t>废水</w:t>
                  </w:r>
                </w:p>
              </w:tc>
              <w:tc>
                <w:tcPr>
                  <w:tcW w:w="3038" w:type="pct"/>
                  <w:vAlign w:val="center"/>
                </w:tcPr>
                <w:p w14:paraId="460DC069">
                  <w:pPr>
                    <w:adjustRightInd w:val="0"/>
                    <w:snapToGrid w:val="0"/>
                    <w:jc w:val="center"/>
                    <w:rPr>
                      <w:color w:val="auto"/>
                      <w:kern w:val="0"/>
                      <w:szCs w:val="21"/>
                      <w:lang w:bidi="ar"/>
                    </w:rPr>
                  </w:pPr>
                  <w:r>
                    <w:rPr>
                      <w:color w:val="auto"/>
                      <w:szCs w:val="21"/>
                      <w:highlight w:val="none"/>
                    </w:rPr>
                    <w:t>化学</w:t>
                  </w:r>
                  <w:r>
                    <w:rPr>
                      <w:rFonts w:hint="eastAsia"/>
                      <w:color w:val="auto"/>
                      <w:szCs w:val="21"/>
                      <w:highlight w:val="none"/>
                      <w:lang w:eastAsia="zh-CN"/>
                    </w:rPr>
                    <w:t>试验</w:t>
                  </w:r>
                  <w:r>
                    <w:rPr>
                      <w:rFonts w:hint="eastAsia"/>
                      <w:color w:val="auto"/>
                      <w:szCs w:val="21"/>
                      <w:highlight w:val="none"/>
                      <w:lang w:val="en-US" w:eastAsia="zh-CN"/>
                    </w:rPr>
                    <w:t>中废液作为危废，暂存于危废贮存库。物理试验废水、实验室器皿清洗废水、清洁废水经沉淀池收集后</w:t>
                  </w:r>
                  <w:r>
                    <w:rPr>
                      <w:color w:val="auto"/>
                      <w:szCs w:val="21"/>
                      <w:highlight w:val="none"/>
                    </w:rPr>
                    <w:t>与生活污水一起进入化粪池处理达标后排入市政污水管网，最终进入西安净水处理有限责任公司第六再生水厂</w:t>
                  </w:r>
                </w:p>
              </w:tc>
              <w:tc>
                <w:tcPr>
                  <w:tcW w:w="534" w:type="pct"/>
                  <w:vAlign w:val="center"/>
                </w:tcPr>
                <w:p w14:paraId="0AD1939D">
                  <w:pPr>
                    <w:adjustRightInd w:val="0"/>
                    <w:snapToGrid w:val="0"/>
                    <w:jc w:val="center"/>
                    <w:rPr>
                      <w:rFonts w:hint="eastAsia" w:eastAsia="宋体"/>
                      <w:color w:val="auto"/>
                      <w:szCs w:val="21"/>
                      <w:lang w:val="en-US" w:eastAsia="zh-CN"/>
                    </w:rPr>
                  </w:pPr>
                  <w:r>
                    <w:rPr>
                      <w:rFonts w:hint="eastAsia"/>
                      <w:color w:val="auto"/>
                      <w:szCs w:val="21"/>
                      <w:lang w:val="en-US" w:eastAsia="zh-CN"/>
                    </w:rPr>
                    <w:t>依托</w:t>
                  </w:r>
                </w:p>
              </w:tc>
            </w:tr>
            <w:tr w14:paraId="00DC06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99" w:type="pct"/>
                  <w:vMerge w:val="continue"/>
                  <w:vAlign w:val="center"/>
                </w:tcPr>
                <w:p w14:paraId="619A8DD3">
                  <w:pPr>
                    <w:widowControl/>
                    <w:adjustRightInd w:val="0"/>
                    <w:snapToGrid w:val="0"/>
                    <w:jc w:val="center"/>
                    <w:rPr>
                      <w:color w:val="auto"/>
                      <w:szCs w:val="21"/>
                    </w:rPr>
                  </w:pPr>
                </w:p>
              </w:tc>
              <w:tc>
                <w:tcPr>
                  <w:tcW w:w="728" w:type="pct"/>
                  <w:vMerge w:val="restart"/>
                  <w:vAlign w:val="center"/>
                </w:tcPr>
                <w:p w14:paraId="68AA86BC">
                  <w:pPr>
                    <w:adjustRightInd w:val="0"/>
                    <w:snapToGrid w:val="0"/>
                    <w:jc w:val="center"/>
                    <w:rPr>
                      <w:color w:val="auto"/>
                      <w:szCs w:val="21"/>
                    </w:rPr>
                  </w:pPr>
                  <w:r>
                    <w:rPr>
                      <w:color w:val="auto"/>
                      <w:szCs w:val="21"/>
                    </w:rPr>
                    <w:t>固废</w:t>
                  </w:r>
                </w:p>
              </w:tc>
              <w:tc>
                <w:tcPr>
                  <w:tcW w:w="3038" w:type="pct"/>
                  <w:vAlign w:val="center"/>
                </w:tcPr>
                <w:p w14:paraId="666C24EC">
                  <w:pPr>
                    <w:widowControl/>
                    <w:adjustRightInd w:val="0"/>
                    <w:snapToGrid w:val="0"/>
                    <w:jc w:val="center"/>
                    <w:rPr>
                      <w:rFonts w:hint="default" w:eastAsia="宋体"/>
                      <w:color w:val="auto"/>
                      <w:kern w:val="0"/>
                      <w:szCs w:val="21"/>
                      <w:lang w:val="en-US" w:eastAsia="zh-CN" w:bidi="ar"/>
                    </w:rPr>
                  </w:pPr>
                  <w:r>
                    <w:rPr>
                      <w:rFonts w:hint="eastAsia"/>
                      <w:color w:val="auto"/>
                      <w:kern w:val="0"/>
                      <w:szCs w:val="21"/>
                      <w:lang w:val="en-US" w:eastAsia="zh-CN" w:bidi="ar"/>
                    </w:rPr>
                    <w:t>生活垃圾分类收集后统一交由环卫部门处置</w:t>
                  </w:r>
                </w:p>
              </w:tc>
              <w:tc>
                <w:tcPr>
                  <w:tcW w:w="534" w:type="pct"/>
                  <w:vAlign w:val="center"/>
                </w:tcPr>
                <w:p w14:paraId="78832481">
                  <w:pPr>
                    <w:widowControl/>
                    <w:adjustRightInd w:val="0"/>
                    <w:snapToGrid w:val="0"/>
                    <w:jc w:val="center"/>
                    <w:rPr>
                      <w:color w:val="auto"/>
                      <w:szCs w:val="21"/>
                    </w:rPr>
                  </w:pPr>
                  <w:r>
                    <w:rPr>
                      <w:color w:val="auto"/>
                      <w:kern w:val="0"/>
                      <w:szCs w:val="21"/>
                      <w:lang w:bidi="ar"/>
                    </w:rPr>
                    <w:t>依托</w:t>
                  </w:r>
                </w:p>
              </w:tc>
            </w:tr>
            <w:tr w14:paraId="47D711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99" w:type="pct"/>
                  <w:vMerge w:val="continue"/>
                  <w:vAlign w:val="center"/>
                </w:tcPr>
                <w:p w14:paraId="278176C5">
                  <w:pPr>
                    <w:widowControl/>
                    <w:adjustRightInd w:val="0"/>
                    <w:snapToGrid w:val="0"/>
                    <w:jc w:val="center"/>
                    <w:rPr>
                      <w:color w:val="auto"/>
                      <w:szCs w:val="21"/>
                    </w:rPr>
                  </w:pPr>
                </w:p>
              </w:tc>
              <w:tc>
                <w:tcPr>
                  <w:tcW w:w="728" w:type="pct"/>
                  <w:vMerge w:val="continue"/>
                  <w:vAlign w:val="center"/>
                </w:tcPr>
                <w:p w14:paraId="79ABE6D3">
                  <w:pPr>
                    <w:adjustRightInd w:val="0"/>
                    <w:snapToGrid w:val="0"/>
                    <w:jc w:val="center"/>
                    <w:rPr>
                      <w:color w:val="auto"/>
                      <w:szCs w:val="21"/>
                    </w:rPr>
                  </w:pPr>
                </w:p>
              </w:tc>
              <w:tc>
                <w:tcPr>
                  <w:tcW w:w="3038" w:type="pct"/>
                  <w:vAlign w:val="center"/>
                </w:tcPr>
                <w:p w14:paraId="2D5CC927">
                  <w:pPr>
                    <w:widowControl/>
                    <w:adjustRightInd w:val="0"/>
                    <w:snapToGrid w:val="0"/>
                    <w:jc w:val="center"/>
                    <w:rPr>
                      <w:rFonts w:hint="default" w:eastAsia="宋体"/>
                      <w:color w:val="auto"/>
                      <w:kern w:val="0"/>
                      <w:szCs w:val="21"/>
                      <w:lang w:val="en-US" w:eastAsia="zh-CN" w:bidi="ar"/>
                    </w:rPr>
                  </w:pPr>
                  <w:r>
                    <w:rPr>
                      <w:rFonts w:hint="eastAsia"/>
                      <w:color w:val="auto"/>
                      <w:kern w:val="0"/>
                      <w:szCs w:val="21"/>
                      <w:lang w:val="en-US" w:eastAsia="zh-CN" w:bidi="ar"/>
                    </w:rPr>
                    <w:t>一般固废集中收集至固废暂存点，</w:t>
                  </w:r>
                  <w:r>
                    <w:rPr>
                      <w:rFonts w:hint="eastAsia"/>
                      <w:color w:val="auto"/>
                      <w:kern w:val="0"/>
                      <w:szCs w:val="21"/>
                      <w:highlight w:val="none"/>
                      <w:lang w:val="en-US" w:eastAsia="zh-CN"/>
                    </w:rPr>
                    <w:t>废包装材料集中收集、定期外售，试验废样委托建筑垃圾清运公司运输、处理</w:t>
                  </w:r>
                </w:p>
              </w:tc>
              <w:tc>
                <w:tcPr>
                  <w:tcW w:w="534" w:type="pct"/>
                  <w:vAlign w:val="center"/>
                </w:tcPr>
                <w:p w14:paraId="67927C8A">
                  <w:pPr>
                    <w:widowControl/>
                    <w:adjustRightInd w:val="0"/>
                    <w:snapToGrid w:val="0"/>
                    <w:jc w:val="center"/>
                    <w:rPr>
                      <w:rFonts w:hint="eastAsia" w:eastAsia="宋体"/>
                      <w:color w:val="auto"/>
                      <w:szCs w:val="21"/>
                      <w:lang w:eastAsia="zh-CN"/>
                    </w:rPr>
                  </w:pPr>
                  <w:r>
                    <w:rPr>
                      <w:rFonts w:hint="eastAsia"/>
                      <w:color w:val="auto"/>
                      <w:kern w:val="0"/>
                      <w:szCs w:val="21"/>
                      <w:lang w:val="en-US" w:eastAsia="zh-CN" w:bidi="ar"/>
                    </w:rPr>
                    <w:t>新建</w:t>
                  </w:r>
                </w:p>
              </w:tc>
            </w:tr>
            <w:tr w14:paraId="4E1BA9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99" w:type="pct"/>
                  <w:vMerge w:val="continue"/>
                  <w:vAlign w:val="center"/>
                </w:tcPr>
                <w:p w14:paraId="364C1C70">
                  <w:pPr>
                    <w:widowControl/>
                    <w:adjustRightInd w:val="0"/>
                    <w:snapToGrid w:val="0"/>
                    <w:jc w:val="center"/>
                    <w:rPr>
                      <w:color w:val="auto"/>
                      <w:szCs w:val="21"/>
                    </w:rPr>
                  </w:pPr>
                </w:p>
              </w:tc>
              <w:tc>
                <w:tcPr>
                  <w:tcW w:w="728" w:type="pct"/>
                  <w:vMerge w:val="continue"/>
                  <w:vAlign w:val="center"/>
                </w:tcPr>
                <w:p w14:paraId="7B3508CB">
                  <w:pPr>
                    <w:adjustRightInd w:val="0"/>
                    <w:snapToGrid w:val="0"/>
                    <w:jc w:val="center"/>
                    <w:rPr>
                      <w:color w:val="auto"/>
                      <w:szCs w:val="21"/>
                    </w:rPr>
                  </w:pPr>
                </w:p>
              </w:tc>
              <w:tc>
                <w:tcPr>
                  <w:tcW w:w="3038" w:type="pct"/>
                  <w:vAlign w:val="center"/>
                </w:tcPr>
                <w:p w14:paraId="2CF7FB68">
                  <w:pPr>
                    <w:widowControl/>
                    <w:adjustRightInd w:val="0"/>
                    <w:snapToGrid w:val="0"/>
                    <w:jc w:val="center"/>
                    <w:rPr>
                      <w:color w:val="auto"/>
                      <w:kern w:val="0"/>
                      <w:szCs w:val="21"/>
                      <w:lang w:bidi="ar"/>
                    </w:rPr>
                  </w:pPr>
                  <w:r>
                    <w:rPr>
                      <w:rFonts w:hint="eastAsia"/>
                      <w:color w:val="auto"/>
                      <w:kern w:val="0"/>
                      <w:szCs w:val="21"/>
                      <w:highlight w:val="none"/>
                      <w:vertAlign w:val="baseline"/>
                      <w:lang w:val="en-US" w:eastAsia="zh-CN"/>
                    </w:rPr>
                    <w:t>危险废物暂存于危废贮存库，</w:t>
                  </w:r>
                  <w:r>
                    <w:rPr>
                      <w:snapToGrid w:val="0"/>
                      <w:color w:val="auto"/>
                      <w:szCs w:val="21"/>
                      <w:highlight w:val="none"/>
                      <w:lang w:val="zh-CN"/>
                    </w:rPr>
                    <w:t>定期交由有资质单位处理</w:t>
                  </w:r>
                  <w:r>
                    <w:rPr>
                      <w:rFonts w:hint="eastAsia"/>
                      <w:snapToGrid w:val="0"/>
                      <w:color w:val="auto"/>
                      <w:szCs w:val="21"/>
                      <w:highlight w:val="none"/>
                      <w:lang w:val="zh-CN"/>
                    </w:rPr>
                    <w:t>。</w:t>
                  </w:r>
                </w:p>
              </w:tc>
              <w:tc>
                <w:tcPr>
                  <w:tcW w:w="534" w:type="pct"/>
                  <w:vAlign w:val="center"/>
                </w:tcPr>
                <w:p w14:paraId="362B0CAF">
                  <w:pPr>
                    <w:widowControl/>
                    <w:adjustRightInd w:val="0"/>
                    <w:snapToGrid w:val="0"/>
                    <w:jc w:val="center"/>
                    <w:rPr>
                      <w:rFonts w:hint="default" w:eastAsia="宋体"/>
                      <w:color w:val="auto"/>
                      <w:szCs w:val="21"/>
                      <w:lang w:val="en-US" w:eastAsia="zh-CN"/>
                    </w:rPr>
                  </w:pPr>
                  <w:r>
                    <w:rPr>
                      <w:rFonts w:hint="eastAsia"/>
                      <w:color w:val="auto"/>
                      <w:kern w:val="0"/>
                      <w:szCs w:val="21"/>
                      <w:lang w:val="en-US" w:eastAsia="zh-CN" w:bidi="ar"/>
                    </w:rPr>
                    <w:t>新建</w:t>
                  </w:r>
                </w:p>
              </w:tc>
            </w:tr>
            <w:bookmarkEnd w:id="2"/>
            <w:bookmarkEnd w:id="3"/>
            <w:bookmarkEnd w:id="4"/>
          </w:tbl>
          <w:p w14:paraId="0796B75B">
            <w:pPr>
              <w:pStyle w:val="37"/>
              <w:snapToGrid w:val="0"/>
              <w:spacing w:line="360" w:lineRule="auto"/>
              <w:ind w:firstLine="482" w:firstLineChars="200"/>
              <w:rPr>
                <w:rFonts w:ascii="Times New Roman" w:eastAsia="宋体" w:cs="Times New Roman"/>
                <w:b/>
                <w:bCs/>
                <w:color w:val="auto"/>
                <w:highlight w:val="none"/>
              </w:rPr>
            </w:pPr>
            <w:r>
              <w:rPr>
                <w:rFonts w:hint="eastAsia" w:ascii="Times New Roman" w:cs="Times New Roman"/>
                <w:b/>
                <w:bCs/>
                <w:color w:val="auto"/>
                <w:highlight w:val="none"/>
                <w:lang w:val="en-US" w:eastAsia="zh-CN"/>
              </w:rPr>
              <w:t>3</w:t>
            </w:r>
            <w:r>
              <w:rPr>
                <w:rFonts w:ascii="Times New Roman" w:eastAsia="宋体" w:cs="Times New Roman"/>
                <w:b/>
                <w:bCs/>
                <w:color w:val="auto"/>
                <w:highlight w:val="none"/>
              </w:rPr>
              <w:t>、产品方案</w:t>
            </w:r>
          </w:p>
          <w:p w14:paraId="7293072E">
            <w:pPr>
              <w:spacing w:line="360" w:lineRule="auto"/>
              <w:ind w:firstLine="480" w:firstLineChars="200"/>
              <w:rPr>
                <w:rFonts w:hint="default" w:ascii="Times New Roman" w:hAnsi="Times New Roman" w:eastAsia="宋体" w:cs="Times New Roman"/>
                <w:color w:val="auto"/>
                <w:sz w:val="24"/>
                <w:highlight w:val="none"/>
                <w:lang w:val="en-US"/>
              </w:rPr>
            </w:pPr>
            <w:r>
              <w:rPr>
                <w:rFonts w:hint="eastAsia"/>
                <w:color w:val="auto"/>
                <w:sz w:val="24"/>
                <w:highlight w:val="none"/>
              </w:rPr>
              <w:t>本项目主要对客户提供的</w:t>
            </w:r>
            <w:r>
              <w:rPr>
                <w:rFonts w:hint="eastAsia"/>
                <w:color w:val="auto"/>
                <w:sz w:val="24"/>
                <w:highlight w:val="none"/>
                <w:lang w:val="en-US" w:eastAsia="zh-CN"/>
              </w:rPr>
              <w:t>水泥、建设用砂、钢筋等</w:t>
            </w:r>
            <w:r>
              <w:rPr>
                <w:rFonts w:hint="eastAsia"/>
                <w:color w:val="auto"/>
                <w:sz w:val="24"/>
                <w:highlight w:val="none"/>
              </w:rPr>
              <w:t>建设工程材料</w:t>
            </w:r>
            <w:r>
              <w:rPr>
                <w:rFonts w:hint="eastAsia" w:ascii="Times New Roman" w:hAnsi="Times New Roman" w:eastAsia="宋体" w:cs="Times New Roman"/>
                <w:color w:val="auto"/>
                <w:sz w:val="24"/>
                <w:highlight w:val="none"/>
                <w:lang w:val="en-US" w:eastAsia="zh-CN"/>
              </w:rPr>
              <w:t>进行物理或化学性能检测，</w:t>
            </w:r>
            <w:r>
              <w:rPr>
                <w:rFonts w:hint="eastAsia"/>
                <w:color w:val="auto"/>
                <w:sz w:val="24"/>
                <w:highlight w:val="none"/>
              </w:rPr>
              <w:t>或者室外工程进行物</w:t>
            </w:r>
            <w:r>
              <w:rPr>
                <w:rFonts w:hint="eastAsia" w:ascii="Times New Roman" w:hAnsi="Times New Roman" w:eastAsia="宋体" w:cs="Times New Roman"/>
                <w:color w:val="auto"/>
                <w:sz w:val="24"/>
                <w:highlight w:val="none"/>
              </w:rPr>
              <w:t>理性能检测，并最终形成检测报告。具体检测内容以资质认定结果为准。</w:t>
            </w:r>
            <w:r>
              <w:rPr>
                <w:rFonts w:hint="eastAsia" w:ascii="Times New Roman" w:hAnsi="Times New Roman" w:eastAsia="宋体" w:cs="Times New Roman"/>
                <w:color w:val="auto"/>
                <w:sz w:val="24"/>
                <w:highlight w:val="none"/>
                <w:lang w:val="en-US" w:eastAsia="zh-CN"/>
              </w:rPr>
              <w:t>实验室具体实验批次根据业务需求开展，无明确实验批次。</w:t>
            </w:r>
          </w:p>
          <w:p w14:paraId="3C93C6F6">
            <w:pPr>
              <w:spacing w:line="360" w:lineRule="auto"/>
              <w:ind w:firstLine="482" w:firstLineChars="200"/>
              <w:rPr>
                <w:rFonts w:ascii="宋体" w:hAnsi="宋体" w:cs="宋体"/>
                <w:bCs/>
                <w:color w:val="auto"/>
                <w:sz w:val="24"/>
              </w:rPr>
            </w:pPr>
            <w:r>
              <w:rPr>
                <w:rFonts w:hint="eastAsia"/>
                <w:b/>
                <w:color w:val="auto"/>
                <w:sz w:val="24"/>
                <w:lang w:val="en-US" w:eastAsia="zh-CN"/>
              </w:rPr>
              <w:t>4</w:t>
            </w:r>
            <w:r>
              <w:rPr>
                <w:rFonts w:hint="eastAsia"/>
                <w:b/>
                <w:color w:val="auto"/>
                <w:sz w:val="24"/>
              </w:rPr>
              <w:t>、主要生产设备</w:t>
            </w:r>
          </w:p>
          <w:p w14:paraId="600DC9C0">
            <w:pPr>
              <w:widowControl/>
              <w:spacing w:line="360" w:lineRule="auto"/>
              <w:ind w:firstLine="480" w:firstLineChars="200"/>
              <w:rPr>
                <w:color w:val="auto"/>
                <w:sz w:val="24"/>
              </w:rPr>
            </w:pPr>
            <w:r>
              <w:rPr>
                <w:color w:val="auto"/>
                <w:sz w:val="24"/>
              </w:rPr>
              <w:t>本项目主要</w:t>
            </w:r>
            <w:r>
              <w:rPr>
                <w:rFonts w:hint="eastAsia"/>
                <w:color w:val="auto"/>
                <w:sz w:val="24"/>
              </w:rPr>
              <w:t>生产设备</w:t>
            </w:r>
            <w:r>
              <w:rPr>
                <w:color w:val="auto"/>
                <w:sz w:val="24"/>
              </w:rPr>
              <w:t>见表2-</w:t>
            </w:r>
            <w:r>
              <w:rPr>
                <w:rFonts w:hint="eastAsia"/>
                <w:color w:val="auto"/>
                <w:sz w:val="24"/>
              </w:rPr>
              <w:t>3</w:t>
            </w:r>
            <w:r>
              <w:rPr>
                <w:color w:val="auto"/>
                <w:sz w:val="24"/>
              </w:rPr>
              <w:t>。</w:t>
            </w:r>
          </w:p>
          <w:p w14:paraId="0C711CB5">
            <w:pPr>
              <w:jc w:val="center"/>
              <w:rPr>
                <w:b/>
                <w:color w:val="auto"/>
                <w:sz w:val="24"/>
              </w:rPr>
            </w:pPr>
            <w:r>
              <w:rPr>
                <w:b/>
                <w:color w:val="auto"/>
                <w:sz w:val="24"/>
              </w:rPr>
              <w:t>表2</w:t>
            </w:r>
            <w:r>
              <w:rPr>
                <w:rFonts w:hint="eastAsia"/>
                <w:b/>
                <w:color w:val="auto"/>
                <w:sz w:val="24"/>
              </w:rPr>
              <w:t>-3</w:t>
            </w:r>
            <w:r>
              <w:rPr>
                <w:b/>
                <w:color w:val="auto"/>
                <w:sz w:val="24"/>
              </w:rPr>
              <w:t xml:space="preserve">  项目主要生产设备一览表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3491"/>
              <w:gridCol w:w="2487"/>
              <w:gridCol w:w="848"/>
              <w:gridCol w:w="848"/>
              <w:gridCol w:w="848"/>
            </w:tblGrid>
            <w:tr w14:paraId="32BFE4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CA495FD">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1877" w:type="pct"/>
                  <w:vAlign w:val="center"/>
                </w:tcPr>
                <w:p w14:paraId="63F8585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名称</w:t>
                  </w:r>
                </w:p>
              </w:tc>
              <w:tc>
                <w:tcPr>
                  <w:tcW w:w="1337" w:type="pct"/>
                  <w:vAlign w:val="center"/>
                </w:tcPr>
                <w:p w14:paraId="61EFC8AD">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型号/参数</w:t>
                  </w:r>
                </w:p>
              </w:tc>
              <w:tc>
                <w:tcPr>
                  <w:tcW w:w="456" w:type="pct"/>
                  <w:vAlign w:val="center"/>
                </w:tcPr>
                <w:p w14:paraId="6056A98D">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数量</w:t>
                  </w:r>
                </w:p>
              </w:tc>
              <w:tc>
                <w:tcPr>
                  <w:tcW w:w="456" w:type="pct"/>
                  <w:vAlign w:val="center"/>
                </w:tcPr>
                <w:p w14:paraId="38FA8A5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单位</w:t>
                  </w:r>
                </w:p>
              </w:tc>
              <w:tc>
                <w:tcPr>
                  <w:tcW w:w="456" w:type="pct"/>
                  <w:vAlign w:val="center"/>
                </w:tcPr>
                <w:p w14:paraId="79BB576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备注</w:t>
                  </w:r>
                </w:p>
              </w:tc>
            </w:tr>
            <w:tr w14:paraId="349508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73F3050">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lang w:val="en-US" w:eastAsia="zh-CN"/>
                    </w:rPr>
                  </w:pPr>
                </w:p>
              </w:tc>
              <w:tc>
                <w:tcPr>
                  <w:tcW w:w="1877" w:type="pct"/>
                  <w:vAlign w:val="center"/>
                </w:tcPr>
                <w:p w14:paraId="61BABC6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微机控制压力试验机</w:t>
                  </w:r>
                </w:p>
              </w:tc>
              <w:tc>
                <w:tcPr>
                  <w:tcW w:w="1337" w:type="pct"/>
                  <w:vAlign w:val="center"/>
                </w:tcPr>
                <w:p w14:paraId="0967DB0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WHY-2000</w:t>
                  </w:r>
                </w:p>
              </w:tc>
              <w:tc>
                <w:tcPr>
                  <w:tcW w:w="456" w:type="pct"/>
                  <w:vAlign w:val="center"/>
                </w:tcPr>
                <w:p w14:paraId="6D9B7AC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937BC1B">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6" w:type="pct"/>
                  <w:vAlign w:val="center"/>
                </w:tcPr>
                <w:p w14:paraId="7995D49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外购</w:t>
                  </w:r>
                </w:p>
              </w:tc>
            </w:tr>
            <w:tr w14:paraId="62DE69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186A77B3">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lang w:val="en-US" w:eastAsia="zh-CN"/>
                    </w:rPr>
                  </w:pPr>
                </w:p>
              </w:tc>
              <w:tc>
                <w:tcPr>
                  <w:tcW w:w="1877" w:type="pct"/>
                  <w:vAlign w:val="center"/>
                </w:tcPr>
                <w:p w14:paraId="3BEE0A4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微机控制电液伺服万能试验机</w:t>
                  </w:r>
                </w:p>
              </w:tc>
              <w:tc>
                <w:tcPr>
                  <w:tcW w:w="1337" w:type="pct"/>
                  <w:vAlign w:val="center"/>
                </w:tcPr>
                <w:p w14:paraId="30CA9E7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WAW-300</w:t>
                  </w:r>
                </w:p>
              </w:tc>
              <w:tc>
                <w:tcPr>
                  <w:tcW w:w="456" w:type="pct"/>
                  <w:vAlign w:val="center"/>
                </w:tcPr>
                <w:p w14:paraId="745A291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4AD47EA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vAlign w:val="center"/>
                </w:tcPr>
                <w:p w14:paraId="5732F4C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外购</w:t>
                  </w:r>
                </w:p>
              </w:tc>
            </w:tr>
            <w:tr w14:paraId="33F6EA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D2646BC">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E178D4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微机控制电液伺服万能试验机</w:t>
                  </w:r>
                </w:p>
              </w:tc>
              <w:tc>
                <w:tcPr>
                  <w:tcW w:w="1337" w:type="pct"/>
                  <w:vAlign w:val="center"/>
                </w:tcPr>
                <w:p w14:paraId="2BD68C6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WAW-100</w:t>
                  </w:r>
                </w:p>
              </w:tc>
              <w:tc>
                <w:tcPr>
                  <w:tcW w:w="456" w:type="pct"/>
                  <w:vAlign w:val="center"/>
                </w:tcPr>
                <w:p w14:paraId="0252158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p>
              </w:tc>
              <w:tc>
                <w:tcPr>
                  <w:tcW w:w="456" w:type="pct"/>
                  <w:vAlign w:val="center"/>
                </w:tcPr>
                <w:p w14:paraId="2A5F219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vAlign w:val="center"/>
                </w:tcPr>
                <w:p w14:paraId="011DECC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外购</w:t>
                  </w:r>
                </w:p>
              </w:tc>
            </w:tr>
            <w:tr w14:paraId="48B12E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14453CCF">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85EF0C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微机控制抗折抗压同步一体机</w:t>
                  </w:r>
                </w:p>
              </w:tc>
              <w:tc>
                <w:tcPr>
                  <w:tcW w:w="1337" w:type="pct"/>
                  <w:vAlign w:val="center"/>
                </w:tcPr>
                <w:p w14:paraId="59FAC1A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YAW-300B</w:t>
                  </w:r>
                </w:p>
              </w:tc>
              <w:tc>
                <w:tcPr>
                  <w:tcW w:w="456" w:type="pct"/>
                  <w:vAlign w:val="center"/>
                </w:tcPr>
                <w:p w14:paraId="64D23E2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p>
              </w:tc>
              <w:tc>
                <w:tcPr>
                  <w:tcW w:w="456" w:type="pct"/>
                  <w:vAlign w:val="center"/>
                </w:tcPr>
                <w:p w14:paraId="5447F19D">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vAlign w:val="center"/>
                </w:tcPr>
                <w:p w14:paraId="26659F8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外购</w:t>
                  </w:r>
                </w:p>
              </w:tc>
            </w:tr>
            <w:tr w14:paraId="625150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78192F7">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8FCA3B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井盖压力试验机</w:t>
                  </w:r>
                </w:p>
              </w:tc>
              <w:tc>
                <w:tcPr>
                  <w:tcW w:w="1337" w:type="pct"/>
                  <w:vAlign w:val="center"/>
                </w:tcPr>
                <w:p w14:paraId="2270CF8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YSJG-1000</w:t>
                  </w:r>
                </w:p>
              </w:tc>
              <w:tc>
                <w:tcPr>
                  <w:tcW w:w="456" w:type="pct"/>
                  <w:vAlign w:val="center"/>
                </w:tcPr>
                <w:p w14:paraId="7157755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4B1772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vAlign w:val="center"/>
                </w:tcPr>
                <w:p w14:paraId="53D4C97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外购</w:t>
                  </w:r>
                </w:p>
              </w:tc>
            </w:tr>
            <w:tr w14:paraId="318928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0579A844">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00668F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语音数显回弹仪</w:t>
                  </w:r>
                </w:p>
              </w:tc>
              <w:tc>
                <w:tcPr>
                  <w:tcW w:w="1337" w:type="pct"/>
                  <w:vAlign w:val="center"/>
                </w:tcPr>
                <w:p w14:paraId="4363269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HT225-W</w:t>
                  </w:r>
                </w:p>
              </w:tc>
              <w:tc>
                <w:tcPr>
                  <w:tcW w:w="456" w:type="pct"/>
                  <w:vAlign w:val="center"/>
                </w:tcPr>
                <w:p w14:paraId="673D1EB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132B9AF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vAlign w:val="center"/>
                </w:tcPr>
                <w:p w14:paraId="5011586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外购</w:t>
                  </w:r>
                </w:p>
              </w:tc>
            </w:tr>
            <w:tr w14:paraId="1CEBBA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DE9C0AA">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4A03E6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水泥（砼）恒温恒湿标准养护箱</w:t>
                  </w:r>
                </w:p>
              </w:tc>
              <w:tc>
                <w:tcPr>
                  <w:tcW w:w="1337" w:type="pct"/>
                  <w:vAlign w:val="center"/>
                </w:tcPr>
                <w:p w14:paraId="29E550D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HBY-40B型</w:t>
                  </w:r>
                </w:p>
              </w:tc>
              <w:tc>
                <w:tcPr>
                  <w:tcW w:w="456" w:type="pct"/>
                  <w:vAlign w:val="center"/>
                </w:tcPr>
                <w:p w14:paraId="2BAAFDB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4F619AB">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vAlign w:val="center"/>
                </w:tcPr>
                <w:p w14:paraId="39F3C8C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外购</w:t>
                  </w:r>
                </w:p>
              </w:tc>
            </w:tr>
            <w:tr w14:paraId="5CB047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03FC2DB">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5DBE6B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电热恒温干燥箱</w:t>
                  </w:r>
                </w:p>
              </w:tc>
              <w:tc>
                <w:tcPr>
                  <w:tcW w:w="1337" w:type="pct"/>
                  <w:vAlign w:val="center"/>
                </w:tcPr>
                <w:p w14:paraId="093256B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202-00</w:t>
                  </w:r>
                </w:p>
              </w:tc>
              <w:tc>
                <w:tcPr>
                  <w:tcW w:w="456" w:type="pct"/>
                  <w:vAlign w:val="center"/>
                </w:tcPr>
                <w:p w14:paraId="5AC3C7F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44092B3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1BDA5AC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43FC59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95E518B">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563A9A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箱式电阻炉</w:t>
                  </w:r>
                </w:p>
              </w:tc>
              <w:tc>
                <w:tcPr>
                  <w:tcW w:w="1337" w:type="pct"/>
                  <w:vAlign w:val="center"/>
                </w:tcPr>
                <w:p w14:paraId="0B86080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SRJX-4-13</w:t>
                  </w:r>
                </w:p>
              </w:tc>
              <w:tc>
                <w:tcPr>
                  <w:tcW w:w="456" w:type="pct"/>
                  <w:vAlign w:val="center"/>
                </w:tcPr>
                <w:p w14:paraId="56630D6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410797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40305E4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2C6703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C55D589">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7654AF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低温试验箱</w:t>
                  </w:r>
                </w:p>
              </w:tc>
              <w:tc>
                <w:tcPr>
                  <w:tcW w:w="1337" w:type="pct"/>
                  <w:vAlign w:val="center"/>
                </w:tcPr>
                <w:p w14:paraId="1229656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DW-40</w:t>
                  </w:r>
                </w:p>
              </w:tc>
              <w:tc>
                <w:tcPr>
                  <w:tcW w:w="456" w:type="pct"/>
                  <w:vAlign w:val="center"/>
                </w:tcPr>
                <w:p w14:paraId="7AF1287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70A0FBF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77AD9BC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A2EC6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04F3D61B">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8E25B6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标准恒温恒湿养护箱</w:t>
                  </w:r>
                </w:p>
              </w:tc>
              <w:tc>
                <w:tcPr>
                  <w:tcW w:w="1337" w:type="pct"/>
                  <w:vAlign w:val="center"/>
                </w:tcPr>
                <w:p w14:paraId="1CF1B01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YH-90B</w:t>
                  </w:r>
                </w:p>
              </w:tc>
              <w:tc>
                <w:tcPr>
                  <w:tcW w:w="456" w:type="pct"/>
                  <w:vAlign w:val="center"/>
                </w:tcPr>
                <w:p w14:paraId="75E6969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E016A1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27D6BF6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66163C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0817DDC6">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3C09E7F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电热鼓风恒温干燥箱</w:t>
                  </w:r>
                </w:p>
              </w:tc>
              <w:tc>
                <w:tcPr>
                  <w:tcW w:w="1337" w:type="pct"/>
                  <w:vAlign w:val="center"/>
                </w:tcPr>
                <w:p w14:paraId="25EB435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101-1A</w:t>
                  </w:r>
                </w:p>
              </w:tc>
              <w:tc>
                <w:tcPr>
                  <w:tcW w:w="456" w:type="pct"/>
                  <w:vAlign w:val="center"/>
                </w:tcPr>
                <w:p w14:paraId="35BBBCF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ADFC88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66CDCBDD">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74DAF6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jc w:val="center"/>
              </w:trPr>
              <w:tc>
                <w:tcPr>
                  <w:tcW w:w="416" w:type="pct"/>
                  <w:vAlign w:val="center"/>
                </w:tcPr>
                <w:p w14:paraId="66341202">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65D509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多功能电动击实仪</w:t>
                  </w:r>
                </w:p>
              </w:tc>
              <w:tc>
                <w:tcPr>
                  <w:tcW w:w="1337" w:type="pct"/>
                  <w:vAlign w:val="center"/>
                </w:tcPr>
                <w:p w14:paraId="1837650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HL-C</w:t>
                  </w:r>
                </w:p>
              </w:tc>
              <w:tc>
                <w:tcPr>
                  <w:tcW w:w="456" w:type="pct"/>
                  <w:vAlign w:val="center"/>
                </w:tcPr>
                <w:p w14:paraId="61ABDC6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D6A8BB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740097B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26EE89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DA32C17">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7AFDCA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水泥胶砂搅拌机</w:t>
                  </w:r>
                </w:p>
              </w:tc>
              <w:tc>
                <w:tcPr>
                  <w:tcW w:w="1337" w:type="pct"/>
                  <w:vAlign w:val="center"/>
                </w:tcPr>
                <w:p w14:paraId="630EB5E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JJ-20H</w:t>
                  </w:r>
                </w:p>
              </w:tc>
              <w:tc>
                <w:tcPr>
                  <w:tcW w:w="456" w:type="pct"/>
                  <w:vAlign w:val="center"/>
                </w:tcPr>
                <w:p w14:paraId="0EC2EBE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46CF10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1AD287B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4F4344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BA94695">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66B906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净浆标准稠度及凝结时间测定仪</w:t>
                  </w:r>
                </w:p>
              </w:tc>
              <w:tc>
                <w:tcPr>
                  <w:tcW w:w="1337" w:type="pct"/>
                  <w:vAlign w:val="center"/>
                </w:tcPr>
                <w:p w14:paraId="2BA04FAF">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(0-70)mm</w:t>
                  </w:r>
                </w:p>
              </w:tc>
              <w:tc>
                <w:tcPr>
                  <w:tcW w:w="456" w:type="pct"/>
                  <w:vAlign w:val="center"/>
                </w:tcPr>
                <w:p w14:paraId="30CE7CB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30BC56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5545DDD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465AD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D2E40C8">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32F9280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数显回弹仪</w:t>
                  </w:r>
                </w:p>
              </w:tc>
              <w:tc>
                <w:tcPr>
                  <w:tcW w:w="1337" w:type="pct"/>
                  <w:vAlign w:val="center"/>
                </w:tcPr>
                <w:p w14:paraId="62A014E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HT225-B</w:t>
                  </w:r>
                </w:p>
              </w:tc>
              <w:tc>
                <w:tcPr>
                  <w:tcW w:w="456" w:type="pct"/>
                  <w:vAlign w:val="center"/>
                </w:tcPr>
                <w:p w14:paraId="5D702C22">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16E0E2C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40DC8F4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78516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9586D64">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AE4519F">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液塑限联合测定仪</w:t>
                  </w:r>
                </w:p>
              </w:tc>
              <w:tc>
                <w:tcPr>
                  <w:tcW w:w="1337" w:type="pct"/>
                  <w:vAlign w:val="center"/>
                </w:tcPr>
                <w:p w14:paraId="7D50C652">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GYS-2</w:t>
                  </w:r>
                </w:p>
              </w:tc>
              <w:tc>
                <w:tcPr>
                  <w:tcW w:w="456" w:type="pct"/>
                  <w:vAlign w:val="center"/>
                </w:tcPr>
                <w:p w14:paraId="61C2550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45F7F297">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27A954D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B211B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E1580B9">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15CC022">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数显碳化深度测定仪</w:t>
                  </w:r>
                </w:p>
              </w:tc>
              <w:tc>
                <w:tcPr>
                  <w:tcW w:w="1337" w:type="pct"/>
                  <w:vAlign w:val="center"/>
                </w:tcPr>
                <w:p w14:paraId="18AF3E7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（0-25.4）mm</w:t>
                  </w:r>
                </w:p>
              </w:tc>
              <w:tc>
                <w:tcPr>
                  <w:tcW w:w="456" w:type="pct"/>
                  <w:vAlign w:val="center"/>
                </w:tcPr>
                <w:p w14:paraId="62BACE8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848546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0B45823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DAA4B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12828929">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4F76B3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水泥细度负压筛析仪</w:t>
                  </w:r>
                </w:p>
              </w:tc>
              <w:tc>
                <w:tcPr>
                  <w:tcW w:w="1337" w:type="pct"/>
                  <w:vAlign w:val="center"/>
                </w:tcPr>
                <w:p w14:paraId="4A332E6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FYS-150B型</w:t>
                  </w:r>
                </w:p>
              </w:tc>
              <w:tc>
                <w:tcPr>
                  <w:tcW w:w="456" w:type="pct"/>
                  <w:vAlign w:val="center"/>
                </w:tcPr>
                <w:p w14:paraId="3AA40C2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7F7C266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6EFADDB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47AE8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6C067377">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BAF931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新标准砂石筛</w:t>
                  </w:r>
                </w:p>
              </w:tc>
              <w:tc>
                <w:tcPr>
                  <w:tcW w:w="1337" w:type="pct"/>
                  <w:vAlign w:val="center"/>
                </w:tcPr>
                <w:p w14:paraId="747646D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Style w:val="86"/>
                      <w:rFonts w:hint="default" w:ascii="Times New Roman" w:hAnsi="Times New Roman" w:eastAsia="宋体" w:cs="Times New Roman"/>
                      <w:color w:val="auto"/>
                      <w:sz w:val="21"/>
                      <w:szCs w:val="21"/>
                      <w:lang w:val="en-US" w:eastAsia="zh-CN" w:bidi="ar"/>
                    </w:rPr>
                    <w:t>Ф</w:t>
                  </w:r>
                  <w:r>
                    <w:rPr>
                      <w:rStyle w:val="87"/>
                      <w:rFonts w:hint="default" w:ascii="Times New Roman" w:hAnsi="Times New Roman" w:eastAsia="宋体" w:cs="Times New Roman"/>
                      <w:color w:val="auto"/>
                      <w:sz w:val="21"/>
                      <w:szCs w:val="21"/>
                      <w:lang w:val="en-US" w:eastAsia="zh-CN" w:bidi="ar"/>
                    </w:rPr>
                    <w:t>300</w:t>
                  </w:r>
                </w:p>
              </w:tc>
              <w:tc>
                <w:tcPr>
                  <w:tcW w:w="456" w:type="pct"/>
                  <w:vAlign w:val="center"/>
                </w:tcPr>
                <w:p w14:paraId="41A3F51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55C27DF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73BD4E4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4A6E5E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6B796C55">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3ED3978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电子天平</w:t>
                  </w:r>
                </w:p>
              </w:tc>
              <w:tc>
                <w:tcPr>
                  <w:tcW w:w="1337" w:type="pct"/>
                  <w:vAlign w:val="center"/>
                </w:tcPr>
                <w:p w14:paraId="43196BC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456" w:type="pct"/>
                  <w:vAlign w:val="center"/>
                </w:tcPr>
                <w:p w14:paraId="080C284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12</w:t>
                  </w:r>
                </w:p>
              </w:tc>
              <w:tc>
                <w:tcPr>
                  <w:tcW w:w="456" w:type="pct"/>
                  <w:vAlign w:val="center"/>
                </w:tcPr>
                <w:p w14:paraId="5969F3FA">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0F6E386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60BAE2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3F2F331">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8CEAAD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浸水电子天平</w:t>
                  </w:r>
                </w:p>
              </w:tc>
              <w:tc>
                <w:tcPr>
                  <w:tcW w:w="1337" w:type="pct"/>
                  <w:vAlign w:val="center"/>
                </w:tcPr>
                <w:p w14:paraId="4F863B9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LT5001</w:t>
                  </w:r>
                </w:p>
              </w:tc>
              <w:tc>
                <w:tcPr>
                  <w:tcW w:w="456" w:type="pct"/>
                  <w:vAlign w:val="center"/>
                </w:tcPr>
                <w:p w14:paraId="4930757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D3B1DC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6CAEB85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237F11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B071C85">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5048E34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钢筋残余变形测试仪</w:t>
                  </w:r>
                </w:p>
              </w:tc>
              <w:tc>
                <w:tcPr>
                  <w:tcW w:w="1337" w:type="pct"/>
                  <w:vAlign w:val="center"/>
                </w:tcPr>
                <w:p w14:paraId="1C889B3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GBC4320型</w:t>
                  </w:r>
                </w:p>
              </w:tc>
              <w:tc>
                <w:tcPr>
                  <w:tcW w:w="456" w:type="pct"/>
                  <w:vAlign w:val="center"/>
                </w:tcPr>
                <w:p w14:paraId="2C651A2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276669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42F90B6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232A97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25FCD2A">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720A9C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手动混凝土贯入</w:t>
                  </w:r>
                  <w:r>
                    <w:rPr>
                      <w:rFonts w:hint="eastAsia" w:cs="Times New Roman"/>
                      <w:i w:val="0"/>
                      <w:iCs w:val="0"/>
                      <w:color w:val="auto"/>
                      <w:kern w:val="0"/>
                      <w:sz w:val="21"/>
                      <w:szCs w:val="21"/>
                      <w:u w:val="none"/>
                      <w:lang w:val="en-US" w:eastAsia="zh-CN" w:bidi="ar"/>
                    </w:rPr>
                    <w:t>阻力</w:t>
                  </w:r>
                  <w:r>
                    <w:rPr>
                      <w:rFonts w:hint="default" w:ascii="Times New Roman" w:hAnsi="Times New Roman" w:eastAsia="宋体" w:cs="Times New Roman"/>
                      <w:i w:val="0"/>
                      <w:iCs w:val="0"/>
                      <w:color w:val="auto"/>
                      <w:kern w:val="0"/>
                      <w:sz w:val="21"/>
                      <w:szCs w:val="21"/>
                      <w:u w:val="none"/>
                      <w:lang w:val="en-US" w:eastAsia="zh-CN" w:bidi="ar"/>
                    </w:rPr>
                    <w:t>测定仪</w:t>
                  </w:r>
                </w:p>
              </w:tc>
              <w:tc>
                <w:tcPr>
                  <w:tcW w:w="1337" w:type="pct"/>
                  <w:vAlign w:val="center"/>
                </w:tcPr>
                <w:p w14:paraId="502A188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HG-80S</w:t>
                  </w:r>
                </w:p>
              </w:tc>
              <w:tc>
                <w:tcPr>
                  <w:tcW w:w="456" w:type="pct"/>
                  <w:vAlign w:val="center"/>
                </w:tcPr>
                <w:p w14:paraId="6071C56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5C8BE14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34C7AFF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D39A4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138D283">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2A77F5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水泥胶砂振实台</w:t>
                  </w:r>
                </w:p>
              </w:tc>
              <w:tc>
                <w:tcPr>
                  <w:tcW w:w="1337" w:type="pct"/>
                  <w:vAlign w:val="center"/>
                </w:tcPr>
                <w:p w14:paraId="46144AD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ZS-20H</w:t>
                  </w:r>
                </w:p>
              </w:tc>
              <w:tc>
                <w:tcPr>
                  <w:tcW w:w="456" w:type="pct"/>
                  <w:vAlign w:val="center"/>
                </w:tcPr>
                <w:p w14:paraId="0FC1DC1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3A419AD">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3BB5A63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C2FA7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183B785B">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9F247A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自动调压混凝土抗渗仪</w:t>
                  </w:r>
                </w:p>
              </w:tc>
              <w:tc>
                <w:tcPr>
                  <w:tcW w:w="1337" w:type="pct"/>
                  <w:vAlign w:val="center"/>
                </w:tcPr>
                <w:p w14:paraId="45192AC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HP-4.0</w:t>
                  </w:r>
                  <w:r>
                    <w:rPr>
                      <w:rStyle w:val="87"/>
                      <w:rFonts w:hint="default" w:ascii="Times New Roman" w:hAnsi="Times New Roman" w:eastAsia="宋体" w:cs="Times New Roman"/>
                      <w:color w:val="auto"/>
                      <w:sz w:val="21"/>
                      <w:szCs w:val="21"/>
                      <w:lang w:val="en-US" w:eastAsia="zh-CN" w:bidi="ar"/>
                    </w:rPr>
                    <w:t>型</w:t>
                  </w:r>
                </w:p>
              </w:tc>
              <w:tc>
                <w:tcPr>
                  <w:tcW w:w="456" w:type="pct"/>
                  <w:vAlign w:val="center"/>
                </w:tcPr>
                <w:p w14:paraId="182E6C72">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03E9CAB">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1FCE7A7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B086F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6AA084D">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2D4DB6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水泥净浆搅拌机</w:t>
                  </w:r>
                </w:p>
              </w:tc>
              <w:tc>
                <w:tcPr>
                  <w:tcW w:w="1337" w:type="pct"/>
                  <w:vAlign w:val="center"/>
                </w:tcPr>
                <w:p w14:paraId="6C6754B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NJ-20H</w:t>
                  </w:r>
                </w:p>
              </w:tc>
              <w:tc>
                <w:tcPr>
                  <w:tcW w:w="456" w:type="pct"/>
                  <w:vAlign w:val="center"/>
                </w:tcPr>
                <w:p w14:paraId="6E92E25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598D35D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3FE52C1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97F0F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D0B19B0">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06B97F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水泥胶砂流动度测定仪</w:t>
                  </w:r>
                </w:p>
              </w:tc>
              <w:tc>
                <w:tcPr>
                  <w:tcW w:w="1337" w:type="pct"/>
                  <w:vAlign w:val="center"/>
                </w:tcPr>
                <w:p w14:paraId="6F3D880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NLD-3</w:t>
                  </w:r>
                </w:p>
              </w:tc>
              <w:tc>
                <w:tcPr>
                  <w:tcW w:w="456" w:type="pct"/>
                  <w:vAlign w:val="center"/>
                </w:tcPr>
                <w:p w14:paraId="318E67B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19E79CE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76B19BA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FE3AC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6450169">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D76A60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雷氏夹测定仪</w:t>
                  </w:r>
                </w:p>
              </w:tc>
              <w:tc>
                <w:tcPr>
                  <w:tcW w:w="1337" w:type="pct"/>
                  <w:vAlign w:val="center"/>
                </w:tcPr>
                <w:p w14:paraId="6442B6A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LD-50</w:t>
                  </w:r>
                </w:p>
              </w:tc>
              <w:tc>
                <w:tcPr>
                  <w:tcW w:w="456" w:type="pct"/>
                  <w:vAlign w:val="center"/>
                </w:tcPr>
                <w:p w14:paraId="43A03A7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B5603AA">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5321B8C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9DB4F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7DAE3E1">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3F41296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混凝土程控磁通震动台</w:t>
                  </w:r>
                </w:p>
              </w:tc>
              <w:tc>
                <w:tcPr>
                  <w:tcW w:w="1337" w:type="pct"/>
                  <w:vAlign w:val="center"/>
                </w:tcPr>
                <w:p w14:paraId="3DD4C09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HCZT-1</w:t>
                  </w:r>
                </w:p>
              </w:tc>
              <w:tc>
                <w:tcPr>
                  <w:tcW w:w="456" w:type="pct"/>
                  <w:vAlign w:val="center"/>
                </w:tcPr>
                <w:p w14:paraId="10A13DC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E0C75A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771DB14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77AB84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E762749">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DA82E1F">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电脑摆式摩擦系数测定仪</w:t>
                  </w:r>
                </w:p>
              </w:tc>
              <w:tc>
                <w:tcPr>
                  <w:tcW w:w="1337" w:type="pct"/>
                  <w:vAlign w:val="center"/>
                </w:tcPr>
                <w:p w14:paraId="7B267D6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DB-III型</w:t>
                  </w:r>
                </w:p>
              </w:tc>
              <w:tc>
                <w:tcPr>
                  <w:tcW w:w="456" w:type="pct"/>
                  <w:vAlign w:val="center"/>
                </w:tcPr>
                <w:p w14:paraId="325930F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AC29D3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543FC25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43DF76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BAB16F4">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E3D2F4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单卧轴强制式混凝土搅拌机</w:t>
                  </w:r>
                </w:p>
              </w:tc>
              <w:tc>
                <w:tcPr>
                  <w:tcW w:w="1337" w:type="pct"/>
                  <w:vAlign w:val="center"/>
                </w:tcPr>
                <w:p w14:paraId="09DC5A8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HJW-60</w:t>
                  </w:r>
                </w:p>
              </w:tc>
              <w:tc>
                <w:tcPr>
                  <w:tcW w:w="456" w:type="pct"/>
                  <w:vAlign w:val="center"/>
                </w:tcPr>
                <w:p w14:paraId="110A5B4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384CA9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4145E10D">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25A69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6914310A">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F390F8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砌墙砖抗压强度试样制备搅拌机</w:t>
                  </w:r>
                </w:p>
              </w:tc>
              <w:tc>
                <w:tcPr>
                  <w:tcW w:w="1337" w:type="pct"/>
                  <w:vAlign w:val="center"/>
                </w:tcPr>
                <w:p w14:paraId="781B302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QZ-20型</w:t>
                  </w:r>
                </w:p>
              </w:tc>
              <w:tc>
                <w:tcPr>
                  <w:tcW w:w="456" w:type="pct"/>
                  <w:vAlign w:val="center"/>
                </w:tcPr>
                <w:p w14:paraId="13FDFC4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76A418DB">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054BCF8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4F1089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8445569">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81C55A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砌墙砖抗压强度试验用振动台</w:t>
                  </w:r>
                </w:p>
              </w:tc>
              <w:tc>
                <w:tcPr>
                  <w:tcW w:w="1337" w:type="pct"/>
                  <w:vAlign w:val="center"/>
                </w:tcPr>
                <w:p w14:paraId="5B2683D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ZXT-1型</w:t>
                  </w:r>
                </w:p>
              </w:tc>
              <w:tc>
                <w:tcPr>
                  <w:tcW w:w="456" w:type="pct"/>
                  <w:vAlign w:val="center"/>
                </w:tcPr>
                <w:p w14:paraId="75952FC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7232C2B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1CFE5C7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FD390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39687C3">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473060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回弹仪钢砧</w:t>
                  </w:r>
                </w:p>
              </w:tc>
              <w:tc>
                <w:tcPr>
                  <w:tcW w:w="1337" w:type="pct"/>
                  <w:vAlign w:val="center"/>
                </w:tcPr>
                <w:p w14:paraId="08614A5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56" w:type="pct"/>
                  <w:vAlign w:val="center"/>
                </w:tcPr>
                <w:p w14:paraId="13704CE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7E664C5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5525929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1BE7A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12240232">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5B557A7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全自动比表面积测定仪</w:t>
                  </w:r>
                </w:p>
              </w:tc>
              <w:tc>
                <w:tcPr>
                  <w:tcW w:w="1337" w:type="pct"/>
                  <w:vAlign w:val="center"/>
                </w:tcPr>
                <w:p w14:paraId="4869B9F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FBT-9</w:t>
                  </w:r>
                  <w:r>
                    <w:rPr>
                      <w:rStyle w:val="88"/>
                      <w:rFonts w:hint="default" w:ascii="Times New Roman" w:hAnsi="Times New Roman" w:eastAsia="宋体" w:cs="Times New Roman"/>
                      <w:color w:val="auto"/>
                      <w:sz w:val="21"/>
                      <w:szCs w:val="21"/>
                      <w:lang w:val="en-US" w:eastAsia="zh-CN" w:bidi="ar"/>
                    </w:rPr>
                    <w:t>型</w:t>
                  </w:r>
                </w:p>
              </w:tc>
              <w:tc>
                <w:tcPr>
                  <w:tcW w:w="456" w:type="pct"/>
                  <w:vAlign w:val="center"/>
                </w:tcPr>
                <w:p w14:paraId="74F5039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7CE05C2A">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471872F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6DE8C0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5D131FB">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157C92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智能混凝土抗渗仪</w:t>
                  </w:r>
                </w:p>
              </w:tc>
              <w:tc>
                <w:tcPr>
                  <w:tcW w:w="1337" w:type="pct"/>
                  <w:vAlign w:val="center"/>
                </w:tcPr>
                <w:p w14:paraId="2920909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HP-4.0型自动</w:t>
                  </w:r>
                </w:p>
              </w:tc>
              <w:tc>
                <w:tcPr>
                  <w:tcW w:w="456" w:type="pct"/>
                  <w:vAlign w:val="center"/>
                </w:tcPr>
                <w:p w14:paraId="3F26972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1AB97C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27D56117">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637ACB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40BE038">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43150F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落锤冲击试验机</w:t>
                  </w:r>
                </w:p>
              </w:tc>
              <w:tc>
                <w:tcPr>
                  <w:tcW w:w="1337" w:type="pct"/>
                  <w:vAlign w:val="center"/>
                </w:tcPr>
                <w:p w14:paraId="5CBD60B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HD-400</w:t>
                  </w:r>
                </w:p>
              </w:tc>
              <w:tc>
                <w:tcPr>
                  <w:tcW w:w="456" w:type="pct"/>
                  <w:vAlign w:val="center"/>
                </w:tcPr>
                <w:p w14:paraId="0015D5B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4EE585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05C14EC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5C505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32DF50E">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F8D6D4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微机控制环刚度试验机</w:t>
                  </w:r>
                </w:p>
              </w:tc>
              <w:tc>
                <w:tcPr>
                  <w:tcW w:w="1337" w:type="pct"/>
                  <w:vAlign w:val="center"/>
                </w:tcPr>
                <w:p w14:paraId="76878622">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WDW-50</w:t>
                  </w:r>
                </w:p>
              </w:tc>
              <w:tc>
                <w:tcPr>
                  <w:tcW w:w="456" w:type="pct"/>
                  <w:vAlign w:val="center"/>
                </w:tcPr>
                <w:p w14:paraId="5A7BB8A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4E6CF34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429383C7">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9DC13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8BA2FFD">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3190027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微机控制电子万能试验机</w:t>
                  </w:r>
                </w:p>
              </w:tc>
              <w:tc>
                <w:tcPr>
                  <w:tcW w:w="1337" w:type="pct"/>
                  <w:vAlign w:val="center"/>
                </w:tcPr>
                <w:p w14:paraId="4864542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WDW-50</w:t>
                  </w:r>
                </w:p>
              </w:tc>
              <w:tc>
                <w:tcPr>
                  <w:tcW w:w="456" w:type="pct"/>
                  <w:vAlign w:val="center"/>
                </w:tcPr>
                <w:p w14:paraId="0753635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3B0E54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768904D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0A7FD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680ADA3">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10F3C2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沸煮箱</w:t>
                  </w:r>
                </w:p>
              </w:tc>
              <w:tc>
                <w:tcPr>
                  <w:tcW w:w="1337" w:type="pct"/>
                  <w:vAlign w:val="center"/>
                </w:tcPr>
                <w:p w14:paraId="33F19A8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FZ-31A</w:t>
                  </w:r>
                </w:p>
              </w:tc>
              <w:tc>
                <w:tcPr>
                  <w:tcW w:w="456" w:type="pct"/>
                  <w:vAlign w:val="center"/>
                </w:tcPr>
                <w:p w14:paraId="748EBBF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DF2575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73E0B58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2191E4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117509BB">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B50CF9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数显循环恒温水浴箱</w:t>
                  </w:r>
                </w:p>
              </w:tc>
              <w:tc>
                <w:tcPr>
                  <w:tcW w:w="1337" w:type="pct"/>
                  <w:vAlign w:val="center"/>
                </w:tcPr>
                <w:p w14:paraId="290A3ED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CF-B</w:t>
                  </w:r>
                </w:p>
              </w:tc>
              <w:tc>
                <w:tcPr>
                  <w:tcW w:w="456" w:type="pct"/>
                  <w:vAlign w:val="center"/>
                </w:tcPr>
                <w:p w14:paraId="2A29E8B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539080F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56ED468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B72A7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FD7409E">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58B06FE2">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多功能一体路强仪</w:t>
                  </w:r>
                </w:p>
              </w:tc>
              <w:tc>
                <w:tcPr>
                  <w:tcW w:w="1337" w:type="pct"/>
                  <w:vAlign w:val="center"/>
                </w:tcPr>
                <w:p w14:paraId="088DD8D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YZM-IID</w:t>
                  </w:r>
                </w:p>
              </w:tc>
              <w:tc>
                <w:tcPr>
                  <w:tcW w:w="456" w:type="pct"/>
                  <w:vAlign w:val="center"/>
                </w:tcPr>
                <w:p w14:paraId="70B1F3E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4D7B490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7FCAEAA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688890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02AA04F5">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5405090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土工布厚度仪</w:t>
                  </w:r>
                </w:p>
              </w:tc>
              <w:tc>
                <w:tcPr>
                  <w:tcW w:w="1337" w:type="pct"/>
                  <w:vAlign w:val="center"/>
                </w:tcPr>
                <w:p w14:paraId="1B5C940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（0-25.4）mm</w:t>
                  </w:r>
                </w:p>
              </w:tc>
              <w:tc>
                <w:tcPr>
                  <w:tcW w:w="456" w:type="pct"/>
                  <w:vAlign w:val="center"/>
                </w:tcPr>
                <w:p w14:paraId="13F702A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534D77A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670338D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2C8457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1834757">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38FC4F4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电子台秤</w:t>
                  </w:r>
                </w:p>
              </w:tc>
              <w:tc>
                <w:tcPr>
                  <w:tcW w:w="1337" w:type="pct"/>
                  <w:vAlign w:val="center"/>
                </w:tcPr>
                <w:p w14:paraId="29AC38F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TCS-150</w:t>
                  </w:r>
                </w:p>
              </w:tc>
              <w:tc>
                <w:tcPr>
                  <w:tcW w:w="456" w:type="pct"/>
                  <w:vAlign w:val="center"/>
                </w:tcPr>
                <w:p w14:paraId="64C7A34F">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159CA73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346A30F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711B4F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A7CF78E">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56CB28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电子计重秤</w:t>
                  </w:r>
                </w:p>
              </w:tc>
              <w:tc>
                <w:tcPr>
                  <w:tcW w:w="1337" w:type="pct"/>
                  <w:vAlign w:val="center"/>
                </w:tcPr>
                <w:p w14:paraId="0629264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JSB15-1</w:t>
                  </w:r>
                </w:p>
              </w:tc>
              <w:tc>
                <w:tcPr>
                  <w:tcW w:w="456" w:type="pct"/>
                  <w:vAlign w:val="center"/>
                </w:tcPr>
                <w:p w14:paraId="38F0C482">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AF1285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22C1E4E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29348F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30B02F4">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3E0E4CD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电接点压力表</w:t>
                  </w:r>
                </w:p>
              </w:tc>
              <w:tc>
                <w:tcPr>
                  <w:tcW w:w="1337" w:type="pct"/>
                  <w:vAlign w:val="center"/>
                </w:tcPr>
                <w:p w14:paraId="137EE8A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（0-0.6）Mpa</w:t>
                  </w:r>
                </w:p>
              </w:tc>
              <w:tc>
                <w:tcPr>
                  <w:tcW w:w="456" w:type="pct"/>
                  <w:vAlign w:val="center"/>
                </w:tcPr>
                <w:p w14:paraId="4238478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C760D2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79A674E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63F40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2C93E00">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C35C10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耐震真空表</w:t>
                  </w:r>
                </w:p>
              </w:tc>
              <w:tc>
                <w:tcPr>
                  <w:tcW w:w="1337" w:type="pct"/>
                  <w:vAlign w:val="center"/>
                </w:tcPr>
                <w:p w14:paraId="7435BE0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（-0.1-0）Mpa</w:t>
                  </w:r>
                </w:p>
              </w:tc>
              <w:tc>
                <w:tcPr>
                  <w:tcW w:w="456" w:type="pct"/>
                  <w:vAlign w:val="center"/>
                </w:tcPr>
                <w:p w14:paraId="7A4710C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930B39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5A3ED12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70995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6C308B1E">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12F09C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数显混凝土抗渗仪</w:t>
                  </w:r>
                </w:p>
              </w:tc>
              <w:tc>
                <w:tcPr>
                  <w:tcW w:w="1337" w:type="pct"/>
                  <w:vAlign w:val="center"/>
                </w:tcPr>
                <w:p w14:paraId="46CDC14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HP-4.0</w:t>
                  </w:r>
                </w:p>
              </w:tc>
              <w:tc>
                <w:tcPr>
                  <w:tcW w:w="456" w:type="pct"/>
                  <w:vAlign w:val="center"/>
                </w:tcPr>
                <w:p w14:paraId="2AA796BF">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p>
              </w:tc>
              <w:tc>
                <w:tcPr>
                  <w:tcW w:w="456" w:type="pct"/>
                  <w:vAlign w:val="center"/>
                </w:tcPr>
                <w:p w14:paraId="621ACB7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0020E70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7A040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3263919">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B91562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接地电阻测试仪</w:t>
                  </w:r>
                </w:p>
              </w:tc>
              <w:tc>
                <w:tcPr>
                  <w:tcW w:w="1337" w:type="pct"/>
                  <w:vAlign w:val="center"/>
                </w:tcPr>
                <w:p w14:paraId="0475BF2F">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ZC29B-2</w:t>
                  </w:r>
                </w:p>
              </w:tc>
              <w:tc>
                <w:tcPr>
                  <w:tcW w:w="456" w:type="pct"/>
                  <w:vAlign w:val="center"/>
                </w:tcPr>
                <w:p w14:paraId="18C5703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1F27C2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603436F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20E0FE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0ABB7D8C">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A1F5EE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电子引伸计</w:t>
                  </w:r>
                </w:p>
              </w:tc>
              <w:tc>
                <w:tcPr>
                  <w:tcW w:w="1337" w:type="pct"/>
                  <w:vAlign w:val="center"/>
                </w:tcPr>
                <w:p w14:paraId="2CDE20B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YYU-15/500</w:t>
                  </w:r>
                </w:p>
              </w:tc>
              <w:tc>
                <w:tcPr>
                  <w:tcW w:w="456" w:type="pct"/>
                  <w:vAlign w:val="center"/>
                </w:tcPr>
                <w:p w14:paraId="6852A10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0B0298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400DBB6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45C6E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1B79B729">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3AE16D9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砂浆稠度仪</w:t>
                  </w:r>
                </w:p>
              </w:tc>
              <w:tc>
                <w:tcPr>
                  <w:tcW w:w="1337" w:type="pct"/>
                  <w:vAlign w:val="center"/>
                </w:tcPr>
                <w:p w14:paraId="6EDBF88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w:t>
                  </w:r>
                  <w:r>
                    <w:rPr>
                      <w:rStyle w:val="88"/>
                      <w:rFonts w:hint="default" w:ascii="Times New Roman" w:hAnsi="Times New Roman" w:eastAsia="宋体" w:cs="Times New Roman"/>
                      <w:color w:val="auto"/>
                      <w:sz w:val="21"/>
                      <w:szCs w:val="21"/>
                      <w:lang w:val="en-US" w:eastAsia="zh-CN" w:bidi="ar"/>
                    </w:rPr>
                    <w:t>-14.5）cm</w:t>
                  </w:r>
                </w:p>
              </w:tc>
              <w:tc>
                <w:tcPr>
                  <w:tcW w:w="456" w:type="pct"/>
                  <w:vAlign w:val="center"/>
                </w:tcPr>
                <w:p w14:paraId="04A0ECF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DAC81F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4697E3BA">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4B3AC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638AB51">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61466A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钢筋标距仪</w:t>
                  </w:r>
                </w:p>
              </w:tc>
              <w:tc>
                <w:tcPr>
                  <w:tcW w:w="1337" w:type="pct"/>
                  <w:vAlign w:val="center"/>
                </w:tcPr>
                <w:p w14:paraId="159E8A4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BJ5-10-C</w:t>
                  </w:r>
                </w:p>
              </w:tc>
              <w:tc>
                <w:tcPr>
                  <w:tcW w:w="456" w:type="pct"/>
                  <w:vAlign w:val="center"/>
                </w:tcPr>
                <w:p w14:paraId="52C6E08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B08FB1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0A29DBE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FCADB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6E53EEEC">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9B14322">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针片状规准仪</w:t>
                  </w:r>
                </w:p>
              </w:tc>
              <w:tc>
                <w:tcPr>
                  <w:tcW w:w="1337" w:type="pct"/>
                  <w:vAlign w:val="center"/>
                </w:tcPr>
                <w:p w14:paraId="7A86771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56" w:type="pct"/>
                  <w:vAlign w:val="center"/>
                </w:tcPr>
                <w:p w14:paraId="5E0401B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1814B8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597FC37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6FA86D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640FDDC3">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51BB63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路面平整度仪</w:t>
                  </w:r>
                </w:p>
              </w:tc>
              <w:tc>
                <w:tcPr>
                  <w:tcW w:w="1337" w:type="pct"/>
                  <w:vAlign w:val="center"/>
                </w:tcPr>
                <w:p w14:paraId="79F508D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HLHY-D</w:t>
                  </w:r>
                </w:p>
              </w:tc>
              <w:tc>
                <w:tcPr>
                  <w:tcW w:w="456" w:type="pct"/>
                  <w:vAlign w:val="center"/>
                </w:tcPr>
                <w:p w14:paraId="0C8BB252">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E62639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6D1199C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16B1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66793E8C">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3108ECA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路面弯沉仪</w:t>
                  </w:r>
                </w:p>
              </w:tc>
              <w:tc>
                <w:tcPr>
                  <w:tcW w:w="1337" w:type="pct"/>
                  <w:vAlign w:val="center"/>
                </w:tcPr>
                <w:p w14:paraId="6ADB662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5.4m</w:t>
                  </w:r>
                </w:p>
              </w:tc>
              <w:tc>
                <w:tcPr>
                  <w:tcW w:w="456" w:type="pct"/>
                  <w:vAlign w:val="center"/>
                </w:tcPr>
                <w:p w14:paraId="565DA37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867470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04D07B6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4C656E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FF3EA38">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325937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土壤筛</w:t>
                  </w:r>
                </w:p>
              </w:tc>
              <w:tc>
                <w:tcPr>
                  <w:tcW w:w="1337" w:type="pct"/>
                  <w:vAlign w:val="center"/>
                </w:tcPr>
                <w:p w14:paraId="2DE8EF9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Ф300</w:t>
                  </w:r>
                </w:p>
              </w:tc>
              <w:tc>
                <w:tcPr>
                  <w:tcW w:w="456" w:type="pct"/>
                  <w:vAlign w:val="center"/>
                </w:tcPr>
                <w:p w14:paraId="4A06308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18BE88E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65B141F7">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83D8E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C56D833">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297ECE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震击式标准振摆仪</w:t>
                  </w:r>
                </w:p>
              </w:tc>
              <w:tc>
                <w:tcPr>
                  <w:tcW w:w="1337" w:type="pct"/>
                  <w:vAlign w:val="center"/>
                </w:tcPr>
                <w:p w14:paraId="471824E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ZBSX-92</w:t>
                  </w:r>
                </w:p>
              </w:tc>
              <w:tc>
                <w:tcPr>
                  <w:tcW w:w="456" w:type="pct"/>
                  <w:vAlign w:val="center"/>
                </w:tcPr>
                <w:p w14:paraId="6828331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3163CE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2F4F13C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76459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050EEE4">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C6B362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砂浆搅拌机</w:t>
                  </w:r>
                </w:p>
              </w:tc>
              <w:tc>
                <w:tcPr>
                  <w:tcW w:w="1337" w:type="pct"/>
                  <w:vAlign w:val="center"/>
                </w:tcPr>
                <w:p w14:paraId="5406AB3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S</w:t>
                  </w:r>
                  <w:r>
                    <w:rPr>
                      <w:rStyle w:val="88"/>
                      <w:rFonts w:hint="default" w:ascii="Times New Roman" w:hAnsi="Times New Roman" w:eastAsia="宋体" w:cs="Times New Roman"/>
                      <w:color w:val="auto"/>
                      <w:sz w:val="21"/>
                      <w:szCs w:val="21"/>
                      <w:lang w:val="en-US" w:eastAsia="zh-CN" w:bidi="ar"/>
                    </w:rPr>
                    <w:t>JZ-15</w:t>
                  </w:r>
                </w:p>
              </w:tc>
              <w:tc>
                <w:tcPr>
                  <w:tcW w:w="456" w:type="pct"/>
                  <w:vAlign w:val="center"/>
                </w:tcPr>
                <w:p w14:paraId="44531AA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1404559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35CB2A4B">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8BB5A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DDBB556">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8D123A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砂浆密度仪</w:t>
                  </w:r>
                </w:p>
              </w:tc>
              <w:tc>
                <w:tcPr>
                  <w:tcW w:w="1337" w:type="pct"/>
                  <w:vAlign w:val="center"/>
                </w:tcPr>
                <w:p w14:paraId="3A544F4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Ф1</w:t>
                  </w:r>
                  <w:r>
                    <w:rPr>
                      <w:rStyle w:val="88"/>
                      <w:rFonts w:hint="default" w:ascii="Times New Roman" w:hAnsi="Times New Roman" w:eastAsia="宋体" w:cs="Times New Roman"/>
                      <w:color w:val="auto"/>
                      <w:sz w:val="21"/>
                      <w:szCs w:val="21"/>
                      <w:lang w:val="en-US" w:eastAsia="zh-CN" w:bidi="ar"/>
                    </w:rPr>
                    <w:t>25×h82</w:t>
                  </w:r>
                </w:p>
              </w:tc>
              <w:tc>
                <w:tcPr>
                  <w:tcW w:w="456" w:type="pct"/>
                  <w:vAlign w:val="center"/>
                </w:tcPr>
                <w:p w14:paraId="1BA23F4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D1D806A">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4F9AFDD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F26BF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A5CF0B7">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26401B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恒温水养护箱</w:t>
                  </w:r>
                </w:p>
              </w:tc>
              <w:tc>
                <w:tcPr>
                  <w:tcW w:w="1337" w:type="pct"/>
                  <w:vAlign w:val="center"/>
                </w:tcPr>
                <w:p w14:paraId="144117E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HBY-30</w:t>
                  </w:r>
                </w:p>
              </w:tc>
              <w:tc>
                <w:tcPr>
                  <w:tcW w:w="456" w:type="pct"/>
                  <w:vAlign w:val="center"/>
                </w:tcPr>
                <w:p w14:paraId="7279F1C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65F241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5C5078A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86E3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06EC6C37">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5A5A3A5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红外线测温仪</w:t>
                  </w:r>
                </w:p>
              </w:tc>
              <w:tc>
                <w:tcPr>
                  <w:tcW w:w="1337" w:type="pct"/>
                  <w:vAlign w:val="center"/>
                </w:tcPr>
                <w:p w14:paraId="104FDC4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AR320</w:t>
                  </w:r>
                </w:p>
              </w:tc>
              <w:tc>
                <w:tcPr>
                  <w:tcW w:w="456" w:type="pct"/>
                  <w:vAlign w:val="center"/>
                </w:tcPr>
                <w:p w14:paraId="5B7234B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1116CFA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798B9F6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D226A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44655A3">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89B8A0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自动加压混凝土抗渗仪</w:t>
                  </w:r>
                </w:p>
              </w:tc>
              <w:tc>
                <w:tcPr>
                  <w:tcW w:w="1337" w:type="pct"/>
                  <w:vAlign w:val="center"/>
                </w:tcPr>
                <w:p w14:paraId="3F35855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HP-4.0型</w:t>
                  </w:r>
                </w:p>
              </w:tc>
              <w:tc>
                <w:tcPr>
                  <w:tcW w:w="456" w:type="pct"/>
                  <w:vAlign w:val="center"/>
                </w:tcPr>
                <w:p w14:paraId="32ECAB6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24DDA7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0686413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91E9A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D7C848C">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3904513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落锤式弯沉仪</w:t>
                  </w:r>
                </w:p>
              </w:tc>
              <w:tc>
                <w:tcPr>
                  <w:tcW w:w="1337" w:type="pct"/>
                  <w:vAlign w:val="center"/>
                </w:tcPr>
                <w:p w14:paraId="75B2E48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C</w:t>
                  </w:r>
                  <w:r>
                    <w:rPr>
                      <w:rStyle w:val="89"/>
                      <w:rFonts w:hint="default" w:ascii="Times New Roman" w:hAnsi="Times New Roman" w:eastAsia="宋体" w:cs="Times New Roman"/>
                      <w:color w:val="auto"/>
                      <w:sz w:val="21"/>
                      <w:szCs w:val="21"/>
                      <w:lang w:val="en-US" w:eastAsia="zh-CN" w:bidi="ar"/>
                    </w:rPr>
                    <w:t>FWD-10T</w:t>
                  </w:r>
                </w:p>
              </w:tc>
              <w:tc>
                <w:tcPr>
                  <w:tcW w:w="456" w:type="pct"/>
                  <w:vAlign w:val="center"/>
                </w:tcPr>
                <w:p w14:paraId="3FED22D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14FDC05B">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599F56E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4201B6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5013E11">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F581A7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表面震动压实试验仪</w:t>
                  </w:r>
                </w:p>
              </w:tc>
              <w:tc>
                <w:tcPr>
                  <w:tcW w:w="1337" w:type="pct"/>
                  <w:vAlign w:val="center"/>
                </w:tcPr>
                <w:p w14:paraId="76AF4DB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BZYS4212</w:t>
                  </w:r>
                </w:p>
              </w:tc>
              <w:tc>
                <w:tcPr>
                  <w:tcW w:w="456" w:type="pct"/>
                  <w:vAlign w:val="center"/>
                </w:tcPr>
                <w:p w14:paraId="41413B1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429DAB7D">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7908BC5B">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769DF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240F7AA">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CE6960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红外线电热鼓风干燥箱</w:t>
                  </w:r>
                </w:p>
              </w:tc>
              <w:tc>
                <w:tcPr>
                  <w:tcW w:w="1337" w:type="pct"/>
                  <w:vAlign w:val="center"/>
                </w:tcPr>
                <w:p w14:paraId="55BA153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101-3A</w:t>
                  </w:r>
                </w:p>
              </w:tc>
              <w:tc>
                <w:tcPr>
                  <w:tcW w:w="456" w:type="pct"/>
                  <w:vAlign w:val="center"/>
                </w:tcPr>
                <w:p w14:paraId="70DC134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p>
              </w:tc>
              <w:tc>
                <w:tcPr>
                  <w:tcW w:w="456" w:type="pct"/>
                  <w:vAlign w:val="center"/>
                </w:tcPr>
                <w:p w14:paraId="2FFF37F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6294D11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8608F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22A57DA">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2985D8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钢筋重量偏差测量仪</w:t>
                  </w:r>
                </w:p>
              </w:tc>
              <w:tc>
                <w:tcPr>
                  <w:tcW w:w="1337" w:type="pct"/>
                  <w:vAlign w:val="center"/>
                </w:tcPr>
                <w:p w14:paraId="240BF6D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w:t>
                  </w:r>
                  <w:r>
                    <w:rPr>
                      <w:rStyle w:val="88"/>
                      <w:rFonts w:hint="default" w:ascii="Times New Roman" w:hAnsi="Times New Roman" w:eastAsia="宋体" w:cs="Times New Roman"/>
                      <w:color w:val="auto"/>
                      <w:sz w:val="21"/>
                      <w:szCs w:val="21"/>
                      <w:lang w:val="en-US" w:eastAsia="zh-CN" w:bidi="ar"/>
                    </w:rPr>
                    <w:t>TPC-201</w:t>
                  </w:r>
                </w:p>
              </w:tc>
              <w:tc>
                <w:tcPr>
                  <w:tcW w:w="456" w:type="pct"/>
                  <w:vAlign w:val="center"/>
                </w:tcPr>
                <w:p w14:paraId="3C66DD0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5225CA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18839F3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FC08D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58EAA2A">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6F8E17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路面构造深度测定仪</w:t>
                  </w:r>
                </w:p>
              </w:tc>
              <w:tc>
                <w:tcPr>
                  <w:tcW w:w="1337" w:type="pct"/>
                  <w:vAlign w:val="center"/>
                </w:tcPr>
                <w:p w14:paraId="394455E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PS-1</w:t>
                  </w:r>
                </w:p>
              </w:tc>
              <w:tc>
                <w:tcPr>
                  <w:tcW w:w="456" w:type="pct"/>
                  <w:vAlign w:val="center"/>
                </w:tcPr>
                <w:p w14:paraId="1AFA14E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701D2B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492BBDF7">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7138EA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A22A739">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665DEC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砼用粗集料压碎值测定仪</w:t>
                  </w:r>
                </w:p>
              </w:tc>
              <w:tc>
                <w:tcPr>
                  <w:tcW w:w="1337" w:type="pct"/>
                  <w:vAlign w:val="center"/>
                </w:tcPr>
                <w:p w14:paraId="2958765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56" w:type="pct"/>
                  <w:vAlign w:val="center"/>
                </w:tcPr>
                <w:p w14:paraId="3154005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E9EA05D">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6749079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1C52B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03F69DD3">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B4377C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手动击实仪</w:t>
                  </w:r>
                </w:p>
              </w:tc>
              <w:tc>
                <w:tcPr>
                  <w:tcW w:w="1337" w:type="pct"/>
                  <w:vAlign w:val="center"/>
                </w:tcPr>
                <w:p w14:paraId="05F91D3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轻型</w:t>
                  </w:r>
                </w:p>
              </w:tc>
              <w:tc>
                <w:tcPr>
                  <w:tcW w:w="456" w:type="pct"/>
                  <w:vAlign w:val="center"/>
                </w:tcPr>
                <w:p w14:paraId="08CCE62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53BB774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099A0C0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77A0E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6A764FCF">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3509CA2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钢筋混凝土切片机</w:t>
                  </w:r>
                </w:p>
              </w:tc>
              <w:tc>
                <w:tcPr>
                  <w:tcW w:w="1337" w:type="pct"/>
                  <w:vAlign w:val="center"/>
                </w:tcPr>
                <w:p w14:paraId="5D10ABD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56" w:type="pct"/>
                  <w:vAlign w:val="center"/>
                </w:tcPr>
                <w:p w14:paraId="1BC7584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4AEF48A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0D7B87F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4D6AD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65137C2B">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983508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读数显微镜</w:t>
                  </w:r>
                </w:p>
              </w:tc>
              <w:tc>
                <w:tcPr>
                  <w:tcW w:w="1337" w:type="pct"/>
                  <w:vAlign w:val="center"/>
                </w:tcPr>
                <w:p w14:paraId="513BF30F">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40倍</w:t>
                  </w:r>
                </w:p>
              </w:tc>
              <w:tc>
                <w:tcPr>
                  <w:tcW w:w="456" w:type="pct"/>
                  <w:vAlign w:val="center"/>
                </w:tcPr>
                <w:p w14:paraId="416B2BC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431AA2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0D7AA1FD">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22298E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9D9F08C">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07D971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路缘石抗折装置</w:t>
                  </w:r>
                </w:p>
              </w:tc>
              <w:tc>
                <w:tcPr>
                  <w:tcW w:w="1337" w:type="pct"/>
                  <w:vAlign w:val="center"/>
                </w:tcPr>
                <w:p w14:paraId="1FD076E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56" w:type="pct"/>
                  <w:vAlign w:val="center"/>
                </w:tcPr>
                <w:p w14:paraId="403CA5F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93426B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29C5E867">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ABC1D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F7BF43D">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623C85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多功能混凝土钻孔取芯机</w:t>
                  </w:r>
                </w:p>
              </w:tc>
              <w:tc>
                <w:tcPr>
                  <w:tcW w:w="1337" w:type="pct"/>
                  <w:vAlign w:val="center"/>
                </w:tcPr>
                <w:p w14:paraId="44F3FB0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HZ-20</w:t>
                  </w:r>
                </w:p>
              </w:tc>
              <w:tc>
                <w:tcPr>
                  <w:tcW w:w="456" w:type="pct"/>
                  <w:vAlign w:val="center"/>
                </w:tcPr>
                <w:p w14:paraId="4F7366C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A81655B">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30C12AE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5962B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1F28CCA">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5CB21B7F">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混凝土钻孔取芯机</w:t>
                  </w:r>
                </w:p>
              </w:tc>
              <w:tc>
                <w:tcPr>
                  <w:tcW w:w="1337" w:type="pct"/>
                  <w:vAlign w:val="center"/>
                </w:tcPr>
                <w:p w14:paraId="60D7604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HZ-20</w:t>
                  </w:r>
                </w:p>
              </w:tc>
              <w:tc>
                <w:tcPr>
                  <w:tcW w:w="456" w:type="pct"/>
                  <w:vAlign w:val="center"/>
                </w:tcPr>
                <w:p w14:paraId="68773B7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p>
              </w:tc>
              <w:tc>
                <w:tcPr>
                  <w:tcW w:w="456" w:type="pct"/>
                  <w:vAlign w:val="center"/>
                </w:tcPr>
                <w:p w14:paraId="17447C1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48392CC7">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7AF2C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64AE0177">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8C88CE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冻</w:t>
                  </w:r>
                  <w:r>
                    <w:rPr>
                      <w:rFonts w:hint="eastAsia" w:cs="Times New Roman"/>
                      <w:i w:val="0"/>
                      <w:iCs w:val="0"/>
                      <w:color w:val="auto"/>
                      <w:kern w:val="0"/>
                      <w:sz w:val="21"/>
                      <w:szCs w:val="21"/>
                      <w:u w:val="none"/>
                      <w:lang w:val="en-US" w:eastAsia="zh-CN" w:bidi="ar"/>
                    </w:rPr>
                    <w:t>融</w:t>
                  </w:r>
                  <w:r>
                    <w:rPr>
                      <w:rFonts w:hint="default" w:ascii="Times New Roman" w:hAnsi="Times New Roman" w:eastAsia="宋体" w:cs="Times New Roman"/>
                      <w:i w:val="0"/>
                      <w:iCs w:val="0"/>
                      <w:color w:val="auto"/>
                      <w:kern w:val="0"/>
                      <w:sz w:val="21"/>
                      <w:szCs w:val="21"/>
                      <w:u w:val="none"/>
                      <w:lang w:val="en-US" w:eastAsia="zh-CN" w:bidi="ar"/>
                    </w:rPr>
                    <w:t>试验机</w:t>
                  </w:r>
                </w:p>
              </w:tc>
              <w:tc>
                <w:tcPr>
                  <w:tcW w:w="1337" w:type="pct"/>
                  <w:vAlign w:val="center"/>
                </w:tcPr>
                <w:p w14:paraId="675DD8E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B2</w:t>
                  </w:r>
                </w:p>
              </w:tc>
              <w:tc>
                <w:tcPr>
                  <w:tcW w:w="456" w:type="pct"/>
                  <w:vAlign w:val="center"/>
                </w:tcPr>
                <w:p w14:paraId="2A72FAF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1DFF2FB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730602D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76395D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731EF7B">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0C87F8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轻型触探仪</w:t>
                  </w:r>
                </w:p>
              </w:tc>
              <w:tc>
                <w:tcPr>
                  <w:tcW w:w="1337" w:type="pct"/>
                  <w:vAlign w:val="center"/>
                </w:tcPr>
                <w:p w14:paraId="59D1D2EB">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56" w:type="pct"/>
                  <w:vAlign w:val="center"/>
                </w:tcPr>
                <w:p w14:paraId="5995BC7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F3067A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0CA7D28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6D7C8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6D69102">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4507A7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钢筋反复弯曲机</w:t>
                  </w:r>
                </w:p>
              </w:tc>
              <w:tc>
                <w:tcPr>
                  <w:tcW w:w="1337" w:type="pct"/>
                  <w:vAlign w:val="center"/>
                </w:tcPr>
                <w:p w14:paraId="433AA4A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GW-40B</w:t>
                  </w:r>
                </w:p>
              </w:tc>
              <w:tc>
                <w:tcPr>
                  <w:tcW w:w="456" w:type="pct"/>
                  <w:vAlign w:val="center"/>
                </w:tcPr>
                <w:p w14:paraId="2AA3BA6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023B18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3DBB5E4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40E1DA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0A2774CF">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5522818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切砖器</w:t>
                  </w:r>
                </w:p>
              </w:tc>
              <w:tc>
                <w:tcPr>
                  <w:tcW w:w="1337" w:type="pct"/>
                  <w:vAlign w:val="center"/>
                </w:tcPr>
                <w:p w14:paraId="3ACB03B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56" w:type="pct"/>
                  <w:vAlign w:val="center"/>
                </w:tcPr>
                <w:p w14:paraId="5951802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D0B10A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188BC05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1E44B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827D34A">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12EBED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波纹管柔韧型装置</w:t>
                  </w:r>
                </w:p>
              </w:tc>
              <w:tc>
                <w:tcPr>
                  <w:tcW w:w="1337" w:type="pct"/>
                  <w:vAlign w:val="center"/>
                </w:tcPr>
                <w:p w14:paraId="3BD4C93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SBR-IIB</w:t>
                  </w:r>
                </w:p>
              </w:tc>
              <w:tc>
                <w:tcPr>
                  <w:tcW w:w="456" w:type="pct"/>
                  <w:vAlign w:val="center"/>
                </w:tcPr>
                <w:p w14:paraId="1BFF975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3AC2AB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2B7AE64A">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755269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697A0B9">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64990F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动力触探仪</w:t>
                  </w:r>
                </w:p>
              </w:tc>
              <w:tc>
                <w:tcPr>
                  <w:tcW w:w="1337" w:type="pct"/>
                  <w:vAlign w:val="center"/>
                </w:tcPr>
                <w:p w14:paraId="50E97D0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FD-100N</w:t>
                  </w:r>
                </w:p>
              </w:tc>
              <w:tc>
                <w:tcPr>
                  <w:tcW w:w="456" w:type="pct"/>
                  <w:vAlign w:val="center"/>
                </w:tcPr>
                <w:p w14:paraId="5D4764D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5060D5B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53238B4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CBF30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054FB4C">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851AE9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混凝土抗折试验装置</w:t>
                  </w:r>
                </w:p>
              </w:tc>
              <w:tc>
                <w:tcPr>
                  <w:tcW w:w="1337" w:type="pct"/>
                  <w:vAlign w:val="center"/>
                </w:tcPr>
                <w:p w14:paraId="607539C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T0558-2005型</w:t>
                  </w:r>
                </w:p>
              </w:tc>
              <w:tc>
                <w:tcPr>
                  <w:tcW w:w="456" w:type="pct"/>
                  <w:vAlign w:val="center"/>
                </w:tcPr>
                <w:p w14:paraId="09C222B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5C39E687">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6240F8AD">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C4E43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F099E71">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E3C29C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电动脱模机</w:t>
                  </w:r>
                </w:p>
              </w:tc>
              <w:tc>
                <w:tcPr>
                  <w:tcW w:w="1337" w:type="pct"/>
                  <w:vAlign w:val="center"/>
                </w:tcPr>
                <w:p w14:paraId="4946F75F">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56" w:type="pct"/>
                  <w:vAlign w:val="center"/>
                </w:tcPr>
                <w:p w14:paraId="3206319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D43C42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26A6B6D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74DBB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1B5AFA5F">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9A74DF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渗水试验仪</w:t>
                  </w:r>
                </w:p>
              </w:tc>
              <w:tc>
                <w:tcPr>
                  <w:tcW w:w="1337" w:type="pct"/>
                  <w:vAlign w:val="center"/>
                </w:tcPr>
                <w:p w14:paraId="59AC597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HDSS-II型</w:t>
                  </w:r>
                </w:p>
              </w:tc>
              <w:tc>
                <w:tcPr>
                  <w:tcW w:w="456" w:type="pct"/>
                  <w:vAlign w:val="center"/>
                </w:tcPr>
                <w:p w14:paraId="59FBE7D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0912E3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17A3C6B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9D033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141B1109">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04EF32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塌落度桶</w:t>
                  </w:r>
                </w:p>
              </w:tc>
              <w:tc>
                <w:tcPr>
                  <w:tcW w:w="1337" w:type="pct"/>
                  <w:vAlign w:val="center"/>
                </w:tcPr>
                <w:p w14:paraId="7CDA75C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56" w:type="pct"/>
                  <w:vAlign w:val="center"/>
                </w:tcPr>
                <w:p w14:paraId="122D53E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703A76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14A530A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DCEB8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849D24A">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98175E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滚轮式测距仪</w:t>
                  </w:r>
                </w:p>
              </w:tc>
              <w:tc>
                <w:tcPr>
                  <w:tcW w:w="1337" w:type="pct"/>
                  <w:vAlign w:val="center"/>
                </w:tcPr>
                <w:p w14:paraId="14E9009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456" w:type="pct"/>
                  <w:vAlign w:val="center"/>
                </w:tcPr>
                <w:p w14:paraId="561EFA1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C44591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486C810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2FDB4F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A5527A1">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96035A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恒温水箱</w:t>
                  </w:r>
                </w:p>
              </w:tc>
              <w:tc>
                <w:tcPr>
                  <w:tcW w:w="1337" w:type="pct"/>
                  <w:vAlign w:val="center"/>
                </w:tcPr>
                <w:p w14:paraId="1990496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600型</w:t>
                  </w:r>
                </w:p>
              </w:tc>
              <w:tc>
                <w:tcPr>
                  <w:tcW w:w="456" w:type="pct"/>
                  <w:vAlign w:val="center"/>
                </w:tcPr>
                <w:p w14:paraId="7B9DAF2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5B74E1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6777BBD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13F58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2472224">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56BF4A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不锈钢天平台减震装置</w:t>
                  </w:r>
                </w:p>
              </w:tc>
              <w:tc>
                <w:tcPr>
                  <w:tcW w:w="1337" w:type="pct"/>
                  <w:vAlign w:val="center"/>
                </w:tcPr>
                <w:p w14:paraId="66F5439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B/Z-BD-B-302</w:t>
                  </w:r>
                </w:p>
              </w:tc>
              <w:tc>
                <w:tcPr>
                  <w:tcW w:w="456" w:type="pct"/>
                  <w:vAlign w:val="center"/>
                </w:tcPr>
                <w:p w14:paraId="2082F6FF">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5124D0F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45B98CD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CDC8D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680102D">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555DFB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一体式钢筋扫描仪</w:t>
                  </w:r>
                </w:p>
              </w:tc>
              <w:tc>
                <w:tcPr>
                  <w:tcW w:w="1337" w:type="pct"/>
                  <w:vAlign w:val="center"/>
                </w:tcPr>
                <w:p w14:paraId="6B845612">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HC-GY71S</w:t>
                  </w:r>
                </w:p>
              </w:tc>
              <w:tc>
                <w:tcPr>
                  <w:tcW w:w="456" w:type="pct"/>
                  <w:vAlign w:val="center"/>
                </w:tcPr>
                <w:p w14:paraId="5648FC1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5AB217A">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7379A674">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670AE9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BC71F14">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E167EB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车载式道路照明检测系统</w:t>
                  </w:r>
                </w:p>
              </w:tc>
              <w:tc>
                <w:tcPr>
                  <w:tcW w:w="1337" w:type="pct"/>
                  <w:vAlign w:val="center"/>
                </w:tcPr>
                <w:p w14:paraId="71A61A2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CZXT-1型</w:t>
                  </w:r>
                </w:p>
              </w:tc>
              <w:tc>
                <w:tcPr>
                  <w:tcW w:w="456" w:type="pct"/>
                  <w:vAlign w:val="center"/>
                </w:tcPr>
                <w:p w14:paraId="04F44CB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705D29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355CBE97">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6920B8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ED93402">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374A00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管道机器人</w:t>
                  </w:r>
                </w:p>
              </w:tc>
              <w:tc>
                <w:tcPr>
                  <w:tcW w:w="1337" w:type="pct"/>
                  <w:vAlign w:val="center"/>
                </w:tcPr>
                <w:p w14:paraId="5CC9BB4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RSM-RTV(A)</w:t>
                  </w:r>
                </w:p>
              </w:tc>
              <w:tc>
                <w:tcPr>
                  <w:tcW w:w="456" w:type="pct"/>
                  <w:vAlign w:val="center"/>
                </w:tcPr>
                <w:p w14:paraId="60BF782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489CD9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121F357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46F39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A685D01">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0E531C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无线潜望镜</w:t>
                  </w:r>
                </w:p>
              </w:tc>
              <w:tc>
                <w:tcPr>
                  <w:tcW w:w="1337" w:type="pct"/>
                  <w:vAlign w:val="center"/>
                </w:tcPr>
                <w:p w14:paraId="7096425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RSM-HQV(A)</w:t>
                  </w:r>
                </w:p>
              </w:tc>
              <w:tc>
                <w:tcPr>
                  <w:tcW w:w="456" w:type="pct"/>
                  <w:vAlign w:val="center"/>
                </w:tcPr>
                <w:p w14:paraId="554555CF">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41422EC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6C254F4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60F898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EA75ABE">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A97653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激光双平整度、单构造深度仪</w:t>
                  </w:r>
                </w:p>
              </w:tc>
              <w:tc>
                <w:tcPr>
                  <w:tcW w:w="1337" w:type="pct"/>
                  <w:vAlign w:val="center"/>
                </w:tcPr>
                <w:p w14:paraId="27BC3E5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JG-07（2P1G）</w:t>
                  </w:r>
                </w:p>
              </w:tc>
              <w:tc>
                <w:tcPr>
                  <w:tcW w:w="456" w:type="pct"/>
                  <w:vAlign w:val="center"/>
                </w:tcPr>
                <w:p w14:paraId="4A8F6B8C">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25C9F27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08BDAF3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0A0AE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1DFA1026">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C58B67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全自动低温冻融试验机</w:t>
                  </w:r>
                </w:p>
              </w:tc>
              <w:tc>
                <w:tcPr>
                  <w:tcW w:w="1337" w:type="pct"/>
                  <w:vAlign w:val="center"/>
                </w:tcPr>
                <w:p w14:paraId="78FB632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CLD型</w:t>
                  </w:r>
                </w:p>
              </w:tc>
              <w:tc>
                <w:tcPr>
                  <w:tcW w:w="456" w:type="pct"/>
                  <w:vAlign w:val="center"/>
                </w:tcPr>
                <w:p w14:paraId="157D968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C43E4A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45D1D65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7B3AA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0A2A628">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8BF81E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砖瓦爆裂蒸煮箱</w:t>
                  </w:r>
                </w:p>
              </w:tc>
              <w:tc>
                <w:tcPr>
                  <w:tcW w:w="1337" w:type="pct"/>
                  <w:vAlign w:val="center"/>
                </w:tcPr>
                <w:p w14:paraId="71CB6B2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ZSA-5A</w:t>
                  </w:r>
                </w:p>
              </w:tc>
              <w:tc>
                <w:tcPr>
                  <w:tcW w:w="456" w:type="pct"/>
                  <w:vAlign w:val="center"/>
                </w:tcPr>
                <w:p w14:paraId="26FB7B3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4888D5A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5BF602B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4B252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44D6EA6">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11249F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滚珠轴承耐磨试验机</w:t>
                  </w:r>
                </w:p>
              </w:tc>
              <w:tc>
                <w:tcPr>
                  <w:tcW w:w="1337" w:type="pct"/>
                  <w:vAlign w:val="center"/>
                </w:tcPr>
                <w:p w14:paraId="734E61E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NS-2</w:t>
                  </w:r>
                </w:p>
              </w:tc>
              <w:tc>
                <w:tcPr>
                  <w:tcW w:w="456" w:type="pct"/>
                  <w:vAlign w:val="center"/>
                </w:tcPr>
                <w:p w14:paraId="7ECC429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C9ABFF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0F5BEFE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A2C67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4490CFB">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1450B0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标线厚度测定仪</w:t>
                  </w:r>
                </w:p>
              </w:tc>
              <w:tc>
                <w:tcPr>
                  <w:tcW w:w="1337" w:type="pct"/>
                  <w:vAlign w:val="center"/>
                </w:tcPr>
                <w:p w14:paraId="26B4814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STT-950</w:t>
                  </w:r>
                </w:p>
              </w:tc>
              <w:tc>
                <w:tcPr>
                  <w:tcW w:w="456" w:type="pct"/>
                  <w:vAlign w:val="center"/>
                </w:tcPr>
                <w:p w14:paraId="76D615A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371CED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3F397B37">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63126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AA059C4">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C150D6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道路标线逆反射亮度系数测定仪</w:t>
                  </w:r>
                </w:p>
              </w:tc>
              <w:tc>
                <w:tcPr>
                  <w:tcW w:w="1337" w:type="pct"/>
                  <w:vAlign w:val="center"/>
                </w:tcPr>
                <w:p w14:paraId="5178761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STT-301E</w:t>
                  </w:r>
                </w:p>
              </w:tc>
              <w:tc>
                <w:tcPr>
                  <w:tcW w:w="456" w:type="pct"/>
                  <w:vAlign w:val="center"/>
                </w:tcPr>
                <w:p w14:paraId="7813F80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1FFCA0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5CB8449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E37CD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C606BB5">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715E67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微型拉拔仪</w:t>
                  </w:r>
                </w:p>
              </w:tc>
              <w:tc>
                <w:tcPr>
                  <w:tcW w:w="1337" w:type="pct"/>
                  <w:vAlign w:val="center"/>
                </w:tcPr>
                <w:p w14:paraId="4D2F6ED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HC-V10S</w:t>
                  </w:r>
                </w:p>
              </w:tc>
              <w:tc>
                <w:tcPr>
                  <w:tcW w:w="456" w:type="pct"/>
                  <w:vAlign w:val="center"/>
                </w:tcPr>
                <w:p w14:paraId="170E82D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5D45CAB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22AA05D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EEFF2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084AB0D4">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85008F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涂层测厚仪</w:t>
                  </w:r>
                </w:p>
              </w:tc>
              <w:tc>
                <w:tcPr>
                  <w:tcW w:w="1337" w:type="pct"/>
                  <w:vAlign w:val="center"/>
                </w:tcPr>
                <w:p w14:paraId="40CAE30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LB-231</w:t>
                  </w:r>
                </w:p>
              </w:tc>
              <w:tc>
                <w:tcPr>
                  <w:tcW w:w="456" w:type="pct"/>
                  <w:vAlign w:val="center"/>
                </w:tcPr>
                <w:p w14:paraId="7E1A025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7113E32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6AAD0C4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6EDB33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5758116">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5AFA26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直读式混凝土含气量测定仪</w:t>
                  </w:r>
                </w:p>
              </w:tc>
              <w:tc>
                <w:tcPr>
                  <w:tcW w:w="1337" w:type="pct"/>
                  <w:vAlign w:val="center"/>
                </w:tcPr>
                <w:p w14:paraId="199743E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CA-3</w:t>
                  </w:r>
                </w:p>
              </w:tc>
              <w:tc>
                <w:tcPr>
                  <w:tcW w:w="456" w:type="pct"/>
                  <w:vAlign w:val="center"/>
                </w:tcPr>
                <w:p w14:paraId="599A678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7C5AA71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2C9440B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01444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6DDD3F8">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98189F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管材耐压测试仪</w:t>
                  </w:r>
                </w:p>
              </w:tc>
              <w:tc>
                <w:tcPr>
                  <w:tcW w:w="1337" w:type="pct"/>
                  <w:vAlign w:val="center"/>
                </w:tcPr>
                <w:p w14:paraId="2BC4536F">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XGNB-N-C</w:t>
                  </w:r>
                </w:p>
              </w:tc>
              <w:tc>
                <w:tcPr>
                  <w:tcW w:w="456" w:type="pct"/>
                  <w:vAlign w:val="center"/>
                </w:tcPr>
                <w:p w14:paraId="2618E23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4A68651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3B8ED093">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7F523A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11041EC2">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8CD7EA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气动冲片机</w:t>
                  </w:r>
                </w:p>
              </w:tc>
              <w:tc>
                <w:tcPr>
                  <w:tcW w:w="1337" w:type="pct"/>
                  <w:vAlign w:val="center"/>
                </w:tcPr>
                <w:p w14:paraId="29C8C64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HD-25A</w:t>
                  </w:r>
                </w:p>
              </w:tc>
              <w:tc>
                <w:tcPr>
                  <w:tcW w:w="456" w:type="pct"/>
                  <w:vAlign w:val="center"/>
                </w:tcPr>
                <w:p w14:paraId="2A487DF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57966C57">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2015423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7E9237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0B35A1BA">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A76FF3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橡胶刨片机</w:t>
                  </w:r>
                </w:p>
              </w:tc>
              <w:tc>
                <w:tcPr>
                  <w:tcW w:w="1337" w:type="pct"/>
                  <w:vAlign w:val="center"/>
                </w:tcPr>
                <w:p w14:paraId="469A6A6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SQ-300</w:t>
                  </w:r>
                </w:p>
              </w:tc>
              <w:tc>
                <w:tcPr>
                  <w:tcW w:w="456" w:type="pct"/>
                  <w:vAlign w:val="center"/>
                </w:tcPr>
                <w:p w14:paraId="17431A5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7F92D027">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141354FA">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459D01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28669CB">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136C87DF">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双头磨片机</w:t>
                  </w:r>
                </w:p>
              </w:tc>
              <w:tc>
                <w:tcPr>
                  <w:tcW w:w="1337" w:type="pct"/>
                  <w:vAlign w:val="center"/>
                </w:tcPr>
                <w:p w14:paraId="279F379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MP-II</w:t>
                  </w:r>
                </w:p>
              </w:tc>
              <w:tc>
                <w:tcPr>
                  <w:tcW w:w="456" w:type="pct"/>
                  <w:vAlign w:val="center"/>
                </w:tcPr>
                <w:p w14:paraId="3C0D25E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18FB04EC">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12F0E8FB">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03B54C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B678ED7">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7D24D9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游标塞尺</w:t>
                  </w:r>
                </w:p>
              </w:tc>
              <w:tc>
                <w:tcPr>
                  <w:tcW w:w="1337" w:type="pct"/>
                  <w:vAlign w:val="center"/>
                </w:tcPr>
                <w:p w14:paraId="139A00E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456" w:type="pct"/>
                  <w:vAlign w:val="center"/>
                </w:tcPr>
                <w:p w14:paraId="42BE5642">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6D2C3C6B">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419D33CA">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16FC5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9EC36A1">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2F64234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静水电子天平</w:t>
                  </w:r>
                </w:p>
              </w:tc>
              <w:tc>
                <w:tcPr>
                  <w:tcW w:w="1337" w:type="pct"/>
                  <w:vAlign w:val="center"/>
                </w:tcPr>
                <w:p w14:paraId="0E67F515">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JA503</w:t>
                  </w:r>
                </w:p>
              </w:tc>
              <w:tc>
                <w:tcPr>
                  <w:tcW w:w="456" w:type="pct"/>
                  <w:vAlign w:val="center"/>
                </w:tcPr>
                <w:p w14:paraId="44A6383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7342271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5D76CA79">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28B7AA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02C0F0B9">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2CEFBC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细集料亚甲蓝试验装置</w:t>
                  </w:r>
                </w:p>
              </w:tc>
              <w:tc>
                <w:tcPr>
                  <w:tcW w:w="1337" w:type="pct"/>
                  <w:vAlign w:val="center"/>
                </w:tcPr>
                <w:p w14:paraId="41273AD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NSF-1</w:t>
                  </w:r>
                </w:p>
              </w:tc>
              <w:tc>
                <w:tcPr>
                  <w:tcW w:w="456" w:type="pct"/>
                  <w:vAlign w:val="center"/>
                </w:tcPr>
                <w:p w14:paraId="17C78D9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01E0E7A">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2BBBAF2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5F603B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7C4E49D">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C63519A">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洛杉矶磨耗试验机</w:t>
                  </w:r>
                </w:p>
              </w:tc>
              <w:tc>
                <w:tcPr>
                  <w:tcW w:w="1337" w:type="pct"/>
                  <w:vAlign w:val="center"/>
                </w:tcPr>
                <w:p w14:paraId="08470AC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MH-II</w:t>
                  </w:r>
                </w:p>
              </w:tc>
              <w:tc>
                <w:tcPr>
                  <w:tcW w:w="456" w:type="pct"/>
                  <w:vAlign w:val="center"/>
                </w:tcPr>
                <w:p w14:paraId="38B87AAD">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70F6F17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062AD46E">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6885DE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6F9E31F4">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49FE235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多功能低温恒温水浴</w:t>
                  </w:r>
                </w:p>
              </w:tc>
              <w:tc>
                <w:tcPr>
                  <w:tcW w:w="1337" w:type="pct"/>
                  <w:vAlign w:val="center"/>
                </w:tcPr>
                <w:p w14:paraId="1E7BEA9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HWY-30</w:t>
                  </w:r>
                </w:p>
              </w:tc>
              <w:tc>
                <w:tcPr>
                  <w:tcW w:w="456" w:type="pct"/>
                  <w:vAlign w:val="center"/>
                </w:tcPr>
                <w:p w14:paraId="338D5FE2">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0C4AA805">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359540EA">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43C5D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C208EAA">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7095708">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全自动低温柔度仪</w:t>
                  </w:r>
                </w:p>
              </w:tc>
              <w:tc>
                <w:tcPr>
                  <w:tcW w:w="1337" w:type="pct"/>
                  <w:vAlign w:val="center"/>
                </w:tcPr>
                <w:p w14:paraId="191B01C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ZSY-34</w:t>
                  </w:r>
                </w:p>
              </w:tc>
              <w:tc>
                <w:tcPr>
                  <w:tcW w:w="456" w:type="pct"/>
                  <w:vAlign w:val="center"/>
                </w:tcPr>
                <w:p w14:paraId="352BB49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4242086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10C6A381">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46D8E4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4706E990">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3761537">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可见分光光度计</w:t>
                  </w:r>
                </w:p>
              </w:tc>
              <w:tc>
                <w:tcPr>
                  <w:tcW w:w="1337" w:type="pct"/>
                  <w:vAlign w:val="center"/>
                </w:tcPr>
                <w:p w14:paraId="098D01F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721</w:t>
                  </w:r>
                </w:p>
              </w:tc>
              <w:tc>
                <w:tcPr>
                  <w:tcW w:w="456" w:type="pct"/>
                  <w:vAlign w:val="center"/>
                </w:tcPr>
                <w:p w14:paraId="0BDD648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5C25DF6D">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7AFC04E0">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72B702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8686FEE">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7A86387B">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防水卷材搭接缝不透水仪</w:t>
                  </w:r>
                </w:p>
              </w:tc>
              <w:tc>
                <w:tcPr>
                  <w:tcW w:w="1337" w:type="pct"/>
                  <w:vAlign w:val="center"/>
                </w:tcPr>
                <w:p w14:paraId="0312B82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DJF-7</w:t>
                  </w:r>
                </w:p>
              </w:tc>
              <w:tc>
                <w:tcPr>
                  <w:tcW w:w="456" w:type="pct"/>
                  <w:vAlign w:val="center"/>
                </w:tcPr>
                <w:p w14:paraId="428C449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472BCB6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个</w:t>
                  </w:r>
                </w:p>
              </w:tc>
              <w:tc>
                <w:tcPr>
                  <w:tcW w:w="456" w:type="pct"/>
                  <w:shd w:val="clear" w:color="auto" w:fill="auto"/>
                  <w:vAlign w:val="center"/>
                </w:tcPr>
                <w:p w14:paraId="7AE26778">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1E2A5D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91E35FB">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0A190661">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砂浆渗透仪</w:t>
                  </w:r>
                </w:p>
              </w:tc>
              <w:tc>
                <w:tcPr>
                  <w:tcW w:w="1337" w:type="pct"/>
                  <w:vAlign w:val="center"/>
                </w:tcPr>
                <w:p w14:paraId="440FE13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SS-15型</w:t>
                  </w:r>
                </w:p>
              </w:tc>
              <w:tc>
                <w:tcPr>
                  <w:tcW w:w="456" w:type="pct"/>
                  <w:vAlign w:val="center"/>
                </w:tcPr>
                <w:p w14:paraId="05C4997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vAlign w:val="center"/>
                </w:tcPr>
                <w:p w14:paraId="3D1213F2">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50B682D6">
                  <w:pPr>
                    <w:keepNext w:val="0"/>
                    <w:keepLines w:val="0"/>
                    <w:pageBreakBefore w:val="0"/>
                    <w:kinsoku/>
                    <w:wordWrap/>
                    <w:overflowPunct/>
                    <w:topLinePunct w:val="0"/>
                    <w:autoSpaceDE/>
                    <w:autoSpaceDN/>
                    <w:bidi w:val="0"/>
                    <w:adjustRightInd w:val="0"/>
                    <w:snapToGrid w:val="0"/>
                    <w:ind w:left="0" w:firstLine="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85F01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22174E5A">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8CF36C9">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智能沥青混合料拌和机</w:t>
                  </w:r>
                </w:p>
              </w:tc>
              <w:tc>
                <w:tcPr>
                  <w:tcW w:w="1337" w:type="pct"/>
                  <w:vAlign w:val="center"/>
                </w:tcPr>
                <w:p w14:paraId="42D1194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BH-</w:t>
                  </w:r>
                  <w:r>
                    <w:rPr>
                      <w:rFonts w:hint="eastAsia"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eastAsia="宋体" w:cs="Times New Roman"/>
                      <w:i w:val="0"/>
                      <w:iCs w:val="0"/>
                      <w:color w:val="auto"/>
                      <w:kern w:val="0"/>
                      <w:sz w:val="21"/>
                      <w:szCs w:val="21"/>
                      <w:u w:val="none"/>
                      <w:lang w:val="en-US" w:eastAsia="zh-CN" w:bidi="ar"/>
                    </w:rPr>
                    <w:t>0</w:t>
                  </w:r>
                </w:p>
              </w:tc>
              <w:tc>
                <w:tcPr>
                  <w:tcW w:w="456" w:type="pct"/>
                  <w:shd w:val="clear" w:color="auto" w:fill="auto"/>
                  <w:vAlign w:val="center"/>
                </w:tcPr>
                <w:p w14:paraId="57DA27CB">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shd w:val="clear" w:color="auto" w:fill="auto"/>
                  <w:vAlign w:val="center"/>
                </w:tcPr>
                <w:p w14:paraId="3877FEFE">
                  <w:pPr>
                    <w:keepNext w:val="0"/>
                    <w:keepLines w:val="0"/>
                    <w:pageBreakBefore w:val="0"/>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2EA0A8CB">
                  <w:pPr>
                    <w:keepNext w:val="0"/>
                    <w:keepLines w:val="0"/>
                    <w:pageBreakBefore w:val="0"/>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2C06EB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3D7B0978">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5D1E203E">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沥青软化点试验仪</w:t>
                  </w:r>
                </w:p>
              </w:tc>
              <w:tc>
                <w:tcPr>
                  <w:tcW w:w="1337" w:type="pct"/>
                  <w:vAlign w:val="center"/>
                </w:tcPr>
                <w:p w14:paraId="15023C76">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SYD-2806F</w:t>
                  </w:r>
                </w:p>
              </w:tc>
              <w:tc>
                <w:tcPr>
                  <w:tcW w:w="456" w:type="pct"/>
                  <w:shd w:val="clear" w:color="auto" w:fill="auto"/>
                  <w:vAlign w:val="center"/>
                </w:tcPr>
                <w:p w14:paraId="4A5086B5">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shd w:val="clear" w:color="auto" w:fill="auto"/>
                  <w:vAlign w:val="center"/>
                </w:tcPr>
                <w:p w14:paraId="067ED9CB">
                  <w:pPr>
                    <w:keepNext w:val="0"/>
                    <w:keepLines w:val="0"/>
                    <w:pageBreakBefore w:val="0"/>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41E3DF73">
                  <w:pPr>
                    <w:keepNext w:val="0"/>
                    <w:keepLines w:val="0"/>
                    <w:pageBreakBefore w:val="0"/>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3E46F1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5C8A7030">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6DE115A4">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电脑低温沥青延伸度试验仪</w:t>
                  </w:r>
                </w:p>
              </w:tc>
              <w:tc>
                <w:tcPr>
                  <w:tcW w:w="1337" w:type="pct"/>
                  <w:vAlign w:val="center"/>
                </w:tcPr>
                <w:p w14:paraId="7C8A782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LYY-7D</w:t>
                  </w:r>
                </w:p>
              </w:tc>
              <w:tc>
                <w:tcPr>
                  <w:tcW w:w="456" w:type="pct"/>
                  <w:shd w:val="clear" w:color="auto" w:fill="auto"/>
                  <w:vAlign w:val="center"/>
                </w:tcPr>
                <w:p w14:paraId="3DDA06C1">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shd w:val="clear" w:color="auto" w:fill="auto"/>
                  <w:vAlign w:val="center"/>
                </w:tcPr>
                <w:p w14:paraId="7869F555">
                  <w:pPr>
                    <w:keepNext w:val="0"/>
                    <w:keepLines w:val="0"/>
                    <w:pageBreakBefore w:val="0"/>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0D705C62">
                  <w:pPr>
                    <w:keepNext w:val="0"/>
                    <w:keepLines w:val="0"/>
                    <w:pageBreakBefore w:val="0"/>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r w14:paraId="6FE076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16" w:type="pct"/>
                  <w:vAlign w:val="center"/>
                </w:tcPr>
                <w:p w14:paraId="7E1D3DBD">
                  <w:pPr>
                    <w:keepNext w:val="0"/>
                    <w:keepLines w:val="0"/>
                    <w:pageBreakBefore w:val="0"/>
                    <w:numPr>
                      <w:ilvl w:val="0"/>
                      <w:numId w:val="7"/>
                    </w:numPr>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sz w:val="21"/>
                      <w:szCs w:val="21"/>
                    </w:rPr>
                  </w:pPr>
                </w:p>
              </w:tc>
              <w:tc>
                <w:tcPr>
                  <w:tcW w:w="1877" w:type="pct"/>
                  <w:vAlign w:val="center"/>
                </w:tcPr>
                <w:p w14:paraId="384C6C93">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自动沥青针入度仪</w:t>
                  </w:r>
                </w:p>
              </w:tc>
              <w:tc>
                <w:tcPr>
                  <w:tcW w:w="1337" w:type="pct"/>
                  <w:vAlign w:val="center"/>
                </w:tcPr>
                <w:p w14:paraId="5286E960">
                  <w:pPr>
                    <w:keepNext w:val="0"/>
                    <w:keepLines w:val="0"/>
                    <w:pageBreakBefore w:val="0"/>
                    <w:widowControl/>
                    <w:suppressLineNumbers w:val="0"/>
                    <w:kinsoku/>
                    <w:wordWrap/>
                    <w:overflowPunct/>
                    <w:topLinePunct w:val="0"/>
                    <w:autoSpaceDE/>
                    <w:autoSpaceDN/>
                    <w:bidi w:val="0"/>
                    <w:adjustRightInd w:val="0"/>
                    <w:snapToGrid w:val="0"/>
                    <w:ind w:left="0" w:firstLine="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SZR-6</w:t>
                  </w:r>
                </w:p>
              </w:tc>
              <w:tc>
                <w:tcPr>
                  <w:tcW w:w="456" w:type="pct"/>
                  <w:shd w:val="clear" w:color="auto" w:fill="auto"/>
                  <w:vAlign w:val="center"/>
                </w:tcPr>
                <w:p w14:paraId="1BFFA817">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456" w:type="pct"/>
                  <w:shd w:val="clear" w:color="auto" w:fill="auto"/>
                  <w:vAlign w:val="center"/>
                </w:tcPr>
                <w:p w14:paraId="0F4A8612">
                  <w:pPr>
                    <w:keepNext w:val="0"/>
                    <w:keepLines w:val="0"/>
                    <w:pageBreakBefore w:val="0"/>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台</w:t>
                  </w:r>
                </w:p>
              </w:tc>
              <w:tc>
                <w:tcPr>
                  <w:tcW w:w="456" w:type="pct"/>
                  <w:shd w:val="clear" w:color="auto" w:fill="auto"/>
                  <w:vAlign w:val="center"/>
                </w:tcPr>
                <w:p w14:paraId="68287203">
                  <w:pPr>
                    <w:keepNext w:val="0"/>
                    <w:keepLines w:val="0"/>
                    <w:pageBreakBefore w:val="0"/>
                    <w:kinsoku/>
                    <w:wordWrap/>
                    <w:overflowPunct/>
                    <w:topLinePunct w:val="0"/>
                    <w:autoSpaceDE/>
                    <w:autoSpaceDN/>
                    <w:bidi w:val="0"/>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外购</w:t>
                  </w:r>
                </w:p>
              </w:tc>
            </w:tr>
          </w:tbl>
          <w:p w14:paraId="372FD8F9">
            <w:pPr>
              <w:widowControl/>
              <w:spacing w:line="360" w:lineRule="auto"/>
              <w:ind w:firstLine="482" w:firstLineChars="200"/>
              <w:rPr>
                <w:b/>
                <w:color w:val="auto"/>
                <w:sz w:val="24"/>
              </w:rPr>
            </w:pPr>
            <w:r>
              <w:rPr>
                <w:rFonts w:hint="eastAsia"/>
                <w:b/>
                <w:color w:val="auto"/>
                <w:sz w:val="24"/>
                <w:lang w:val="en-US" w:eastAsia="zh-CN"/>
              </w:rPr>
              <w:t>5</w:t>
            </w:r>
            <w:r>
              <w:rPr>
                <w:b/>
                <w:color w:val="auto"/>
                <w:sz w:val="24"/>
              </w:rPr>
              <w:t>、主要原辅材料</w:t>
            </w:r>
          </w:p>
          <w:p w14:paraId="3F0C3A03">
            <w:pPr>
              <w:widowControl/>
              <w:spacing w:line="360" w:lineRule="auto"/>
              <w:ind w:firstLine="480" w:firstLineChars="200"/>
              <w:rPr>
                <w:b/>
                <w:color w:val="auto"/>
                <w:sz w:val="24"/>
              </w:rPr>
            </w:pPr>
            <w:r>
              <w:rPr>
                <w:rFonts w:hint="eastAsia"/>
                <w:color w:val="auto"/>
                <w:sz w:val="24"/>
              </w:rPr>
              <w:t>主要原辅材料及能源消耗</w:t>
            </w:r>
            <w:r>
              <w:rPr>
                <w:color w:val="auto"/>
                <w:sz w:val="24"/>
              </w:rPr>
              <w:t>见表2-</w:t>
            </w:r>
            <w:r>
              <w:rPr>
                <w:rFonts w:hint="eastAsia"/>
                <w:color w:val="auto"/>
                <w:sz w:val="24"/>
              </w:rPr>
              <w:t>4：</w:t>
            </w:r>
          </w:p>
          <w:p w14:paraId="7F3A5C89">
            <w:pPr>
              <w:widowControl/>
              <w:jc w:val="center"/>
              <w:rPr>
                <w:b/>
                <w:color w:val="auto"/>
                <w:sz w:val="24"/>
              </w:rPr>
            </w:pPr>
            <w:r>
              <w:rPr>
                <w:b/>
                <w:color w:val="auto"/>
                <w:sz w:val="24"/>
              </w:rPr>
              <w:t>表2-</w:t>
            </w:r>
            <w:r>
              <w:rPr>
                <w:rFonts w:hint="eastAsia"/>
                <w:b/>
                <w:color w:val="auto"/>
                <w:sz w:val="24"/>
              </w:rPr>
              <w:t>4</w:t>
            </w:r>
            <w:r>
              <w:rPr>
                <w:b/>
                <w:color w:val="auto"/>
                <w:sz w:val="24"/>
              </w:rPr>
              <w:t xml:space="preserve">  主要原辅材料消耗一览表</w:t>
            </w:r>
          </w:p>
          <w:tbl>
            <w:tblPr>
              <w:tblStyle w:val="2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2124"/>
              <w:gridCol w:w="1864"/>
              <w:gridCol w:w="1717"/>
              <w:gridCol w:w="1380"/>
              <w:gridCol w:w="1382"/>
            </w:tblGrid>
            <w:tr w14:paraId="6567FD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5" w:type="pct"/>
                  <w:tcBorders>
                    <w:tl2br w:val="nil"/>
                    <w:tr2bl w:val="nil"/>
                  </w:tcBorders>
                  <w:noWrap w:val="0"/>
                  <w:vAlign w:val="center"/>
                </w:tcPr>
                <w:p w14:paraId="2EB8EC49">
                  <w:pPr>
                    <w:jc w:val="center"/>
                    <w:rPr>
                      <w:rFonts w:hint="eastAsia" w:eastAsia="宋体"/>
                      <w:color w:val="auto"/>
                      <w:sz w:val="21"/>
                      <w:szCs w:val="21"/>
                      <w:lang w:val="en-US" w:eastAsia="zh-CN"/>
                    </w:rPr>
                  </w:pPr>
                  <w:r>
                    <w:rPr>
                      <w:rFonts w:hint="eastAsia"/>
                      <w:color w:val="auto"/>
                      <w:sz w:val="21"/>
                      <w:szCs w:val="21"/>
                      <w:lang w:val="en-US" w:eastAsia="zh-CN"/>
                    </w:rPr>
                    <w:t>序号</w:t>
                  </w:r>
                </w:p>
              </w:tc>
              <w:tc>
                <w:tcPr>
                  <w:tcW w:w="1142" w:type="pct"/>
                  <w:tcBorders>
                    <w:tl2br w:val="nil"/>
                    <w:tr2bl w:val="nil"/>
                  </w:tcBorders>
                  <w:noWrap w:val="0"/>
                  <w:vAlign w:val="center"/>
                </w:tcPr>
                <w:p w14:paraId="17A95806">
                  <w:pPr>
                    <w:jc w:val="center"/>
                    <w:rPr>
                      <w:color w:val="auto"/>
                      <w:sz w:val="21"/>
                      <w:szCs w:val="21"/>
                    </w:rPr>
                  </w:pPr>
                  <w:r>
                    <w:rPr>
                      <w:color w:val="auto"/>
                      <w:sz w:val="21"/>
                      <w:szCs w:val="21"/>
                    </w:rPr>
                    <w:t>名称</w:t>
                  </w:r>
                </w:p>
              </w:tc>
              <w:tc>
                <w:tcPr>
                  <w:tcW w:w="1002" w:type="pct"/>
                  <w:tcBorders>
                    <w:tl2br w:val="nil"/>
                    <w:tr2bl w:val="nil"/>
                  </w:tcBorders>
                  <w:noWrap w:val="0"/>
                  <w:vAlign w:val="center"/>
                </w:tcPr>
                <w:p w14:paraId="7C391725">
                  <w:pPr>
                    <w:jc w:val="center"/>
                    <w:rPr>
                      <w:color w:val="auto"/>
                      <w:sz w:val="21"/>
                      <w:szCs w:val="21"/>
                    </w:rPr>
                  </w:pPr>
                  <w:r>
                    <w:rPr>
                      <w:color w:val="auto"/>
                      <w:sz w:val="21"/>
                      <w:szCs w:val="21"/>
                    </w:rPr>
                    <w:t>规格型号</w:t>
                  </w:r>
                </w:p>
              </w:tc>
              <w:tc>
                <w:tcPr>
                  <w:tcW w:w="923" w:type="pct"/>
                  <w:tcBorders>
                    <w:tl2br w:val="nil"/>
                    <w:tr2bl w:val="nil"/>
                  </w:tcBorders>
                  <w:noWrap w:val="0"/>
                  <w:vAlign w:val="center"/>
                </w:tcPr>
                <w:p w14:paraId="358EB157">
                  <w:pPr>
                    <w:jc w:val="center"/>
                    <w:rPr>
                      <w:color w:val="auto"/>
                      <w:sz w:val="21"/>
                      <w:szCs w:val="21"/>
                    </w:rPr>
                  </w:pPr>
                  <w:r>
                    <w:rPr>
                      <w:color w:val="auto"/>
                      <w:sz w:val="21"/>
                      <w:szCs w:val="21"/>
                    </w:rPr>
                    <w:t>年用量</w:t>
                  </w:r>
                </w:p>
              </w:tc>
              <w:tc>
                <w:tcPr>
                  <w:tcW w:w="742" w:type="pct"/>
                  <w:tcBorders>
                    <w:tl2br w:val="nil"/>
                    <w:tr2bl w:val="nil"/>
                  </w:tcBorders>
                  <w:noWrap w:val="0"/>
                  <w:vAlign w:val="center"/>
                </w:tcPr>
                <w:p w14:paraId="6F36DBF8">
                  <w:pPr>
                    <w:jc w:val="center"/>
                    <w:rPr>
                      <w:color w:val="auto"/>
                      <w:sz w:val="21"/>
                      <w:szCs w:val="21"/>
                    </w:rPr>
                  </w:pPr>
                  <w:r>
                    <w:rPr>
                      <w:color w:val="auto"/>
                      <w:sz w:val="21"/>
                      <w:szCs w:val="21"/>
                    </w:rPr>
                    <w:t>最大储存量</w:t>
                  </w:r>
                </w:p>
              </w:tc>
              <w:tc>
                <w:tcPr>
                  <w:tcW w:w="743" w:type="pct"/>
                  <w:tcBorders>
                    <w:tl2br w:val="nil"/>
                    <w:tr2bl w:val="nil"/>
                  </w:tcBorders>
                  <w:noWrap w:val="0"/>
                  <w:vAlign w:val="center"/>
                </w:tcPr>
                <w:p w14:paraId="1950431D">
                  <w:pPr>
                    <w:jc w:val="center"/>
                    <w:rPr>
                      <w:rFonts w:hint="default" w:eastAsia="宋体"/>
                      <w:color w:val="auto"/>
                      <w:sz w:val="21"/>
                      <w:szCs w:val="21"/>
                      <w:lang w:val="en-US" w:eastAsia="zh-CN"/>
                    </w:rPr>
                  </w:pPr>
                  <w:r>
                    <w:rPr>
                      <w:rFonts w:hint="eastAsia"/>
                      <w:color w:val="auto"/>
                      <w:sz w:val="21"/>
                      <w:szCs w:val="21"/>
                      <w:lang w:val="en-US" w:eastAsia="zh-CN"/>
                    </w:rPr>
                    <w:t>储存位置</w:t>
                  </w:r>
                </w:p>
              </w:tc>
            </w:tr>
            <w:tr w14:paraId="036B22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5" w:type="pct"/>
                  <w:tcBorders>
                    <w:tl2br w:val="nil"/>
                    <w:tr2bl w:val="nil"/>
                  </w:tcBorders>
                  <w:noWrap w:val="0"/>
                  <w:vAlign w:val="center"/>
                </w:tcPr>
                <w:p w14:paraId="07D6F710">
                  <w:pPr>
                    <w:jc w:val="center"/>
                    <w:rPr>
                      <w:rFonts w:hint="eastAsia" w:eastAsia="宋体"/>
                      <w:color w:val="auto"/>
                      <w:sz w:val="21"/>
                      <w:szCs w:val="21"/>
                      <w:lang w:val="en-US" w:eastAsia="zh-CN"/>
                    </w:rPr>
                  </w:pPr>
                  <w:r>
                    <w:rPr>
                      <w:rFonts w:hint="eastAsia"/>
                      <w:color w:val="auto"/>
                      <w:sz w:val="21"/>
                      <w:szCs w:val="21"/>
                      <w:lang w:val="en-US" w:eastAsia="zh-CN"/>
                    </w:rPr>
                    <w:t>1</w:t>
                  </w:r>
                </w:p>
              </w:tc>
              <w:tc>
                <w:tcPr>
                  <w:tcW w:w="1142" w:type="pct"/>
                  <w:tcBorders>
                    <w:tl2br w:val="nil"/>
                    <w:tr2bl w:val="nil"/>
                  </w:tcBorders>
                  <w:noWrap w:val="0"/>
                  <w:vAlign w:val="center"/>
                </w:tcPr>
                <w:p w14:paraId="1BB385EE">
                  <w:pPr>
                    <w:jc w:val="center"/>
                    <w:rPr>
                      <w:color w:val="auto"/>
                      <w:sz w:val="21"/>
                      <w:szCs w:val="21"/>
                    </w:rPr>
                  </w:pPr>
                  <w:r>
                    <w:rPr>
                      <w:color w:val="auto"/>
                      <w:sz w:val="21"/>
                      <w:szCs w:val="21"/>
                    </w:rPr>
                    <w:t>无水乙醇</w:t>
                  </w:r>
                </w:p>
              </w:tc>
              <w:tc>
                <w:tcPr>
                  <w:tcW w:w="1002" w:type="pct"/>
                  <w:tcBorders>
                    <w:tl2br w:val="nil"/>
                    <w:tr2bl w:val="nil"/>
                  </w:tcBorders>
                  <w:noWrap w:val="0"/>
                  <w:vAlign w:val="center"/>
                </w:tcPr>
                <w:p w14:paraId="77143340">
                  <w:pPr>
                    <w:jc w:val="center"/>
                    <w:rPr>
                      <w:rFonts w:hint="eastAsia" w:eastAsia="宋体"/>
                      <w:color w:val="auto"/>
                      <w:sz w:val="21"/>
                      <w:szCs w:val="21"/>
                      <w:lang w:eastAsia="zh-CN"/>
                    </w:rPr>
                  </w:pPr>
                  <w:r>
                    <w:rPr>
                      <w:color w:val="auto"/>
                      <w:sz w:val="21"/>
                      <w:szCs w:val="21"/>
                    </w:rPr>
                    <w:t>分析纯500m</w:t>
                  </w:r>
                  <w:r>
                    <w:rPr>
                      <w:rFonts w:hint="eastAsia"/>
                      <w:color w:val="auto"/>
                      <w:sz w:val="21"/>
                      <w:szCs w:val="21"/>
                      <w:lang w:val="en-US" w:eastAsia="zh-CN"/>
                    </w:rPr>
                    <w:t>L</w:t>
                  </w:r>
                </w:p>
              </w:tc>
              <w:tc>
                <w:tcPr>
                  <w:tcW w:w="923" w:type="pct"/>
                  <w:tcBorders>
                    <w:tl2br w:val="nil"/>
                    <w:tr2bl w:val="nil"/>
                  </w:tcBorders>
                  <w:noWrap w:val="0"/>
                  <w:vAlign w:val="center"/>
                </w:tcPr>
                <w:p w14:paraId="7D54A4D1">
                  <w:pPr>
                    <w:jc w:val="center"/>
                    <w:rPr>
                      <w:rFonts w:hint="eastAsia" w:eastAsia="宋体"/>
                      <w:color w:val="auto"/>
                      <w:sz w:val="21"/>
                      <w:szCs w:val="21"/>
                      <w:lang w:eastAsia="zh-CN"/>
                    </w:rPr>
                  </w:pPr>
                  <w:r>
                    <w:rPr>
                      <w:rFonts w:hint="eastAsia"/>
                      <w:color w:val="auto"/>
                      <w:sz w:val="21"/>
                      <w:szCs w:val="21"/>
                      <w:lang w:val="en-US" w:eastAsia="zh-CN"/>
                    </w:rPr>
                    <w:t>1000</w:t>
                  </w:r>
                  <w:r>
                    <w:rPr>
                      <w:color w:val="auto"/>
                      <w:sz w:val="21"/>
                      <w:szCs w:val="21"/>
                    </w:rPr>
                    <w:t>m</w:t>
                  </w:r>
                  <w:r>
                    <w:rPr>
                      <w:rFonts w:hint="eastAsia"/>
                      <w:color w:val="auto"/>
                      <w:sz w:val="21"/>
                      <w:szCs w:val="21"/>
                      <w:lang w:val="en-US" w:eastAsia="zh-CN"/>
                    </w:rPr>
                    <w:t>L</w:t>
                  </w:r>
                </w:p>
              </w:tc>
              <w:tc>
                <w:tcPr>
                  <w:tcW w:w="742" w:type="pct"/>
                  <w:tcBorders>
                    <w:tl2br w:val="nil"/>
                    <w:tr2bl w:val="nil"/>
                  </w:tcBorders>
                  <w:noWrap w:val="0"/>
                  <w:vAlign w:val="center"/>
                </w:tcPr>
                <w:p w14:paraId="4D294939">
                  <w:pPr>
                    <w:jc w:val="center"/>
                    <w:rPr>
                      <w:rFonts w:hint="default" w:eastAsia="宋体"/>
                      <w:color w:val="auto"/>
                      <w:sz w:val="21"/>
                      <w:szCs w:val="21"/>
                      <w:lang w:val="en-US" w:eastAsia="zh-CN"/>
                    </w:rPr>
                  </w:pPr>
                  <w:r>
                    <w:rPr>
                      <w:rFonts w:hint="eastAsia"/>
                      <w:color w:val="auto"/>
                      <w:sz w:val="21"/>
                      <w:szCs w:val="21"/>
                      <w:lang w:val="en-US" w:eastAsia="zh-CN"/>
                    </w:rPr>
                    <w:t>500mL</w:t>
                  </w:r>
                </w:p>
              </w:tc>
              <w:tc>
                <w:tcPr>
                  <w:tcW w:w="743" w:type="pct"/>
                  <w:vMerge w:val="restart"/>
                  <w:tcBorders>
                    <w:tl2br w:val="nil"/>
                    <w:tr2bl w:val="nil"/>
                  </w:tcBorders>
                  <w:noWrap w:val="0"/>
                  <w:vAlign w:val="center"/>
                </w:tcPr>
                <w:p w14:paraId="3D0ED31A">
                  <w:pPr>
                    <w:jc w:val="center"/>
                    <w:rPr>
                      <w:rFonts w:hint="eastAsia" w:eastAsia="宋体"/>
                      <w:color w:val="auto"/>
                      <w:sz w:val="21"/>
                      <w:szCs w:val="21"/>
                      <w:lang w:eastAsia="zh-CN"/>
                    </w:rPr>
                  </w:pPr>
                  <w:r>
                    <w:rPr>
                      <w:rFonts w:hint="eastAsia"/>
                      <w:color w:val="auto"/>
                      <w:sz w:val="21"/>
                      <w:szCs w:val="21"/>
                      <w:lang w:val="en-US" w:eastAsia="zh-CN"/>
                    </w:rPr>
                    <w:t>化学室</w:t>
                  </w:r>
                </w:p>
              </w:tc>
            </w:tr>
            <w:tr w14:paraId="55B37B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5" w:type="pct"/>
                  <w:tcBorders>
                    <w:tl2br w:val="nil"/>
                    <w:tr2bl w:val="nil"/>
                  </w:tcBorders>
                  <w:noWrap w:val="0"/>
                  <w:vAlign w:val="center"/>
                </w:tcPr>
                <w:p w14:paraId="7687345C">
                  <w:pPr>
                    <w:jc w:val="center"/>
                    <w:rPr>
                      <w:rFonts w:hint="default"/>
                      <w:color w:val="auto"/>
                      <w:sz w:val="21"/>
                      <w:szCs w:val="21"/>
                      <w:lang w:val="en-US" w:eastAsia="zh-CN"/>
                    </w:rPr>
                  </w:pPr>
                  <w:r>
                    <w:rPr>
                      <w:rFonts w:hint="eastAsia"/>
                      <w:color w:val="auto"/>
                      <w:sz w:val="21"/>
                      <w:szCs w:val="21"/>
                      <w:lang w:val="en-US" w:eastAsia="zh-CN"/>
                    </w:rPr>
                    <w:t>2</w:t>
                  </w:r>
                </w:p>
              </w:tc>
              <w:tc>
                <w:tcPr>
                  <w:tcW w:w="1142" w:type="pct"/>
                  <w:tcBorders>
                    <w:tl2br w:val="nil"/>
                    <w:tr2bl w:val="nil"/>
                  </w:tcBorders>
                  <w:noWrap w:val="0"/>
                  <w:vAlign w:val="center"/>
                </w:tcPr>
                <w:p w14:paraId="4CEE1BB0">
                  <w:pPr>
                    <w:jc w:val="center"/>
                    <w:rPr>
                      <w:rFonts w:hint="eastAsia" w:eastAsia="宋体"/>
                      <w:color w:val="auto"/>
                      <w:sz w:val="21"/>
                      <w:szCs w:val="21"/>
                      <w:lang w:eastAsia="zh-CN"/>
                    </w:rPr>
                  </w:pPr>
                  <w:r>
                    <w:rPr>
                      <w:rFonts w:hint="eastAsia"/>
                      <w:color w:val="auto"/>
                      <w:sz w:val="21"/>
                      <w:szCs w:val="21"/>
                      <w:lang w:eastAsia="zh-CN"/>
                    </w:rPr>
                    <w:t>氯化铵</w:t>
                  </w:r>
                </w:p>
              </w:tc>
              <w:tc>
                <w:tcPr>
                  <w:tcW w:w="1002" w:type="pct"/>
                  <w:tcBorders>
                    <w:tl2br w:val="nil"/>
                    <w:tr2bl w:val="nil"/>
                  </w:tcBorders>
                  <w:noWrap w:val="0"/>
                  <w:vAlign w:val="center"/>
                </w:tcPr>
                <w:p w14:paraId="3C08A17C">
                  <w:pPr>
                    <w:jc w:val="center"/>
                    <w:rPr>
                      <w:rFonts w:hint="default" w:eastAsia="宋体"/>
                      <w:color w:val="auto"/>
                      <w:sz w:val="21"/>
                      <w:szCs w:val="21"/>
                      <w:lang w:val="en-US" w:eastAsia="zh-CN"/>
                    </w:rPr>
                  </w:pPr>
                  <w:r>
                    <w:rPr>
                      <w:rFonts w:hint="eastAsia"/>
                      <w:color w:val="auto"/>
                      <w:sz w:val="21"/>
                      <w:szCs w:val="21"/>
                      <w:lang w:eastAsia="zh-CN"/>
                    </w:rPr>
                    <w:t>分析纯</w:t>
                  </w:r>
                  <w:r>
                    <w:rPr>
                      <w:rFonts w:hint="eastAsia"/>
                      <w:color w:val="auto"/>
                      <w:sz w:val="21"/>
                      <w:szCs w:val="21"/>
                      <w:lang w:val="en-US" w:eastAsia="zh-CN"/>
                    </w:rPr>
                    <w:t>500g</w:t>
                  </w:r>
                </w:p>
              </w:tc>
              <w:tc>
                <w:tcPr>
                  <w:tcW w:w="923" w:type="pct"/>
                  <w:tcBorders>
                    <w:tl2br w:val="nil"/>
                    <w:tr2bl w:val="nil"/>
                  </w:tcBorders>
                  <w:noWrap w:val="0"/>
                  <w:vAlign w:val="center"/>
                </w:tcPr>
                <w:p w14:paraId="6B9C3937">
                  <w:pPr>
                    <w:jc w:val="center"/>
                    <w:rPr>
                      <w:rFonts w:hint="default" w:eastAsia="宋体"/>
                      <w:color w:val="auto"/>
                      <w:sz w:val="21"/>
                      <w:szCs w:val="21"/>
                      <w:lang w:val="en-US" w:eastAsia="zh-CN"/>
                    </w:rPr>
                  </w:pPr>
                  <w:r>
                    <w:rPr>
                      <w:rFonts w:hint="eastAsia"/>
                      <w:color w:val="auto"/>
                      <w:sz w:val="21"/>
                      <w:szCs w:val="21"/>
                      <w:lang w:val="en-US" w:eastAsia="zh-CN"/>
                    </w:rPr>
                    <w:t>20kg</w:t>
                  </w:r>
                </w:p>
              </w:tc>
              <w:tc>
                <w:tcPr>
                  <w:tcW w:w="742" w:type="pct"/>
                  <w:tcBorders>
                    <w:tl2br w:val="nil"/>
                    <w:tr2bl w:val="nil"/>
                  </w:tcBorders>
                  <w:noWrap w:val="0"/>
                  <w:vAlign w:val="center"/>
                </w:tcPr>
                <w:p w14:paraId="27BB5E88">
                  <w:pPr>
                    <w:jc w:val="center"/>
                    <w:rPr>
                      <w:rFonts w:hint="default" w:eastAsia="宋体"/>
                      <w:color w:val="auto"/>
                      <w:sz w:val="21"/>
                      <w:szCs w:val="21"/>
                      <w:lang w:val="en-US" w:eastAsia="zh-CN"/>
                    </w:rPr>
                  </w:pPr>
                  <w:r>
                    <w:rPr>
                      <w:rFonts w:hint="eastAsia"/>
                      <w:color w:val="auto"/>
                      <w:sz w:val="21"/>
                      <w:szCs w:val="21"/>
                      <w:lang w:val="en-US" w:eastAsia="zh-CN"/>
                    </w:rPr>
                    <w:t>10kg</w:t>
                  </w:r>
                </w:p>
              </w:tc>
              <w:tc>
                <w:tcPr>
                  <w:tcW w:w="743" w:type="pct"/>
                  <w:vMerge w:val="continue"/>
                  <w:tcBorders>
                    <w:tl2br w:val="nil"/>
                    <w:tr2bl w:val="nil"/>
                  </w:tcBorders>
                  <w:noWrap w:val="0"/>
                  <w:vAlign w:val="center"/>
                </w:tcPr>
                <w:p w14:paraId="56A1E0FD">
                  <w:pPr>
                    <w:jc w:val="center"/>
                    <w:rPr>
                      <w:color w:val="auto"/>
                      <w:sz w:val="21"/>
                      <w:szCs w:val="21"/>
                    </w:rPr>
                  </w:pPr>
                </w:p>
              </w:tc>
            </w:tr>
            <w:tr w14:paraId="30E87A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5" w:type="pct"/>
                  <w:tcBorders>
                    <w:tl2br w:val="nil"/>
                    <w:tr2bl w:val="nil"/>
                  </w:tcBorders>
                  <w:noWrap w:val="0"/>
                  <w:vAlign w:val="center"/>
                </w:tcPr>
                <w:p w14:paraId="69938A95">
                  <w:pPr>
                    <w:jc w:val="center"/>
                    <w:rPr>
                      <w:rFonts w:hint="default"/>
                      <w:color w:val="auto"/>
                      <w:sz w:val="21"/>
                      <w:szCs w:val="21"/>
                      <w:lang w:val="en-US" w:eastAsia="zh-CN"/>
                    </w:rPr>
                  </w:pPr>
                  <w:r>
                    <w:rPr>
                      <w:rFonts w:hint="eastAsia"/>
                      <w:color w:val="auto"/>
                      <w:sz w:val="21"/>
                      <w:szCs w:val="21"/>
                      <w:lang w:val="en-US" w:eastAsia="zh-CN"/>
                    </w:rPr>
                    <w:t>3</w:t>
                  </w:r>
                </w:p>
              </w:tc>
              <w:tc>
                <w:tcPr>
                  <w:tcW w:w="1142" w:type="pct"/>
                  <w:tcBorders>
                    <w:tl2br w:val="nil"/>
                    <w:tr2bl w:val="nil"/>
                  </w:tcBorders>
                  <w:noWrap w:val="0"/>
                  <w:vAlign w:val="center"/>
                </w:tcPr>
                <w:p w14:paraId="04399888">
                  <w:pPr>
                    <w:jc w:val="center"/>
                    <w:rPr>
                      <w:rFonts w:hint="eastAsia" w:eastAsia="宋体"/>
                      <w:color w:val="auto"/>
                      <w:sz w:val="21"/>
                      <w:szCs w:val="21"/>
                      <w:lang w:eastAsia="zh-CN"/>
                    </w:rPr>
                  </w:pPr>
                  <w:r>
                    <w:rPr>
                      <w:rFonts w:hint="eastAsia"/>
                      <w:color w:val="auto"/>
                      <w:sz w:val="21"/>
                      <w:szCs w:val="21"/>
                      <w:lang w:eastAsia="zh-CN"/>
                    </w:rPr>
                    <w:t>氢氧化钠</w:t>
                  </w:r>
                </w:p>
              </w:tc>
              <w:tc>
                <w:tcPr>
                  <w:tcW w:w="1002" w:type="pct"/>
                  <w:tcBorders>
                    <w:tl2br w:val="nil"/>
                    <w:tr2bl w:val="nil"/>
                  </w:tcBorders>
                  <w:noWrap w:val="0"/>
                  <w:vAlign w:val="center"/>
                </w:tcPr>
                <w:p w14:paraId="17D54EEB">
                  <w:pPr>
                    <w:jc w:val="center"/>
                    <w:rPr>
                      <w:color w:val="auto"/>
                      <w:sz w:val="21"/>
                      <w:szCs w:val="21"/>
                    </w:rPr>
                  </w:pPr>
                  <w:r>
                    <w:rPr>
                      <w:rFonts w:hint="eastAsia"/>
                      <w:color w:val="auto"/>
                      <w:sz w:val="21"/>
                      <w:szCs w:val="21"/>
                      <w:lang w:eastAsia="zh-CN"/>
                    </w:rPr>
                    <w:t>分析纯</w:t>
                  </w:r>
                  <w:r>
                    <w:rPr>
                      <w:rFonts w:hint="eastAsia"/>
                      <w:color w:val="auto"/>
                      <w:sz w:val="21"/>
                      <w:szCs w:val="21"/>
                      <w:lang w:val="en-US" w:eastAsia="zh-CN"/>
                    </w:rPr>
                    <w:t>500g</w:t>
                  </w:r>
                </w:p>
              </w:tc>
              <w:tc>
                <w:tcPr>
                  <w:tcW w:w="923" w:type="pct"/>
                  <w:tcBorders>
                    <w:tl2br w:val="nil"/>
                    <w:tr2bl w:val="nil"/>
                  </w:tcBorders>
                  <w:noWrap w:val="0"/>
                  <w:vAlign w:val="center"/>
                </w:tcPr>
                <w:p w14:paraId="2DB0DAA4">
                  <w:pPr>
                    <w:jc w:val="center"/>
                    <w:rPr>
                      <w:rFonts w:hint="default" w:eastAsia="宋体"/>
                      <w:color w:val="auto"/>
                      <w:sz w:val="21"/>
                      <w:szCs w:val="21"/>
                      <w:lang w:val="en-US" w:eastAsia="zh-CN"/>
                    </w:rPr>
                  </w:pPr>
                  <w:r>
                    <w:rPr>
                      <w:rFonts w:hint="eastAsia"/>
                      <w:color w:val="auto"/>
                      <w:sz w:val="21"/>
                      <w:szCs w:val="21"/>
                      <w:lang w:val="en-US" w:eastAsia="zh-CN"/>
                    </w:rPr>
                    <w:t>500g</w:t>
                  </w:r>
                </w:p>
              </w:tc>
              <w:tc>
                <w:tcPr>
                  <w:tcW w:w="742" w:type="pct"/>
                  <w:tcBorders>
                    <w:tl2br w:val="nil"/>
                    <w:tr2bl w:val="nil"/>
                  </w:tcBorders>
                  <w:noWrap w:val="0"/>
                  <w:vAlign w:val="center"/>
                </w:tcPr>
                <w:p w14:paraId="0A3657BD">
                  <w:pPr>
                    <w:jc w:val="center"/>
                    <w:rPr>
                      <w:rFonts w:hint="default" w:eastAsia="宋体"/>
                      <w:color w:val="auto"/>
                      <w:sz w:val="21"/>
                      <w:szCs w:val="21"/>
                      <w:lang w:val="en-US" w:eastAsia="zh-CN"/>
                    </w:rPr>
                  </w:pPr>
                  <w:r>
                    <w:rPr>
                      <w:rFonts w:hint="eastAsia"/>
                      <w:color w:val="auto"/>
                      <w:sz w:val="21"/>
                      <w:szCs w:val="21"/>
                      <w:lang w:val="en-US" w:eastAsia="zh-CN"/>
                    </w:rPr>
                    <w:t>500g</w:t>
                  </w:r>
                </w:p>
              </w:tc>
              <w:tc>
                <w:tcPr>
                  <w:tcW w:w="743" w:type="pct"/>
                  <w:vMerge w:val="continue"/>
                  <w:tcBorders>
                    <w:tl2br w:val="nil"/>
                    <w:tr2bl w:val="nil"/>
                  </w:tcBorders>
                  <w:noWrap w:val="0"/>
                  <w:vAlign w:val="center"/>
                </w:tcPr>
                <w:p w14:paraId="2CEEC895">
                  <w:pPr>
                    <w:jc w:val="center"/>
                    <w:rPr>
                      <w:color w:val="auto"/>
                      <w:sz w:val="21"/>
                      <w:szCs w:val="21"/>
                    </w:rPr>
                  </w:pPr>
                </w:p>
              </w:tc>
            </w:tr>
            <w:tr w14:paraId="209EC7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5" w:type="pct"/>
                  <w:tcBorders>
                    <w:tl2br w:val="nil"/>
                    <w:tr2bl w:val="nil"/>
                  </w:tcBorders>
                  <w:noWrap w:val="0"/>
                  <w:vAlign w:val="center"/>
                </w:tcPr>
                <w:p w14:paraId="0F1455ED">
                  <w:pPr>
                    <w:jc w:val="center"/>
                    <w:rPr>
                      <w:rFonts w:hint="default"/>
                      <w:color w:val="auto"/>
                      <w:sz w:val="21"/>
                      <w:szCs w:val="21"/>
                      <w:lang w:val="en-US" w:eastAsia="zh-CN"/>
                    </w:rPr>
                  </w:pPr>
                  <w:r>
                    <w:rPr>
                      <w:rFonts w:hint="eastAsia"/>
                      <w:color w:val="auto"/>
                      <w:sz w:val="21"/>
                      <w:szCs w:val="21"/>
                      <w:lang w:val="en-US" w:eastAsia="zh-CN"/>
                    </w:rPr>
                    <w:t>4</w:t>
                  </w:r>
                </w:p>
              </w:tc>
              <w:tc>
                <w:tcPr>
                  <w:tcW w:w="1142" w:type="pct"/>
                  <w:tcBorders>
                    <w:tl2br w:val="nil"/>
                    <w:tr2bl w:val="nil"/>
                  </w:tcBorders>
                  <w:noWrap w:val="0"/>
                  <w:vAlign w:val="center"/>
                </w:tcPr>
                <w:p w14:paraId="0C35DA6F">
                  <w:pPr>
                    <w:jc w:val="center"/>
                    <w:rPr>
                      <w:rFonts w:hint="eastAsia" w:eastAsia="宋体"/>
                      <w:color w:val="auto"/>
                      <w:sz w:val="21"/>
                      <w:szCs w:val="21"/>
                      <w:lang w:eastAsia="zh-CN"/>
                    </w:rPr>
                  </w:pPr>
                  <w:r>
                    <w:rPr>
                      <w:rFonts w:hint="eastAsia"/>
                      <w:color w:val="auto"/>
                      <w:sz w:val="21"/>
                      <w:szCs w:val="21"/>
                      <w:lang w:eastAsia="zh-CN"/>
                    </w:rPr>
                    <w:t>乙二胺四乙酸二钠</w:t>
                  </w:r>
                </w:p>
              </w:tc>
              <w:tc>
                <w:tcPr>
                  <w:tcW w:w="1002" w:type="pct"/>
                  <w:tcBorders>
                    <w:tl2br w:val="nil"/>
                    <w:tr2bl w:val="nil"/>
                  </w:tcBorders>
                  <w:noWrap w:val="0"/>
                  <w:vAlign w:val="center"/>
                </w:tcPr>
                <w:p w14:paraId="61028D1F">
                  <w:pPr>
                    <w:jc w:val="center"/>
                    <w:rPr>
                      <w:color w:val="auto"/>
                      <w:sz w:val="21"/>
                      <w:szCs w:val="21"/>
                    </w:rPr>
                  </w:pPr>
                  <w:r>
                    <w:rPr>
                      <w:rFonts w:hint="eastAsia"/>
                      <w:color w:val="auto"/>
                      <w:sz w:val="21"/>
                      <w:szCs w:val="21"/>
                      <w:lang w:eastAsia="zh-CN"/>
                    </w:rPr>
                    <w:t>分析纯</w:t>
                  </w:r>
                  <w:r>
                    <w:rPr>
                      <w:rFonts w:hint="eastAsia"/>
                      <w:color w:val="auto"/>
                      <w:sz w:val="21"/>
                      <w:szCs w:val="21"/>
                      <w:lang w:val="en-US" w:eastAsia="zh-CN"/>
                    </w:rPr>
                    <w:t>250g</w:t>
                  </w:r>
                </w:p>
              </w:tc>
              <w:tc>
                <w:tcPr>
                  <w:tcW w:w="923" w:type="pct"/>
                  <w:tcBorders>
                    <w:tl2br w:val="nil"/>
                    <w:tr2bl w:val="nil"/>
                  </w:tcBorders>
                  <w:noWrap w:val="0"/>
                  <w:vAlign w:val="center"/>
                </w:tcPr>
                <w:p w14:paraId="20940B7A">
                  <w:pPr>
                    <w:jc w:val="center"/>
                    <w:rPr>
                      <w:rFonts w:hint="default" w:eastAsia="宋体"/>
                      <w:color w:val="auto"/>
                      <w:sz w:val="21"/>
                      <w:szCs w:val="21"/>
                      <w:lang w:val="en-US" w:eastAsia="zh-CN"/>
                    </w:rPr>
                  </w:pPr>
                  <w:r>
                    <w:rPr>
                      <w:rFonts w:hint="eastAsia"/>
                      <w:color w:val="auto"/>
                      <w:sz w:val="21"/>
                      <w:szCs w:val="21"/>
                      <w:lang w:val="en-US" w:eastAsia="zh-CN"/>
                    </w:rPr>
                    <w:t>500g</w:t>
                  </w:r>
                </w:p>
              </w:tc>
              <w:tc>
                <w:tcPr>
                  <w:tcW w:w="742" w:type="pct"/>
                  <w:tcBorders>
                    <w:tl2br w:val="nil"/>
                    <w:tr2bl w:val="nil"/>
                  </w:tcBorders>
                  <w:noWrap w:val="0"/>
                  <w:vAlign w:val="center"/>
                </w:tcPr>
                <w:p w14:paraId="658E772E">
                  <w:pPr>
                    <w:jc w:val="center"/>
                    <w:rPr>
                      <w:rFonts w:hint="default" w:eastAsia="宋体"/>
                      <w:color w:val="auto"/>
                      <w:sz w:val="21"/>
                      <w:szCs w:val="21"/>
                      <w:lang w:val="en-US" w:eastAsia="zh-CN"/>
                    </w:rPr>
                  </w:pPr>
                  <w:r>
                    <w:rPr>
                      <w:rFonts w:hint="eastAsia"/>
                      <w:color w:val="auto"/>
                      <w:sz w:val="21"/>
                      <w:szCs w:val="21"/>
                      <w:lang w:val="en-US" w:eastAsia="zh-CN"/>
                    </w:rPr>
                    <w:t>500g</w:t>
                  </w:r>
                </w:p>
              </w:tc>
              <w:tc>
                <w:tcPr>
                  <w:tcW w:w="743" w:type="pct"/>
                  <w:vMerge w:val="continue"/>
                  <w:tcBorders>
                    <w:tl2br w:val="nil"/>
                    <w:tr2bl w:val="nil"/>
                  </w:tcBorders>
                  <w:noWrap w:val="0"/>
                  <w:vAlign w:val="center"/>
                </w:tcPr>
                <w:p w14:paraId="37B4A69E">
                  <w:pPr>
                    <w:jc w:val="center"/>
                    <w:rPr>
                      <w:color w:val="auto"/>
                      <w:sz w:val="21"/>
                      <w:szCs w:val="21"/>
                    </w:rPr>
                  </w:pPr>
                </w:p>
              </w:tc>
            </w:tr>
            <w:tr w14:paraId="2668AD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5" w:type="pct"/>
                  <w:tcBorders>
                    <w:tl2br w:val="nil"/>
                    <w:tr2bl w:val="nil"/>
                  </w:tcBorders>
                  <w:noWrap w:val="0"/>
                  <w:vAlign w:val="center"/>
                </w:tcPr>
                <w:p w14:paraId="34162572">
                  <w:pPr>
                    <w:jc w:val="center"/>
                    <w:rPr>
                      <w:rFonts w:hint="default"/>
                      <w:color w:val="auto"/>
                      <w:sz w:val="21"/>
                      <w:szCs w:val="21"/>
                      <w:lang w:val="en-US" w:eastAsia="zh-CN"/>
                    </w:rPr>
                  </w:pPr>
                  <w:r>
                    <w:rPr>
                      <w:rFonts w:hint="eastAsia"/>
                      <w:color w:val="auto"/>
                      <w:sz w:val="21"/>
                      <w:szCs w:val="21"/>
                      <w:lang w:val="en-US" w:eastAsia="zh-CN"/>
                    </w:rPr>
                    <w:t>5</w:t>
                  </w:r>
                </w:p>
              </w:tc>
              <w:tc>
                <w:tcPr>
                  <w:tcW w:w="1142" w:type="pct"/>
                  <w:tcBorders>
                    <w:tl2br w:val="nil"/>
                    <w:tr2bl w:val="nil"/>
                  </w:tcBorders>
                  <w:noWrap w:val="0"/>
                  <w:vAlign w:val="center"/>
                </w:tcPr>
                <w:p w14:paraId="763CA194">
                  <w:pPr>
                    <w:jc w:val="center"/>
                    <w:rPr>
                      <w:rFonts w:hint="eastAsia" w:eastAsia="宋体"/>
                      <w:color w:val="auto"/>
                      <w:sz w:val="21"/>
                      <w:szCs w:val="21"/>
                      <w:lang w:val="en-US" w:eastAsia="zh-CN"/>
                    </w:rPr>
                  </w:pPr>
                  <w:r>
                    <w:rPr>
                      <w:rFonts w:hint="eastAsia"/>
                      <w:color w:val="auto"/>
                      <w:sz w:val="21"/>
                      <w:szCs w:val="21"/>
                      <w:lang w:val="en-US" w:eastAsia="zh-CN"/>
                    </w:rPr>
                    <w:t>蔗糖</w:t>
                  </w:r>
                </w:p>
              </w:tc>
              <w:tc>
                <w:tcPr>
                  <w:tcW w:w="1002" w:type="pct"/>
                  <w:tcBorders>
                    <w:tl2br w:val="nil"/>
                    <w:tr2bl w:val="nil"/>
                  </w:tcBorders>
                  <w:noWrap w:val="0"/>
                  <w:vAlign w:val="center"/>
                </w:tcPr>
                <w:p w14:paraId="19872F39">
                  <w:pPr>
                    <w:jc w:val="center"/>
                    <w:rPr>
                      <w:color w:val="auto"/>
                      <w:sz w:val="21"/>
                      <w:szCs w:val="21"/>
                    </w:rPr>
                  </w:pPr>
                  <w:r>
                    <w:rPr>
                      <w:rFonts w:hint="eastAsia"/>
                      <w:color w:val="auto"/>
                      <w:sz w:val="21"/>
                      <w:szCs w:val="21"/>
                      <w:lang w:eastAsia="zh-CN"/>
                    </w:rPr>
                    <w:t>分析纯</w:t>
                  </w:r>
                  <w:r>
                    <w:rPr>
                      <w:rFonts w:hint="eastAsia"/>
                      <w:color w:val="auto"/>
                      <w:sz w:val="21"/>
                      <w:szCs w:val="21"/>
                      <w:lang w:val="en-US" w:eastAsia="zh-CN"/>
                    </w:rPr>
                    <w:t>500g</w:t>
                  </w:r>
                </w:p>
              </w:tc>
              <w:tc>
                <w:tcPr>
                  <w:tcW w:w="923" w:type="pct"/>
                  <w:tcBorders>
                    <w:tl2br w:val="nil"/>
                    <w:tr2bl w:val="nil"/>
                  </w:tcBorders>
                  <w:noWrap w:val="0"/>
                  <w:vAlign w:val="center"/>
                </w:tcPr>
                <w:p w14:paraId="7A6A16FE">
                  <w:pPr>
                    <w:jc w:val="center"/>
                    <w:rPr>
                      <w:color w:val="auto"/>
                      <w:sz w:val="21"/>
                      <w:szCs w:val="21"/>
                    </w:rPr>
                  </w:pPr>
                  <w:r>
                    <w:rPr>
                      <w:rFonts w:hint="eastAsia"/>
                      <w:color w:val="auto"/>
                      <w:sz w:val="21"/>
                      <w:szCs w:val="21"/>
                      <w:lang w:val="en-US" w:eastAsia="zh-CN"/>
                    </w:rPr>
                    <w:t>500g</w:t>
                  </w:r>
                </w:p>
              </w:tc>
              <w:tc>
                <w:tcPr>
                  <w:tcW w:w="742" w:type="pct"/>
                  <w:tcBorders>
                    <w:tl2br w:val="nil"/>
                    <w:tr2bl w:val="nil"/>
                  </w:tcBorders>
                  <w:noWrap w:val="0"/>
                  <w:vAlign w:val="center"/>
                </w:tcPr>
                <w:p w14:paraId="380E5074">
                  <w:pPr>
                    <w:jc w:val="center"/>
                    <w:rPr>
                      <w:color w:val="auto"/>
                      <w:sz w:val="21"/>
                      <w:szCs w:val="21"/>
                    </w:rPr>
                  </w:pPr>
                  <w:r>
                    <w:rPr>
                      <w:rFonts w:hint="eastAsia"/>
                      <w:color w:val="auto"/>
                      <w:sz w:val="21"/>
                      <w:szCs w:val="21"/>
                      <w:lang w:val="en-US" w:eastAsia="zh-CN"/>
                    </w:rPr>
                    <w:t>500g</w:t>
                  </w:r>
                </w:p>
              </w:tc>
              <w:tc>
                <w:tcPr>
                  <w:tcW w:w="743" w:type="pct"/>
                  <w:vMerge w:val="continue"/>
                  <w:tcBorders>
                    <w:tl2br w:val="nil"/>
                    <w:tr2bl w:val="nil"/>
                  </w:tcBorders>
                  <w:noWrap w:val="0"/>
                  <w:vAlign w:val="center"/>
                </w:tcPr>
                <w:p w14:paraId="4D21E950">
                  <w:pPr>
                    <w:jc w:val="center"/>
                    <w:rPr>
                      <w:color w:val="auto"/>
                      <w:sz w:val="21"/>
                      <w:szCs w:val="21"/>
                    </w:rPr>
                  </w:pPr>
                </w:p>
              </w:tc>
            </w:tr>
            <w:tr w14:paraId="29DA6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5" w:type="pct"/>
                  <w:tcBorders>
                    <w:tl2br w:val="nil"/>
                    <w:tr2bl w:val="nil"/>
                  </w:tcBorders>
                  <w:noWrap w:val="0"/>
                  <w:vAlign w:val="center"/>
                </w:tcPr>
                <w:p w14:paraId="515A3AB6">
                  <w:pPr>
                    <w:jc w:val="center"/>
                    <w:rPr>
                      <w:rFonts w:hint="default"/>
                      <w:color w:val="auto"/>
                      <w:sz w:val="21"/>
                      <w:szCs w:val="21"/>
                      <w:lang w:val="en-US" w:eastAsia="zh-CN"/>
                    </w:rPr>
                  </w:pPr>
                  <w:r>
                    <w:rPr>
                      <w:rFonts w:hint="eastAsia"/>
                      <w:color w:val="auto"/>
                      <w:sz w:val="21"/>
                      <w:szCs w:val="21"/>
                      <w:lang w:val="en-US" w:eastAsia="zh-CN"/>
                    </w:rPr>
                    <w:t>6</w:t>
                  </w:r>
                </w:p>
              </w:tc>
              <w:tc>
                <w:tcPr>
                  <w:tcW w:w="1142" w:type="pct"/>
                  <w:tcBorders>
                    <w:tl2br w:val="nil"/>
                    <w:tr2bl w:val="nil"/>
                  </w:tcBorders>
                  <w:noWrap w:val="0"/>
                  <w:vAlign w:val="center"/>
                </w:tcPr>
                <w:p w14:paraId="65BB72D2">
                  <w:pPr>
                    <w:jc w:val="center"/>
                    <w:rPr>
                      <w:rFonts w:hint="eastAsia" w:eastAsia="宋体"/>
                      <w:color w:val="auto"/>
                      <w:sz w:val="21"/>
                      <w:szCs w:val="21"/>
                      <w:lang w:eastAsia="zh-CN"/>
                    </w:rPr>
                  </w:pPr>
                  <w:r>
                    <w:rPr>
                      <w:rFonts w:hint="eastAsia"/>
                      <w:color w:val="auto"/>
                      <w:sz w:val="21"/>
                      <w:szCs w:val="21"/>
                      <w:lang w:eastAsia="zh-CN"/>
                    </w:rPr>
                    <w:t>酒石酸钾钠</w:t>
                  </w:r>
                </w:p>
              </w:tc>
              <w:tc>
                <w:tcPr>
                  <w:tcW w:w="1002" w:type="pct"/>
                  <w:tcBorders>
                    <w:tl2br w:val="nil"/>
                    <w:tr2bl w:val="nil"/>
                  </w:tcBorders>
                  <w:noWrap w:val="0"/>
                  <w:vAlign w:val="center"/>
                </w:tcPr>
                <w:p w14:paraId="0C476483">
                  <w:pPr>
                    <w:jc w:val="center"/>
                    <w:rPr>
                      <w:color w:val="auto"/>
                      <w:sz w:val="21"/>
                      <w:szCs w:val="21"/>
                    </w:rPr>
                  </w:pPr>
                  <w:r>
                    <w:rPr>
                      <w:rFonts w:hint="eastAsia"/>
                      <w:color w:val="auto"/>
                      <w:sz w:val="21"/>
                      <w:szCs w:val="21"/>
                      <w:lang w:eastAsia="zh-CN"/>
                    </w:rPr>
                    <w:t>分析纯</w:t>
                  </w:r>
                  <w:r>
                    <w:rPr>
                      <w:rFonts w:hint="eastAsia"/>
                      <w:color w:val="auto"/>
                      <w:sz w:val="21"/>
                      <w:szCs w:val="21"/>
                      <w:lang w:val="en-US" w:eastAsia="zh-CN"/>
                    </w:rPr>
                    <w:t>500g</w:t>
                  </w:r>
                </w:p>
              </w:tc>
              <w:tc>
                <w:tcPr>
                  <w:tcW w:w="923" w:type="pct"/>
                  <w:tcBorders>
                    <w:tl2br w:val="nil"/>
                    <w:tr2bl w:val="nil"/>
                  </w:tcBorders>
                  <w:noWrap w:val="0"/>
                  <w:vAlign w:val="center"/>
                </w:tcPr>
                <w:p w14:paraId="6B32C5E3">
                  <w:pPr>
                    <w:jc w:val="center"/>
                    <w:rPr>
                      <w:color w:val="auto"/>
                      <w:sz w:val="21"/>
                      <w:szCs w:val="21"/>
                    </w:rPr>
                  </w:pPr>
                  <w:r>
                    <w:rPr>
                      <w:rFonts w:hint="eastAsia"/>
                      <w:color w:val="auto"/>
                      <w:sz w:val="21"/>
                      <w:szCs w:val="21"/>
                      <w:lang w:val="en-US" w:eastAsia="zh-CN"/>
                    </w:rPr>
                    <w:t>500g</w:t>
                  </w:r>
                </w:p>
              </w:tc>
              <w:tc>
                <w:tcPr>
                  <w:tcW w:w="742" w:type="pct"/>
                  <w:tcBorders>
                    <w:tl2br w:val="nil"/>
                    <w:tr2bl w:val="nil"/>
                  </w:tcBorders>
                  <w:noWrap w:val="0"/>
                  <w:vAlign w:val="center"/>
                </w:tcPr>
                <w:p w14:paraId="1D1E2795">
                  <w:pPr>
                    <w:jc w:val="center"/>
                    <w:rPr>
                      <w:color w:val="auto"/>
                      <w:sz w:val="21"/>
                      <w:szCs w:val="21"/>
                    </w:rPr>
                  </w:pPr>
                  <w:r>
                    <w:rPr>
                      <w:rFonts w:hint="eastAsia"/>
                      <w:color w:val="auto"/>
                      <w:sz w:val="21"/>
                      <w:szCs w:val="21"/>
                      <w:lang w:val="en-US" w:eastAsia="zh-CN"/>
                    </w:rPr>
                    <w:t>500g</w:t>
                  </w:r>
                </w:p>
              </w:tc>
              <w:tc>
                <w:tcPr>
                  <w:tcW w:w="743" w:type="pct"/>
                  <w:vMerge w:val="continue"/>
                  <w:tcBorders>
                    <w:tl2br w:val="nil"/>
                    <w:tr2bl w:val="nil"/>
                  </w:tcBorders>
                  <w:noWrap w:val="0"/>
                  <w:vAlign w:val="center"/>
                </w:tcPr>
                <w:p w14:paraId="3F4DECF1">
                  <w:pPr>
                    <w:jc w:val="center"/>
                    <w:rPr>
                      <w:color w:val="auto"/>
                      <w:sz w:val="21"/>
                      <w:szCs w:val="21"/>
                    </w:rPr>
                  </w:pPr>
                </w:p>
              </w:tc>
            </w:tr>
            <w:tr w14:paraId="2D15AF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5" w:type="pct"/>
                  <w:tcBorders>
                    <w:tl2br w:val="nil"/>
                    <w:tr2bl w:val="nil"/>
                  </w:tcBorders>
                  <w:noWrap w:val="0"/>
                  <w:vAlign w:val="center"/>
                </w:tcPr>
                <w:p w14:paraId="15FE9D6B">
                  <w:pPr>
                    <w:jc w:val="center"/>
                    <w:rPr>
                      <w:rFonts w:hint="default"/>
                      <w:color w:val="auto"/>
                      <w:sz w:val="21"/>
                      <w:szCs w:val="21"/>
                      <w:lang w:val="en-US" w:eastAsia="zh-CN"/>
                    </w:rPr>
                  </w:pPr>
                  <w:r>
                    <w:rPr>
                      <w:rFonts w:hint="eastAsia"/>
                      <w:color w:val="auto"/>
                      <w:sz w:val="21"/>
                      <w:szCs w:val="21"/>
                      <w:lang w:val="en-US" w:eastAsia="zh-CN"/>
                    </w:rPr>
                    <w:t>7</w:t>
                  </w:r>
                </w:p>
              </w:tc>
              <w:tc>
                <w:tcPr>
                  <w:tcW w:w="1142" w:type="pct"/>
                  <w:tcBorders>
                    <w:tl2br w:val="nil"/>
                    <w:tr2bl w:val="nil"/>
                  </w:tcBorders>
                  <w:noWrap w:val="0"/>
                  <w:vAlign w:val="center"/>
                </w:tcPr>
                <w:p w14:paraId="1A81535D">
                  <w:pPr>
                    <w:jc w:val="center"/>
                    <w:rPr>
                      <w:rFonts w:hint="eastAsia" w:eastAsia="宋体"/>
                      <w:color w:val="auto"/>
                      <w:sz w:val="21"/>
                      <w:szCs w:val="21"/>
                      <w:lang w:eastAsia="zh-CN"/>
                    </w:rPr>
                  </w:pPr>
                  <w:r>
                    <w:rPr>
                      <w:rFonts w:hint="eastAsia"/>
                      <w:color w:val="auto"/>
                      <w:sz w:val="21"/>
                      <w:szCs w:val="21"/>
                      <w:lang w:eastAsia="zh-CN"/>
                    </w:rPr>
                    <w:t>三乙醇胺</w:t>
                  </w:r>
                </w:p>
              </w:tc>
              <w:tc>
                <w:tcPr>
                  <w:tcW w:w="1002" w:type="pct"/>
                  <w:tcBorders>
                    <w:tl2br w:val="nil"/>
                    <w:tr2bl w:val="nil"/>
                  </w:tcBorders>
                  <w:noWrap w:val="0"/>
                  <w:vAlign w:val="center"/>
                </w:tcPr>
                <w:p w14:paraId="2B685FAC">
                  <w:pPr>
                    <w:jc w:val="center"/>
                    <w:rPr>
                      <w:color w:val="auto"/>
                      <w:sz w:val="21"/>
                      <w:szCs w:val="21"/>
                    </w:rPr>
                  </w:pPr>
                  <w:r>
                    <w:rPr>
                      <w:color w:val="auto"/>
                      <w:sz w:val="21"/>
                      <w:szCs w:val="21"/>
                    </w:rPr>
                    <w:t>分析纯500m</w:t>
                  </w:r>
                  <w:r>
                    <w:rPr>
                      <w:rFonts w:hint="eastAsia"/>
                      <w:color w:val="auto"/>
                      <w:sz w:val="21"/>
                      <w:szCs w:val="21"/>
                      <w:lang w:val="en-US" w:eastAsia="zh-CN"/>
                    </w:rPr>
                    <w:t>L</w:t>
                  </w:r>
                </w:p>
              </w:tc>
              <w:tc>
                <w:tcPr>
                  <w:tcW w:w="923" w:type="pct"/>
                  <w:tcBorders>
                    <w:tl2br w:val="nil"/>
                    <w:tr2bl w:val="nil"/>
                  </w:tcBorders>
                  <w:noWrap w:val="0"/>
                  <w:vAlign w:val="center"/>
                </w:tcPr>
                <w:p w14:paraId="25D3467A">
                  <w:pPr>
                    <w:jc w:val="center"/>
                    <w:rPr>
                      <w:color w:val="auto"/>
                      <w:sz w:val="21"/>
                      <w:szCs w:val="21"/>
                    </w:rPr>
                  </w:pPr>
                  <w:r>
                    <w:rPr>
                      <w:rFonts w:hint="eastAsia"/>
                      <w:color w:val="auto"/>
                      <w:sz w:val="21"/>
                      <w:szCs w:val="21"/>
                      <w:lang w:val="en-US" w:eastAsia="zh-CN"/>
                    </w:rPr>
                    <w:t>500</w:t>
                  </w:r>
                  <w:r>
                    <w:rPr>
                      <w:color w:val="auto"/>
                      <w:sz w:val="21"/>
                      <w:szCs w:val="21"/>
                    </w:rPr>
                    <w:t>m</w:t>
                  </w:r>
                  <w:r>
                    <w:rPr>
                      <w:rFonts w:hint="eastAsia"/>
                      <w:color w:val="auto"/>
                      <w:sz w:val="21"/>
                      <w:szCs w:val="21"/>
                      <w:lang w:val="en-US" w:eastAsia="zh-CN"/>
                    </w:rPr>
                    <w:t>L</w:t>
                  </w:r>
                </w:p>
              </w:tc>
              <w:tc>
                <w:tcPr>
                  <w:tcW w:w="742" w:type="pct"/>
                  <w:tcBorders>
                    <w:tl2br w:val="nil"/>
                    <w:tr2bl w:val="nil"/>
                  </w:tcBorders>
                  <w:noWrap w:val="0"/>
                  <w:vAlign w:val="center"/>
                </w:tcPr>
                <w:p w14:paraId="7021DD5E">
                  <w:pPr>
                    <w:jc w:val="center"/>
                    <w:rPr>
                      <w:color w:val="auto"/>
                      <w:sz w:val="21"/>
                      <w:szCs w:val="21"/>
                    </w:rPr>
                  </w:pPr>
                  <w:r>
                    <w:rPr>
                      <w:rFonts w:hint="eastAsia"/>
                      <w:color w:val="auto"/>
                      <w:sz w:val="21"/>
                      <w:szCs w:val="21"/>
                      <w:lang w:val="en-US" w:eastAsia="zh-CN"/>
                    </w:rPr>
                    <w:t>500mL</w:t>
                  </w:r>
                </w:p>
              </w:tc>
              <w:tc>
                <w:tcPr>
                  <w:tcW w:w="743" w:type="pct"/>
                  <w:vMerge w:val="continue"/>
                  <w:tcBorders>
                    <w:tl2br w:val="nil"/>
                    <w:tr2bl w:val="nil"/>
                  </w:tcBorders>
                  <w:noWrap w:val="0"/>
                  <w:vAlign w:val="center"/>
                </w:tcPr>
                <w:p w14:paraId="47F66F34">
                  <w:pPr>
                    <w:jc w:val="center"/>
                    <w:rPr>
                      <w:rFonts w:hint="eastAsia" w:eastAsia="宋体"/>
                      <w:color w:val="auto"/>
                      <w:sz w:val="21"/>
                      <w:szCs w:val="21"/>
                      <w:lang w:eastAsia="zh-CN"/>
                    </w:rPr>
                  </w:pPr>
                </w:p>
              </w:tc>
            </w:tr>
            <w:tr w14:paraId="23D008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45" w:type="pct"/>
                  <w:tcBorders>
                    <w:tl2br w:val="nil"/>
                    <w:tr2bl w:val="nil"/>
                  </w:tcBorders>
                  <w:noWrap w:val="0"/>
                  <w:vAlign w:val="center"/>
                </w:tcPr>
                <w:p w14:paraId="704D105B">
                  <w:pPr>
                    <w:jc w:val="center"/>
                    <w:rPr>
                      <w:rFonts w:hint="default"/>
                      <w:color w:val="auto"/>
                      <w:sz w:val="21"/>
                      <w:szCs w:val="21"/>
                      <w:lang w:val="en-US" w:eastAsia="zh-CN"/>
                    </w:rPr>
                  </w:pPr>
                  <w:r>
                    <w:rPr>
                      <w:rFonts w:hint="eastAsia"/>
                      <w:color w:val="auto"/>
                      <w:sz w:val="21"/>
                      <w:szCs w:val="21"/>
                      <w:lang w:val="en-US" w:eastAsia="zh-CN"/>
                    </w:rPr>
                    <w:t>8</w:t>
                  </w:r>
                </w:p>
              </w:tc>
              <w:tc>
                <w:tcPr>
                  <w:tcW w:w="1142" w:type="pct"/>
                  <w:tcBorders>
                    <w:tl2br w:val="nil"/>
                    <w:tr2bl w:val="nil"/>
                  </w:tcBorders>
                  <w:noWrap w:val="0"/>
                  <w:vAlign w:val="center"/>
                </w:tcPr>
                <w:p w14:paraId="47569A3A">
                  <w:pPr>
                    <w:jc w:val="center"/>
                    <w:rPr>
                      <w:rFonts w:hint="eastAsia" w:eastAsia="宋体"/>
                      <w:color w:val="auto"/>
                      <w:sz w:val="21"/>
                      <w:szCs w:val="21"/>
                      <w:lang w:eastAsia="zh-CN"/>
                    </w:rPr>
                  </w:pPr>
                  <w:r>
                    <w:rPr>
                      <w:rFonts w:hint="eastAsia"/>
                      <w:color w:val="auto"/>
                      <w:sz w:val="21"/>
                      <w:szCs w:val="21"/>
                      <w:lang w:eastAsia="zh-CN"/>
                    </w:rPr>
                    <w:t>盐酸</w:t>
                  </w:r>
                </w:p>
              </w:tc>
              <w:tc>
                <w:tcPr>
                  <w:tcW w:w="1002" w:type="pct"/>
                  <w:tcBorders>
                    <w:tl2br w:val="nil"/>
                    <w:tr2bl w:val="nil"/>
                  </w:tcBorders>
                  <w:noWrap w:val="0"/>
                  <w:vAlign w:val="center"/>
                </w:tcPr>
                <w:p w14:paraId="68EBC804">
                  <w:pPr>
                    <w:jc w:val="center"/>
                    <w:rPr>
                      <w:rFonts w:hint="default" w:eastAsia="宋体"/>
                      <w:color w:val="auto"/>
                      <w:sz w:val="21"/>
                      <w:szCs w:val="21"/>
                      <w:lang w:val="en-US" w:eastAsia="zh-CN"/>
                    </w:rPr>
                  </w:pPr>
                  <w:r>
                    <w:rPr>
                      <w:color w:val="auto"/>
                      <w:sz w:val="21"/>
                      <w:szCs w:val="21"/>
                    </w:rPr>
                    <w:t>分析纯</w:t>
                  </w:r>
                  <w:r>
                    <w:rPr>
                      <w:rFonts w:hint="eastAsia"/>
                      <w:color w:val="auto"/>
                      <w:sz w:val="21"/>
                      <w:szCs w:val="21"/>
                      <w:lang w:val="en-US" w:eastAsia="zh-CN"/>
                    </w:rPr>
                    <w:t>2</w:t>
                  </w:r>
                  <w:r>
                    <w:rPr>
                      <w:color w:val="auto"/>
                      <w:sz w:val="21"/>
                      <w:szCs w:val="21"/>
                    </w:rPr>
                    <w:t>00m</w:t>
                  </w:r>
                  <w:r>
                    <w:rPr>
                      <w:rFonts w:hint="eastAsia"/>
                      <w:color w:val="auto"/>
                      <w:sz w:val="21"/>
                      <w:szCs w:val="21"/>
                      <w:lang w:val="en-US" w:eastAsia="zh-CN"/>
                    </w:rPr>
                    <w:t>L</w:t>
                  </w:r>
                </w:p>
              </w:tc>
              <w:tc>
                <w:tcPr>
                  <w:tcW w:w="923" w:type="pct"/>
                  <w:tcBorders>
                    <w:tl2br w:val="nil"/>
                    <w:tr2bl w:val="nil"/>
                  </w:tcBorders>
                  <w:noWrap w:val="0"/>
                  <w:vAlign w:val="center"/>
                </w:tcPr>
                <w:p w14:paraId="3697CBF1">
                  <w:pPr>
                    <w:jc w:val="center"/>
                    <w:rPr>
                      <w:rFonts w:hint="default" w:eastAsia="宋体"/>
                      <w:color w:val="auto"/>
                      <w:sz w:val="21"/>
                      <w:szCs w:val="21"/>
                      <w:lang w:val="en-US" w:eastAsia="zh-CN"/>
                    </w:rPr>
                  </w:pPr>
                  <w:r>
                    <w:rPr>
                      <w:rFonts w:hint="eastAsia"/>
                      <w:color w:val="auto"/>
                      <w:sz w:val="21"/>
                      <w:szCs w:val="21"/>
                      <w:lang w:val="en-US" w:eastAsia="zh-CN"/>
                    </w:rPr>
                    <w:t>600mL</w:t>
                  </w:r>
                </w:p>
              </w:tc>
              <w:tc>
                <w:tcPr>
                  <w:tcW w:w="742" w:type="pct"/>
                  <w:tcBorders>
                    <w:tl2br w:val="nil"/>
                    <w:tr2bl w:val="nil"/>
                  </w:tcBorders>
                  <w:noWrap w:val="0"/>
                  <w:vAlign w:val="center"/>
                </w:tcPr>
                <w:p w14:paraId="4011DF50">
                  <w:pPr>
                    <w:jc w:val="center"/>
                    <w:rPr>
                      <w:rFonts w:hint="eastAsia" w:eastAsia="宋体"/>
                      <w:color w:val="auto"/>
                      <w:sz w:val="21"/>
                      <w:szCs w:val="21"/>
                      <w:lang w:val="en-US" w:eastAsia="zh-CN"/>
                    </w:rPr>
                  </w:pPr>
                  <w:r>
                    <w:rPr>
                      <w:rFonts w:hint="eastAsia"/>
                      <w:color w:val="auto"/>
                      <w:sz w:val="21"/>
                      <w:szCs w:val="21"/>
                      <w:lang w:val="en-US" w:eastAsia="zh-CN"/>
                    </w:rPr>
                    <w:t>600mL</w:t>
                  </w:r>
                </w:p>
              </w:tc>
              <w:tc>
                <w:tcPr>
                  <w:tcW w:w="743" w:type="pct"/>
                  <w:vMerge w:val="continue"/>
                  <w:tcBorders>
                    <w:tl2br w:val="nil"/>
                    <w:tr2bl w:val="nil"/>
                  </w:tcBorders>
                  <w:noWrap w:val="0"/>
                  <w:vAlign w:val="center"/>
                </w:tcPr>
                <w:p w14:paraId="53CA0703">
                  <w:pPr>
                    <w:jc w:val="center"/>
                    <w:rPr>
                      <w:rFonts w:hint="eastAsia" w:eastAsia="宋体"/>
                      <w:color w:val="auto"/>
                      <w:sz w:val="21"/>
                      <w:szCs w:val="21"/>
                      <w:lang w:eastAsia="zh-CN"/>
                    </w:rPr>
                  </w:pPr>
                </w:p>
              </w:tc>
            </w:tr>
          </w:tbl>
          <w:p w14:paraId="6807F4DD">
            <w:pPr>
              <w:widowControl/>
              <w:jc w:val="center"/>
              <w:rPr>
                <w:rFonts w:ascii="Times New Roman" w:hAnsi="Times New Roman" w:eastAsia="宋体" w:cs="Times New Roman"/>
                <w:b/>
                <w:color w:val="auto"/>
                <w:sz w:val="24"/>
              </w:rPr>
            </w:pPr>
            <w:r>
              <w:rPr>
                <w:rFonts w:ascii="Times New Roman" w:hAnsi="Times New Roman" w:eastAsia="宋体" w:cs="Times New Roman"/>
                <w:b/>
                <w:color w:val="auto"/>
                <w:sz w:val="24"/>
              </w:rPr>
              <w:t>表2-</w:t>
            </w:r>
            <w:r>
              <w:rPr>
                <w:rFonts w:hint="eastAsia" w:ascii="Times New Roman" w:hAnsi="Times New Roman" w:eastAsia="宋体" w:cs="Times New Roman"/>
                <w:b/>
                <w:color w:val="auto"/>
                <w:sz w:val="24"/>
                <w:lang w:val="en-US" w:eastAsia="zh-CN"/>
              </w:rPr>
              <w:t>5</w:t>
            </w:r>
            <w:r>
              <w:rPr>
                <w:rFonts w:ascii="Times New Roman" w:hAnsi="Times New Roman" w:eastAsia="宋体" w:cs="Times New Roman"/>
                <w:b/>
                <w:color w:val="auto"/>
                <w:sz w:val="24"/>
              </w:rPr>
              <w:t xml:space="preserve"> </w:t>
            </w:r>
            <w:r>
              <w:rPr>
                <w:rFonts w:hint="eastAsia" w:ascii="Times New Roman" w:hAnsi="Times New Roman" w:eastAsia="宋体" w:cs="Times New Roman"/>
                <w:b/>
                <w:color w:val="auto"/>
                <w:sz w:val="24"/>
                <w:lang w:val="en-US" w:eastAsia="zh-CN"/>
              </w:rPr>
              <w:t xml:space="preserve">  </w:t>
            </w:r>
            <w:r>
              <w:rPr>
                <w:rFonts w:ascii="Times New Roman" w:hAnsi="Times New Roman" w:eastAsia="宋体" w:cs="Times New Roman"/>
                <w:b/>
                <w:color w:val="auto"/>
                <w:sz w:val="24"/>
              </w:rPr>
              <w:t>建设项目理化性质</w:t>
            </w:r>
          </w:p>
          <w:tbl>
            <w:tblPr>
              <w:tblStyle w:val="28"/>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427"/>
              <w:gridCol w:w="696"/>
              <w:gridCol w:w="1532"/>
              <w:gridCol w:w="4127"/>
              <w:gridCol w:w="2514"/>
            </w:tblGrid>
            <w:tr w14:paraId="688B9F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19" w:hRule="atLeast"/>
                <w:jc w:val="center"/>
              </w:trPr>
              <w:tc>
                <w:tcPr>
                  <w:tcW w:w="222" w:type="pct"/>
                  <w:noWrap w:val="0"/>
                  <w:vAlign w:val="center"/>
                </w:tcPr>
                <w:p w14:paraId="4A0D0CDB">
                  <w:pPr>
                    <w:widowControl/>
                    <w:jc w:val="center"/>
                    <w:textAlignment w:val="center"/>
                    <w:rPr>
                      <w:b/>
                      <w:bCs/>
                      <w:color w:val="auto"/>
                      <w:szCs w:val="21"/>
                      <w:highlight w:val="none"/>
                    </w:rPr>
                  </w:pPr>
                  <w:r>
                    <w:rPr>
                      <w:b/>
                      <w:bCs/>
                      <w:color w:val="auto"/>
                      <w:kern w:val="0"/>
                      <w:szCs w:val="21"/>
                      <w:highlight w:val="none"/>
                      <w:lang w:bidi="ar"/>
                    </w:rPr>
                    <w:t>序号</w:t>
                  </w:r>
                </w:p>
              </w:tc>
              <w:tc>
                <w:tcPr>
                  <w:tcW w:w="478" w:type="pct"/>
                  <w:noWrap w:val="0"/>
                  <w:vAlign w:val="center"/>
                </w:tcPr>
                <w:p w14:paraId="38D7309E">
                  <w:pPr>
                    <w:widowControl/>
                    <w:jc w:val="center"/>
                    <w:textAlignment w:val="center"/>
                    <w:rPr>
                      <w:b/>
                      <w:bCs/>
                      <w:color w:val="auto"/>
                      <w:szCs w:val="21"/>
                      <w:highlight w:val="none"/>
                    </w:rPr>
                  </w:pPr>
                  <w:r>
                    <w:rPr>
                      <w:b/>
                      <w:bCs/>
                      <w:color w:val="auto"/>
                      <w:kern w:val="0"/>
                      <w:szCs w:val="21"/>
                      <w:highlight w:val="none"/>
                      <w:lang w:bidi="ar"/>
                    </w:rPr>
                    <w:t>名称</w:t>
                  </w:r>
                </w:p>
              </w:tc>
              <w:tc>
                <w:tcPr>
                  <w:tcW w:w="521" w:type="pct"/>
                  <w:noWrap w:val="0"/>
                  <w:vAlign w:val="center"/>
                </w:tcPr>
                <w:p w14:paraId="76F6326A">
                  <w:pPr>
                    <w:widowControl/>
                    <w:jc w:val="center"/>
                    <w:textAlignment w:val="center"/>
                    <w:rPr>
                      <w:b/>
                      <w:bCs/>
                      <w:color w:val="auto"/>
                      <w:szCs w:val="21"/>
                      <w:highlight w:val="none"/>
                    </w:rPr>
                  </w:pPr>
                  <w:r>
                    <w:rPr>
                      <w:b/>
                      <w:bCs/>
                      <w:color w:val="auto"/>
                      <w:kern w:val="0"/>
                      <w:szCs w:val="21"/>
                      <w:highlight w:val="none"/>
                      <w:lang w:bidi="ar"/>
                    </w:rPr>
                    <w:t>分子式</w:t>
                  </w:r>
                </w:p>
              </w:tc>
              <w:tc>
                <w:tcPr>
                  <w:tcW w:w="2322" w:type="pct"/>
                  <w:noWrap w:val="0"/>
                  <w:vAlign w:val="center"/>
                </w:tcPr>
                <w:p w14:paraId="2C9E4245">
                  <w:pPr>
                    <w:widowControl/>
                    <w:jc w:val="center"/>
                    <w:textAlignment w:val="center"/>
                    <w:rPr>
                      <w:b/>
                      <w:bCs/>
                      <w:color w:val="auto"/>
                      <w:szCs w:val="21"/>
                      <w:highlight w:val="none"/>
                    </w:rPr>
                  </w:pPr>
                  <w:r>
                    <w:rPr>
                      <w:b/>
                      <w:bCs/>
                      <w:color w:val="auto"/>
                      <w:kern w:val="0"/>
                      <w:szCs w:val="21"/>
                      <w:highlight w:val="none"/>
                      <w:lang w:bidi="ar"/>
                    </w:rPr>
                    <w:t>理化性质</w:t>
                  </w:r>
                </w:p>
              </w:tc>
              <w:tc>
                <w:tcPr>
                  <w:tcW w:w="1455" w:type="pct"/>
                  <w:noWrap w:val="0"/>
                  <w:vAlign w:val="center"/>
                </w:tcPr>
                <w:p w14:paraId="32EB02D4">
                  <w:pPr>
                    <w:widowControl/>
                    <w:jc w:val="center"/>
                    <w:textAlignment w:val="center"/>
                    <w:rPr>
                      <w:b/>
                      <w:bCs/>
                      <w:color w:val="auto"/>
                      <w:szCs w:val="21"/>
                      <w:highlight w:val="none"/>
                    </w:rPr>
                  </w:pPr>
                  <w:r>
                    <w:rPr>
                      <w:b/>
                      <w:bCs/>
                      <w:color w:val="auto"/>
                      <w:kern w:val="0"/>
                      <w:szCs w:val="21"/>
                      <w:highlight w:val="none"/>
                      <w:lang w:bidi="ar"/>
                    </w:rPr>
                    <w:t>毒理性</w:t>
                  </w:r>
                </w:p>
              </w:tc>
            </w:tr>
            <w:tr w14:paraId="0B648E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22" w:type="pct"/>
                  <w:noWrap w:val="0"/>
                  <w:vAlign w:val="center"/>
                </w:tcPr>
                <w:p w14:paraId="5D9DF038">
                  <w:pPr>
                    <w:widowControl/>
                    <w:jc w:val="center"/>
                    <w:textAlignment w:val="center"/>
                    <w:rPr>
                      <w:rFonts w:hint="default"/>
                      <w:color w:val="auto"/>
                      <w:kern w:val="0"/>
                      <w:szCs w:val="21"/>
                      <w:highlight w:val="none"/>
                      <w:lang w:val="en-US" w:eastAsia="zh-CN" w:bidi="ar"/>
                    </w:rPr>
                  </w:pPr>
                  <w:r>
                    <w:rPr>
                      <w:rFonts w:hint="eastAsia"/>
                      <w:color w:val="auto"/>
                      <w:kern w:val="0"/>
                      <w:szCs w:val="21"/>
                      <w:highlight w:val="none"/>
                      <w:lang w:val="en-US" w:eastAsia="zh-CN" w:bidi="ar"/>
                    </w:rPr>
                    <w:t>1</w:t>
                  </w:r>
                </w:p>
              </w:tc>
              <w:tc>
                <w:tcPr>
                  <w:tcW w:w="478" w:type="pct"/>
                  <w:shd w:val="clear" w:color="auto" w:fill="auto"/>
                  <w:noWrap w:val="0"/>
                  <w:vAlign w:val="center"/>
                </w:tcPr>
                <w:p w14:paraId="1605CF66">
                  <w:pPr>
                    <w:widowControl/>
                    <w:jc w:val="center"/>
                    <w:textAlignment w:val="center"/>
                    <w:rPr>
                      <w:rFonts w:ascii="Times New Roman" w:hAnsi="Times New Roman" w:eastAsia="宋体" w:cs="Times New Roman"/>
                      <w:color w:val="auto"/>
                      <w:kern w:val="2"/>
                      <w:sz w:val="21"/>
                      <w:szCs w:val="21"/>
                      <w:highlight w:val="none"/>
                      <w:lang w:val="en-US" w:eastAsia="zh-CN" w:bidi="ar-SA"/>
                    </w:rPr>
                  </w:pPr>
                  <w:r>
                    <w:rPr>
                      <w:rFonts w:hint="eastAsia"/>
                      <w:color w:val="auto"/>
                      <w:kern w:val="0"/>
                      <w:szCs w:val="21"/>
                      <w:highlight w:val="none"/>
                      <w:lang w:val="en-US" w:eastAsia="zh-CN" w:bidi="ar"/>
                    </w:rPr>
                    <w:t>无水</w:t>
                  </w:r>
                  <w:r>
                    <w:rPr>
                      <w:color w:val="auto"/>
                      <w:kern w:val="0"/>
                      <w:szCs w:val="21"/>
                      <w:highlight w:val="none"/>
                      <w:lang w:bidi="ar"/>
                    </w:rPr>
                    <w:t>乙醇</w:t>
                  </w:r>
                </w:p>
              </w:tc>
              <w:tc>
                <w:tcPr>
                  <w:tcW w:w="521" w:type="pct"/>
                  <w:shd w:val="clear" w:color="auto" w:fill="auto"/>
                  <w:noWrap w:val="0"/>
                  <w:vAlign w:val="center"/>
                </w:tcPr>
                <w:p w14:paraId="008827A2">
                  <w:pPr>
                    <w:widowControl/>
                    <w:jc w:val="center"/>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C</w:t>
                  </w:r>
                  <w:r>
                    <w:rPr>
                      <w:color w:val="auto"/>
                      <w:kern w:val="0"/>
                      <w:szCs w:val="21"/>
                      <w:highlight w:val="none"/>
                      <w:vertAlign w:val="subscript"/>
                      <w:lang w:bidi="ar"/>
                    </w:rPr>
                    <w:t>2</w:t>
                  </w:r>
                  <w:r>
                    <w:rPr>
                      <w:color w:val="auto"/>
                      <w:kern w:val="0"/>
                      <w:szCs w:val="21"/>
                      <w:highlight w:val="none"/>
                      <w:lang w:bidi="ar"/>
                    </w:rPr>
                    <w:t>H</w:t>
                  </w:r>
                  <w:r>
                    <w:rPr>
                      <w:color w:val="auto"/>
                      <w:kern w:val="0"/>
                      <w:szCs w:val="21"/>
                      <w:highlight w:val="none"/>
                      <w:vertAlign w:val="subscript"/>
                      <w:lang w:bidi="ar"/>
                    </w:rPr>
                    <w:t>6</w:t>
                  </w:r>
                  <w:r>
                    <w:rPr>
                      <w:color w:val="auto"/>
                      <w:kern w:val="0"/>
                      <w:szCs w:val="21"/>
                      <w:highlight w:val="none"/>
                      <w:lang w:bidi="ar"/>
                    </w:rPr>
                    <w:t>O</w:t>
                  </w:r>
                </w:p>
              </w:tc>
              <w:tc>
                <w:tcPr>
                  <w:tcW w:w="2322" w:type="pct"/>
                  <w:shd w:val="clear" w:color="auto" w:fill="auto"/>
                  <w:noWrap w:val="0"/>
                  <w:vAlign w:val="center"/>
                </w:tcPr>
                <w:p w14:paraId="751A1145">
                  <w:pPr>
                    <w:widowControl/>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无色澄清液体，有特殊香味，易流动，极易从空气中吸收水分，能与水和氯仿、乙醚等多种有机溶剂以任意比例互溶， 能与水形成共沸混合物(含水4.43%)，共沸点78.15℃；熔点-114.1℃，沸点 78.5℃；易燃，蒸气与空气混合能形成爆炸性混合物，爆炸极限3.5%～18.0%（体积）</w:t>
                  </w:r>
                  <w:r>
                    <w:rPr>
                      <w:rFonts w:hint="eastAsia"/>
                      <w:color w:val="auto"/>
                      <w:kern w:val="0"/>
                      <w:szCs w:val="21"/>
                      <w:highlight w:val="none"/>
                      <w:lang w:bidi="ar"/>
                    </w:rPr>
                    <w:t>。</w:t>
                  </w:r>
                </w:p>
              </w:tc>
              <w:tc>
                <w:tcPr>
                  <w:tcW w:w="1455" w:type="pct"/>
                  <w:shd w:val="clear" w:color="auto" w:fill="auto"/>
                  <w:noWrap w:val="0"/>
                  <w:vAlign w:val="center"/>
                </w:tcPr>
                <w:p w14:paraId="1543E7CF">
                  <w:pPr>
                    <w:widowControl/>
                    <w:jc w:val="left"/>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LD</w:t>
                  </w:r>
                  <w:r>
                    <w:rPr>
                      <w:color w:val="auto"/>
                      <w:kern w:val="0"/>
                      <w:szCs w:val="21"/>
                      <w:highlight w:val="none"/>
                      <w:vertAlign w:val="subscript"/>
                      <w:lang w:bidi="ar"/>
                    </w:rPr>
                    <w:t>50</w:t>
                  </w:r>
                  <w:r>
                    <w:rPr>
                      <w:color w:val="auto"/>
                      <w:kern w:val="0"/>
                      <w:szCs w:val="21"/>
                      <w:highlight w:val="none"/>
                      <w:lang w:bidi="ar"/>
                    </w:rPr>
                    <w:t>(兔经口)</w:t>
                  </w:r>
                  <w:r>
                    <w:rPr>
                      <w:rFonts w:hint="eastAsia"/>
                      <w:color w:val="auto"/>
                      <w:kern w:val="0"/>
                      <w:szCs w:val="21"/>
                      <w:highlight w:val="none"/>
                      <w:lang w:bidi="ar"/>
                    </w:rPr>
                    <w:t>：</w:t>
                  </w:r>
                  <w:r>
                    <w:rPr>
                      <w:color w:val="auto"/>
                      <w:kern w:val="0"/>
                      <w:szCs w:val="21"/>
                      <w:highlight w:val="none"/>
                      <w:lang w:bidi="ar"/>
                    </w:rPr>
                    <w:t>7060 mg/kg，LD</w:t>
                  </w:r>
                  <w:r>
                    <w:rPr>
                      <w:color w:val="auto"/>
                      <w:kern w:val="0"/>
                      <w:szCs w:val="21"/>
                      <w:highlight w:val="none"/>
                      <w:vertAlign w:val="subscript"/>
                      <w:lang w:bidi="ar"/>
                    </w:rPr>
                    <w:t>50</w:t>
                  </w:r>
                  <w:r>
                    <w:rPr>
                      <w:color w:val="auto"/>
                      <w:kern w:val="0"/>
                      <w:szCs w:val="21"/>
                      <w:highlight w:val="none"/>
                      <w:lang w:bidi="ar"/>
                    </w:rPr>
                    <w:t>(兔经</w:t>
                  </w:r>
                  <w:r>
                    <w:rPr>
                      <w:rFonts w:hint="eastAsia"/>
                      <w:color w:val="auto"/>
                      <w:kern w:val="0"/>
                      <w:szCs w:val="21"/>
                      <w:highlight w:val="none"/>
                      <w:lang w:bidi="ar"/>
                    </w:rPr>
                    <w:t>皮</w:t>
                  </w:r>
                  <w:r>
                    <w:rPr>
                      <w:color w:val="auto"/>
                      <w:kern w:val="0"/>
                      <w:szCs w:val="21"/>
                      <w:highlight w:val="none"/>
                      <w:lang w:bidi="ar"/>
                    </w:rPr>
                    <w:t>)7430 mg/kg，LC</w:t>
                  </w:r>
                  <w:r>
                    <w:rPr>
                      <w:color w:val="auto"/>
                      <w:kern w:val="0"/>
                      <w:szCs w:val="21"/>
                      <w:highlight w:val="none"/>
                      <w:vertAlign w:val="subscript"/>
                      <w:lang w:bidi="ar"/>
                    </w:rPr>
                    <w:t>50</w:t>
                  </w:r>
                  <w:r>
                    <w:rPr>
                      <w:color w:val="auto"/>
                      <w:kern w:val="0"/>
                      <w:szCs w:val="21"/>
                      <w:highlight w:val="none"/>
                      <w:lang w:bidi="ar"/>
                    </w:rPr>
                    <w:t xml:space="preserve"> (大鼠吸入10小时)</w:t>
                  </w:r>
                  <w:r>
                    <w:rPr>
                      <w:rFonts w:hint="eastAsia"/>
                      <w:color w:val="auto"/>
                      <w:kern w:val="0"/>
                      <w:szCs w:val="21"/>
                      <w:highlight w:val="none"/>
                      <w:lang w:bidi="ar"/>
                    </w:rPr>
                    <w:t>：</w:t>
                  </w:r>
                  <w:r>
                    <w:rPr>
                      <w:color w:val="auto"/>
                      <w:kern w:val="0"/>
                      <w:szCs w:val="21"/>
                      <w:highlight w:val="none"/>
                      <w:lang w:bidi="ar"/>
                    </w:rPr>
                    <w:t>37620 mg/m</w:t>
                  </w:r>
                  <w:r>
                    <w:rPr>
                      <w:color w:val="auto"/>
                      <w:kern w:val="0"/>
                      <w:szCs w:val="21"/>
                      <w:highlight w:val="none"/>
                      <w:vertAlign w:val="superscript"/>
                      <w:lang w:bidi="ar"/>
                    </w:rPr>
                    <w:t>3</w:t>
                  </w:r>
                  <w:r>
                    <w:rPr>
                      <w:color w:val="auto"/>
                      <w:kern w:val="0"/>
                      <w:szCs w:val="21"/>
                      <w:highlight w:val="none"/>
                      <w:lang w:bidi="ar"/>
                    </w:rPr>
                    <w:t>。</w:t>
                  </w:r>
                </w:p>
              </w:tc>
            </w:tr>
            <w:tr w14:paraId="331F7B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22" w:type="pct"/>
                  <w:noWrap w:val="0"/>
                  <w:vAlign w:val="center"/>
                </w:tcPr>
                <w:p w14:paraId="2736368D">
                  <w:pPr>
                    <w:widowControl/>
                    <w:jc w:val="center"/>
                    <w:textAlignment w:val="center"/>
                    <w:rPr>
                      <w:rFonts w:hint="default"/>
                      <w:color w:val="auto"/>
                      <w:kern w:val="0"/>
                      <w:szCs w:val="21"/>
                      <w:highlight w:val="none"/>
                      <w:lang w:val="en-US" w:eastAsia="zh-CN" w:bidi="ar"/>
                    </w:rPr>
                  </w:pPr>
                  <w:r>
                    <w:rPr>
                      <w:rFonts w:hint="eastAsia"/>
                      <w:color w:val="auto"/>
                      <w:kern w:val="0"/>
                      <w:szCs w:val="21"/>
                      <w:highlight w:val="none"/>
                      <w:lang w:val="en-US" w:eastAsia="zh-CN" w:bidi="ar"/>
                    </w:rPr>
                    <w:t>2</w:t>
                  </w:r>
                </w:p>
              </w:tc>
              <w:tc>
                <w:tcPr>
                  <w:tcW w:w="478" w:type="pct"/>
                  <w:shd w:val="clear" w:color="auto" w:fill="auto"/>
                  <w:noWrap w:val="0"/>
                  <w:vAlign w:val="center"/>
                </w:tcPr>
                <w:p w14:paraId="7835A661">
                  <w:pPr>
                    <w:widowControl/>
                    <w:jc w:val="center"/>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氯化铵</w:t>
                  </w:r>
                </w:p>
              </w:tc>
              <w:tc>
                <w:tcPr>
                  <w:tcW w:w="521" w:type="pct"/>
                  <w:shd w:val="clear" w:color="auto" w:fill="auto"/>
                  <w:noWrap w:val="0"/>
                  <w:vAlign w:val="center"/>
                </w:tcPr>
                <w:p w14:paraId="1FF77E6A">
                  <w:pPr>
                    <w:widowControl/>
                    <w:jc w:val="center"/>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NH</w:t>
                  </w:r>
                  <w:r>
                    <w:rPr>
                      <w:color w:val="auto"/>
                      <w:kern w:val="0"/>
                      <w:szCs w:val="21"/>
                      <w:highlight w:val="none"/>
                      <w:vertAlign w:val="subscript"/>
                      <w:lang w:bidi="ar"/>
                    </w:rPr>
                    <w:t>4</w:t>
                  </w:r>
                  <w:r>
                    <w:rPr>
                      <w:color w:val="auto"/>
                      <w:kern w:val="0"/>
                      <w:szCs w:val="21"/>
                      <w:highlight w:val="none"/>
                      <w:lang w:bidi="ar"/>
                    </w:rPr>
                    <w:t>Cl</w:t>
                  </w:r>
                </w:p>
              </w:tc>
              <w:tc>
                <w:tcPr>
                  <w:tcW w:w="2322" w:type="pct"/>
                  <w:shd w:val="clear" w:color="auto" w:fill="auto"/>
                  <w:noWrap w:val="0"/>
                  <w:vAlign w:val="center"/>
                </w:tcPr>
                <w:p w14:paraId="49DD2480">
                  <w:pPr>
                    <w:widowControl/>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无色晶体或白色颗粒性粉末无气味。易溶于水，微溶于乙醇，溶于液氨，不溶于丙酮和乙醚。味咸凉而微苦。吸湿性小</w:t>
                  </w:r>
                  <w:r>
                    <w:rPr>
                      <w:rFonts w:hint="eastAsia"/>
                      <w:color w:val="auto"/>
                      <w:kern w:val="0"/>
                      <w:szCs w:val="21"/>
                      <w:highlight w:val="none"/>
                      <w:lang w:bidi="ar"/>
                    </w:rPr>
                    <w:t>，易</w:t>
                  </w:r>
                  <w:r>
                    <w:rPr>
                      <w:color w:val="auto"/>
                      <w:kern w:val="0"/>
                      <w:szCs w:val="21"/>
                      <w:highlight w:val="none"/>
                      <w:lang w:bidi="ar"/>
                    </w:rPr>
                    <w:t>产生吸潮现象，容易结块。能升华而无熔点。相对密度1.5274。折光率1.642。有刺激性。加热至350</w:t>
                  </w:r>
                  <w:r>
                    <w:rPr>
                      <w:rFonts w:hint="eastAsia" w:ascii="宋体" w:hAnsi="宋体" w:cs="宋体"/>
                      <w:color w:val="auto"/>
                      <w:kern w:val="0"/>
                      <w:szCs w:val="21"/>
                      <w:highlight w:val="none"/>
                      <w:lang w:bidi="ar"/>
                    </w:rPr>
                    <w:t>℃</w:t>
                  </w:r>
                  <w:r>
                    <w:rPr>
                      <w:color w:val="auto"/>
                      <w:kern w:val="0"/>
                      <w:szCs w:val="21"/>
                      <w:highlight w:val="none"/>
                      <w:lang w:bidi="ar"/>
                    </w:rPr>
                    <w:t>升华，沸点520</w:t>
                  </w:r>
                  <w:r>
                    <w:rPr>
                      <w:rFonts w:hint="eastAsia" w:ascii="宋体" w:hAnsi="宋体" w:cs="宋体"/>
                      <w:color w:val="auto"/>
                      <w:kern w:val="0"/>
                      <w:szCs w:val="21"/>
                      <w:highlight w:val="none"/>
                      <w:lang w:bidi="ar"/>
                    </w:rPr>
                    <w:t>℃</w:t>
                  </w:r>
                  <w:r>
                    <w:rPr>
                      <w:color w:val="auto"/>
                      <w:kern w:val="0"/>
                      <w:szCs w:val="21"/>
                      <w:highlight w:val="none"/>
                      <w:lang w:bidi="ar"/>
                    </w:rPr>
                    <w:t>。</w:t>
                  </w:r>
                </w:p>
              </w:tc>
              <w:tc>
                <w:tcPr>
                  <w:tcW w:w="1455" w:type="pct"/>
                  <w:shd w:val="clear" w:color="auto" w:fill="auto"/>
                  <w:noWrap w:val="0"/>
                  <w:vAlign w:val="center"/>
                </w:tcPr>
                <w:p w14:paraId="4051FB47">
                  <w:pPr>
                    <w:widowControl/>
                    <w:jc w:val="left"/>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低毒，LD</w:t>
                  </w:r>
                  <w:r>
                    <w:rPr>
                      <w:color w:val="auto"/>
                      <w:kern w:val="0"/>
                      <w:szCs w:val="21"/>
                      <w:highlight w:val="none"/>
                      <w:vertAlign w:val="subscript"/>
                      <w:lang w:bidi="ar"/>
                    </w:rPr>
                    <w:t>50</w:t>
                  </w:r>
                  <w:r>
                    <w:rPr>
                      <w:color w:val="auto"/>
                      <w:kern w:val="0"/>
                      <w:szCs w:val="21"/>
                      <w:highlight w:val="none"/>
                      <w:lang w:bidi="ar"/>
                    </w:rPr>
                    <w:t>(大鼠，经口)：1650mg/kg。</w:t>
                  </w:r>
                </w:p>
              </w:tc>
            </w:tr>
            <w:tr w14:paraId="0FEA94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22" w:type="pct"/>
                  <w:noWrap w:val="0"/>
                  <w:vAlign w:val="center"/>
                </w:tcPr>
                <w:p w14:paraId="2086B7A7">
                  <w:pPr>
                    <w:widowControl/>
                    <w:jc w:val="center"/>
                    <w:textAlignment w:val="center"/>
                    <w:rPr>
                      <w:rFonts w:hint="default"/>
                      <w:color w:val="auto"/>
                      <w:kern w:val="0"/>
                      <w:szCs w:val="21"/>
                      <w:highlight w:val="none"/>
                      <w:lang w:val="en-US" w:eastAsia="zh-CN" w:bidi="ar"/>
                    </w:rPr>
                  </w:pPr>
                  <w:r>
                    <w:rPr>
                      <w:rFonts w:hint="eastAsia"/>
                      <w:color w:val="auto"/>
                      <w:kern w:val="0"/>
                      <w:szCs w:val="21"/>
                      <w:highlight w:val="none"/>
                      <w:lang w:val="en-US" w:eastAsia="zh-CN" w:bidi="ar"/>
                    </w:rPr>
                    <w:t>3</w:t>
                  </w:r>
                </w:p>
              </w:tc>
              <w:tc>
                <w:tcPr>
                  <w:tcW w:w="478" w:type="pct"/>
                  <w:shd w:val="clear" w:color="auto" w:fill="auto"/>
                  <w:noWrap w:val="0"/>
                  <w:vAlign w:val="center"/>
                </w:tcPr>
                <w:p w14:paraId="5EA79517">
                  <w:pPr>
                    <w:widowControl/>
                    <w:jc w:val="center"/>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氢氧化钠</w:t>
                  </w:r>
                </w:p>
              </w:tc>
              <w:tc>
                <w:tcPr>
                  <w:tcW w:w="521" w:type="pct"/>
                  <w:shd w:val="clear" w:color="auto" w:fill="auto"/>
                  <w:noWrap w:val="0"/>
                  <w:vAlign w:val="center"/>
                </w:tcPr>
                <w:p w14:paraId="4814BFEF">
                  <w:pPr>
                    <w:widowControl/>
                    <w:jc w:val="center"/>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NaOH</w:t>
                  </w:r>
                </w:p>
              </w:tc>
              <w:tc>
                <w:tcPr>
                  <w:tcW w:w="2322" w:type="pct"/>
                  <w:shd w:val="clear" w:color="auto" w:fill="auto"/>
                  <w:noWrap w:val="0"/>
                  <w:vAlign w:val="center"/>
                </w:tcPr>
                <w:p w14:paraId="7BD8AE23">
                  <w:pPr>
                    <w:widowControl/>
                    <w:jc w:val="left"/>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氢氧化钠，俗称烧碱、火碱、苛性钠，为一种具有很强腐蚀性的强碱，一般为片状或颗粒形态，易溶于水并形成碱性溶液，易吸取空气中的水蒸气和二氧化碳。纯品是无色透明的晶体。密度2.130</w:t>
                  </w:r>
                  <w:r>
                    <w:rPr>
                      <w:rFonts w:hint="eastAsia"/>
                      <w:color w:val="auto"/>
                      <w:kern w:val="0"/>
                      <w:szCs w:val="21"/>
                      <w:highlight w:val="none"/>
                      <w:lang w:bidi="ar"/>
                    </w:rPr>
                    <w:t xml:space="preserve"> </w:t>
                  </w:r>
                  <w:r>
                    <w:rPr>
                      <w:color w:val="auto"/>
                      <w:kern w:val="0"/>
                      <w:szCs w:val="21"/>
                      <w:highlight w:val="none"/>
                      <w:lang w:bidi="ar"/>
                    </w:rPr>
                    <w:t>g/cm³。熔点318.4℃。沸点1390℃。有块状，片状，粒状和棒状等。</w:t>
                  </w:r>
                </w:p>
              </w:tc>
              <w:tc>
                <w:tcPr>
                  <w:tcW w:w="1455" w:type="pct"/>
                  <w:shd w:val="clear" w:color="auto" w:fill="auto"/>
                  <w:noWrap w:val="0"/>
                  <w:vAlign w:val="center"/>
                </w:tcPr>
                <w:p w14:paraId="5674612B">
                  <w:pPr>
                    <w:widowControl/>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有强烈刺激和腐蚀性。皮肤和眼与NaOH直接接触会引起灼伤，误服可造成消化道灼伤，</w:t>
                  </w:r>
                  <w:r>
                    <w:rPr>
                      <w:rFonts w:hint="eastAsia"/>
                      <w:color w:val="auto"/>
                      <w:kern w:val="0"/>
                      <w:szCs w:val="21"/>
                      <w:highlight w:val="none"/>
                      <w:lang w:bidi="ar"/>
                    </w:rPr>
                    <w:t>黏膜</w:t>
                  </w:r>
                  <w:r>
                    <w:rPr>
                      <w:color w:val="auto"/>
                      <w:kern w:val="0"/>
                      <w:szCs w:val="21"/>
                      <w:highlight w:val="none"/>
                      <w:lang w:bidi="ar"/>
                    </w:rPr>
                    <w:t>糜烂、出血和休克。该品不会燃烧，遇水和水蒸气大量放热，形成腐蚀性溶液</w:t>
                  </w:r>
                  <w:r>
                    <w:rPr>
                      <w:rFonts w:hint="eastAsia"/>
                      <w:color w:val="auto"/>
                      <w:kern w:val="0"/>
                      <w:szCs w:val="21"/>
                      <w:highlight w:val="none"/>
                      <w:lang w:bidi="ar"/>
                    </w:rPr>
                    <w:t>；</w:t>
                  </w:r>
                  <w:r>
                    <w:rPr>
                      <w:color w:val="auto"/>
                      <w:kern w:val="0"/>
                      <w:szCs w:val="21"/>
                      <w:highlight w:val="none"/>
                      <w:lang w:bidi="ar"/>
                    </w:rPr>
                    <w:t>与酸发生中和反应并放热</w:t>
                  </w:r>
                  <w:r>
                    <w:rPr>
                      <w:rFonts w:hint="eastAsia"/>
                      <w:color w:val="auto"/>
                      <w:kern w:val="0"/>
                      <w:szCs w:val="21"/>
                      <w:highlight w:val="none"/>
                      <w:lang w:bidi="ar"/>
                    </w:rPr>
                    <w:t>；</w:t>
                  </w:r>
                  <w:r>
                    <w:rPr>
                      <w:color w:val="auto"/>
                      <w:kern w:val="0"/>
                      <w:szCs w:val="21"/>
                      <w:highlight w:val="none"/>
                      <w:lang w:bidi="ar"/>
                    </w:rPr>
                    <w:t>具有强腐蚀性</w:t>
                  </w:r>
                  <w:r>
                    <w:rPr>
                      <w:rFonts w:hint="eastAsia"/>
                      <w:color w:val="auto"/>
                      <w:kern w:val="0"/>
                      <w:szCs w:val="21"/>
                      <w:highlight w:val="none"/>
                      <w:lang w:bidi="ar"/>
                    </w:rPr>
                    <w:t>；</w:t>
                  </w:r>
                  <w:r>
                    <w:rPr>
                      <w:color w:val="auto"/>
                      <w:kern w:val="0"/>
                      <w:szCs w:val="21"/>
                      <w:highlight w:val="none"/>
                      <w:lang w:bidi="ar"/>
                    </w:rPr>
                    <w:t>危害环境。</w:t>
                  </w:r>
                </w:p>
              </w:tc>
            </w:tr>
            <w:tr w14:paraId="50184E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22" w:type="pct"/>
                  <w:noWrap w:val="0"/>
                  <w:vAlign w:val="center"/>
                </w:tcPr>
                <w:p w14:paraId="0BE44EBC">
                  <w:pPr>
                    <w:widowControl/>
                    <w:jc w:val="center"/>
                    <w:textAlignment w:val="center"/>
                    <w:rPr>
                      <w:rFonts w:hint="default"/>
                      <w:color w:val="auto"/>
                      <w:kern w:val="0"/>
                      <w:szCs w:val="21"/>
                      <w:highlight w:val="none"/>
                      <w:lang w:val="en-US" w:eastAsia="zh-CN" w:bidi="ar"/>
                    </w:rPr>
                  </w:pPr>
                  <w:r>
                    <w:rPr>
                      <w:rFonts w:hint="eastAsia"/>
                      <w:color w:val="auto"/>
                      <w:kern w:val="0"/>
                      <w:szCs w:val="21"/>
                      <w:highlight w:val="none"/>
                      <w:lang w:val="en-US" w:eastAsia="zh-CN" w:bidi="ar"/>
                    </w:rPr>
                    <w:t>4</w:t>
                  </w:r>
                </w:p>
              </w:tc>
              <w:tc>
                <w:tcPr>
                  <w:tcW w:w="478" w:type="pct"/>
                  <w:shd w:val="clear" w:color="auto" w:fill="auto"/>
                  <w:noWrap w:val="0"/>
                  <w:vAlign w:val="center"/>
                </w:tcPr>
                <w:p w14:paraId="2BE3003A">
                  <w:pPr>
                    <w:widowControl/>
                    <w:jc w:val="center"/>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乙二胺四乙酸二钠</w:t>
                  </w:r>
                </w:p>
              </w:tc>
              <w:tc>
                <w:tcPr>
                  <w:tcW w:w="521" w:type="pct"/>
                  <w:shd w:val="clear" w:color="auto" w:fill="auto"/>
                  <w:noWrap w:val="0"/>
                  <w:vAlign w:val="center"/>
                </w:tcPr>
                <w:p w14:paraId="475B3948">
                  <w:pPr>
                    <w:widowControl/>
                    <w:jc w:val="center"/>
                    <w:textAlignment w:val="center"/>
                    <w:rPr>
                      <w:rFonts w:hint="eastAsia" w:eastAsia="宋体"/>
                      <w:color w:val="auto"/>
                      <w:kern w:val="0"/>
                      <w:szCs w:val="21"/>
                      <w:highlight w:val="none"/>
                      <w:lang w:eastAsia="zh-CN" w:bidi="ar"/>
                    </w:rPr>
                  </w:pPr>
                </w:p>
                <w:p w14:paraId="5415876E">
                  <w:pPr>
                    <w:widowControl/>
                    <w:jc w:val="center"/>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C</w:t>
                  </w:r>
                  <w:r>
                    <w:rPr>
                      <w:color w:val="auto"/>
                      <w:kern w:val="0"/>
                      <w:szCs w:val="21"/>
                      <w:highlight w:val="none"/>
                      <w:vertAlign w:val="subscript"/>
                      <w:lang w:bidi="ar"/>
                    </w:rPr>
                    <w:t>10</w:t>
                  </w:r>
                  <w:r>
                    <w:rPr>
                      <w:color w:val="auto"/>
                      <w:kern w:val="0"/>
                      <w:szCs w:val="21"/>
                      <w:highlight w:val="none"/>
                      <w:lang w:bidi="ar"/>
                    </w:rPr>
                    <w:t>H</w:t>
                  </w:r>
                  <w:r>
                    <w:rPr>
                      <w:color w:val="auto"/>
                      <w:kern w:val="0"/>
                      <w:szCs w:val="21"/>
                      <w:highlight w:val="none"/>
                      <w:vertAlign w:val="subscript"/>
                      <w:lang w:bidi="ar"/>
                    </w:rPr>
                    <w:t>14</w:t>
                  </w:r>
                  <w:r>
                    <w:rPr>
                      <w:color w:val="auto"/>
                      <w:kern w:val="0"/>
                      <w:szCs w:val="21"/>
                      <w:highlight w:val="none"/>
                      <w:lang w:bidi="ar"/>
                    </w:rPr>
                    <w:t>N</w:t>
                  </w:r>
                  <w:r>
                    <w:rPr>
                      <w:color w:val="auto"/>
                      <w:kern w:val="0"/>
                      <w:szCs w:val="21"/>
                      <w:highlight w:val="none"/>
                      <w:vertAlign w:val="subscript"/>
                      <w:lang w:bidi="ar"/>
                    </w:rPr>
                    <w:t>2</w:t>
                  </w:r>
                  <w:r>
                    <w:rPr>
                      <w:color w:val="auto"/>
                      <w:kern w:val="0"/>
                      <w:szCs w:val="21"/>
                      <w:highlight w:val="none"/>
                      <w:lang w:bidi="ar"/>
                    </w:rPr>
                    <w:t>Na</w:t>
                  </w:r>
                  <w:r>
                    <w:rPr>
                      <w:color w:val="auto"/>
                      <w:kern w:val="0"/>
                      <w:szCs w:val="21"/>
                      <w:highlight w:val="none"/>
                      <w:vertAlign w:val="subscript"/>
                      <w:lang w:bidi="ar"/>
                    </w:rPr>
                    <w:t>2</w:t>
                  </w:r>
                  <w:r>
                    <w:rPr>
                      <w:color w:val="auto"/>
                      <w:kern w:val="0"/>
                      <w:szCs w:val="21"/>
                      <w:highlight w:val="none"/>
                      <w:lang w:bidi="ar"/>
                    </w:rPr>
                    <w:t>O</w:t>
                  </w:r>
                  <w:r>
                    <w:rPr>
                      <w:color w:val="auto"/>
                      <w:kern w:val="0"/>
                      <w:szCs w:val="21"/>
                      <w:highlight w:val="none"/>
                      <w:vertAlign w:val="subscript"/>
                      <w:lang w:bidi="ar"/>
                    </w:rPr>
                    <w:t>8</w:t>
                  </w:r>
                </w:p>
              </w:tc>
              <w:tc>
                <w:tcPr>
                  <w:tcW w:w="2322" w:type="pct"/>
                  <w:shd w:val="clear" w:color="auto" w:fill="auto"/>
                  <w:noWrap w:val="0"/>
                  <w:vAlign w:val="center"/>
                </w:tcPr>
                <w:p w14:paraId="2E331410">
                  <w:pPr>
                    <w:widowControl/>
                    <w:jc w:val="left"/>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是一种重要络合剂。用于化学镀铜、镀金、镀铅锡合金、钢铁件的电化学抛光和铜件镀银前的溶液中，也用于洗涤剂、液体肥皂、洗发剂、农业化学喷雾剂、彩色感光材料冲洗加工漂白定影液、净水剂、</w:t>
                  </w:r>
                  <w:r>
                    <w:rPr>
                      <w:rFonts w:hint="eastAsia"/>
                      <w:color w:val="auto"/>
                      <w:kern w:val="0"/>
                      <w:szCs w:val="21"/>
                      <w:highlight w:val="none"/>
                      <w:lang w:bidi="ar"/>
                    </w:rPr>
                    <w:t>p</w:t>
                  </w:r>
                  <w:r>
                    <w:rPr>
                      <w:color w:val="auto"/>
                      <w:kern w:val="0"/>
                      <w:szCs w:val="21"/>
                      <w:highlight w:val="none"/>
                      <w:lang w:bidi="ar"/>
                    </w:rPr>
                    <w:t>H调节剂、阻凝剂等。</w:t>
                  </w:r>
                </w:p>
              </w:tc>
              <w:tc>
                <w:tcPr>
                  <w:tcW w:w="1455" w:type="pct"/>
                  <w:shd w:val="clear" w:color="auto" w:fill="auto"/>
                  <w:noWrap w:val="0"/>
                  <w:vAlign w:val="center"/>
                </w:tcPr>
                <w:p w14:paraId="2383BDEE">
                  <w:pPr>
                    <w:widowControl/>
                    <w:jc w:val="left"/>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家鼠口服LD</w:t>
                  </w:r>
                  <w:r>
                    <w:rPr>
                      <w:color w:val="auto"/>
                      <w:kern w:val="0"/>
                      <w:szCs w:val="21"/>
                      <w:highlight w:val="none"/>
                      <w:vertAlign w:val="subscript"/>
                      <w:lang w:bidi="ar"/>
                    </w:rPr>
                    <w:t>50</w:t>
                  </w:r>
                  <w:r>
                    <w:rPr>
                      <w:rFonts w:hint="eastAsia"/>
                      <w:color w:val="auto"/>
                      <w:kern w:val="0"/>
                      <w:szCs w:val="21"/>
                      <w:highlight w:val="none"/>
                      <w:lang w:bidi="ar"/>
                    </w:rPr>
                    <w:t>：</w:t>
                  </w:r>
                  <w:r>
                    <w:rPr>
                      <w:color w:val="auto"/>
                      <w:kern w:val="0"/>
                      <w:szCs w:val="21"/>
                      <w:highlight w:val="none"/>
                      <w:lang w:bidi="ar"/>
                    </w:rPr>
                    <w:t>2g/kg</w:t>
                  </w:r>
                  <w:r>
                    <w:rPr>
                      <w:rFonts w:hint="eastAsia"/>
                      <w:color w:val="auto"/>
                      <w:kern w:val="0"/>
                      <w:szCs w:val="21"/>
                      <w:highlight w:val="none"/>
                      <w:lang w:bidi="ar"/>
                    </w:rPr>
                    <w:t>。</w:t>
                  </w:r>
                </w:p>
              </w:tc>
            </w:tr>
            <w:tr w14:paraId="0F1D5E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22" w:type="pct"/>
                  <w:noWrap w:val="0"/>
                  <w:vAlign w:val="center"/>
                </w:tcPr>
                <w:p w14:paraId="17E2E7C8">
                  <w:pPr>
                    <w:widowControl/>
                    <w:jc w:val="center"/>
                    <w:textAlignment w:val="center"/>
                    <w:rPr>
                      <w:rFonts w:hint="default"/>
                      <w:color w:val="auto"/>
                      <w:kern w:val="0"/>
                      <w:szCs w:val="21"/>
                      <w:highlight w:val="none"/>
                      <w:lang w:val="en-US" w:eastAsia="zh-CN" w:bidi="ar"/>
                    </w:rPr>
                  </w:pPr>
                  <w:r>
                    <w:rPr>
                      <w:rFonts w:hint="eastAsia"/>
                      <w:color w:val="auto"/>
                      <w:kern w:val="0"/>
                      <w:szCs w:val="21"/>
                      <w:highlight w:val="none"/>
                      <w:lang w:val="en-US" w:eastAsia="zh-CN" w:bidi="ar"/>
                    </w:rPr>
                    <w:t>5</w:t>
                  </w:r>
                </w:p>
              </w:tc>
              <w:tc>
                <w:tcPr>
                  <w:tcW w:w="478" w:type="pct"/>
                  <w:shd w:val="clear" w:color="auto" w:fill="auto"/>
                  <w:noWrap w:val="0"/>
                  <w:vAlign w:val="center"/>
                </w:tcPr>
                <w:p w14:paraId="45E44E59">
                  <w:pPr>
                    <w:widowControl/>
                    <w:jc w:val="center"/>
                    <w:textAlignment w:val="center"/>
                    <w:rPr>
                      <w:rFonts w:hint="eastAsia" w:eastAsia="宋体"/>
                      <w:color w:val="auto"/>
                      <w:kern w:val="0"/>
                      <w:szCs w:val="21"/>
                      <w:highlight w:val="none"/>
                      <w:lang w:val="en-US" w:eastAsia="zh-CN" w:bidi="ar"/>
                    </w:rPr>
                  </w:pPr>
                  <w:r>
                    <w:rPr>
                      <w:rFonts w:hint="eastAsia"/>
                      <w:color w:val="auto"/>
                      <w:kern w:val="0"/>
                      <w:szCs w:val="21"/>
                      <w:highlight w:val="none"/>
                      <w:lang w:val="en-US" w:eastAsia="zh-CN" w:bidi="ar"/>
                    </w:rPr>
                    <w:t>蔗糖</w:t>
                  </w:r>
                </w:p>
              </w:tc>
              <w:tc>
                <w:tcPr>
                  <w:tcW w:w="521" w:type="pct"/>
                  <w:shd w:val="clear" w:color="auto" w:fill="auto"/>
                  <w:noWrap w:val="0"/>
                  <w:vAlign w:val="center"/>
                </w:tcPr>
                <w:p w14:paraId="75A17793">
                  <w:pPr>
                    <w:widowControl/>
                    <w:jc w:val="center"/>
                    <w:textAlignment w:val="center"/>
                    <w:rPr>
                      <w:color w:val="auto"/>
                      <w:kern w:val="0"/>
                      <w:szCs w:val="21"/>
                      <w:highlight w:val="none"/>
                      <w:lang w:bidi="ar"/>
                    </w:rPr>
                  </w:pPr>
                  <w:r>
                    <w:rPr>
                      <w:rFonts w:hint="default"/>
                      <w:color w:val="auto"/>
                      <w:kern w:val="0"/>
                      <w:szCs w:val="21"/>
                      <w:highlight w:val="none"/>
                      <w:lang w:bidi="ar"/>
                    </w:rPr>
                    <w:t>C</w:t>
                  </w:r>
                  <w:r>
                    <w:rPr>
                      <w:rFonts w:hint="default"/>
                      <w:color w:val="auto"/>
                      <w:kern w:val="0"/>
                      <w:szCs w:val="21"/>
                      <w:highlight w:val="none"/>
                      <w:vertAlign w:val="subscript"/>
                      <w:lang w:bidi="ar"/>
                    </w:rPr>
                    <w:t>12</w:t>
                  </w:r>
                  <w:r>
                    <w:rPr>
                      <w:rFonts w:hint="default"/>
                      <w:color w:val="auto"/>
                      <w:kern w:val="0"/>
                      <w:szCs w:val="21"/>
                      <w:highlight w:val="none"/>
                      <w:lang w:bidi="ar"/>
                    </w:rPr>
                    <w:t>H</w:t>
                  </w:r>
                  <w:r>
                    <w:rPr>
                      <w:rFonts w:hint="default"/>
                      <w:color w:val="auto"/>
                      <w:kern w:val="0"/>
                      <w:szCs w:val="21"/>
                      <w:highlight w:val="none"/>
                      <w:vertAlign w:val="subscript"/>
                      <w:lang w:bidi="ar"/>
                    </w:rPr>
                    <w:t>22</w:t>
                  </w:r>
                  <w:r>
                    <w:rPr>
                      <w:rFonts w:hint="default"/>
                      <w:color w:val="auto"/>
                      <w:kern w:val="0"/>
                      <w:szCs w:val="21"/>
                      <w:highlight w:val="none"/>
                      <w:lang w:bidi="ar"/>
                    </w:rPr>
                    <w:t>O</w:t>
                  </w:r>
                  <w:r>
                    <w:rPr>
                      <w:rFonts w:hint="default"/>
                      <w:color w:val="auto"/>
                      <w:kern w:val="0"/>
                      <w:szCs w:val="21"/>
                      <w:highlight w:val="none"/>
                      <w:vertAlign w:val="subscript"/>
                      <w:lang w:bidi="ar"/>
                    </w:rPr>
                    <w:t>11</w:t>
                  </w:r>
                </w:p>
              </w:tc>
              <w:tc>
                <w:tcPr>
                  <w:tcW w:w="2322" w:type="pct"/>
                  <w:shd w:val="clear" w:color="auto" w:fill="auto"/>
                  <w:noWrap w:val="0"/>
                  <w:vAlign w:val="center"/>
                </w:tcPr>
                <w:p w14:paraId="4C2A8302">
                  <w:pPr>
                    <w:widowControl/>
                    <w:jc w:val="left"/>
                    <w:textAlignment w:val="center"/>
                    <w:rPr>
                      <w:color w:val="auto"/>
                      <w:kern w:val="0"/>
                      <w:szCs w:val="21"/>
                      <w:highlight w:val="none"/>
                      <w:lang w:bidi="ar"/>
                    </w:rPr>
                  </w:pPr>
                  <w:r>
                    <w:rPr>
                      <w:color w:val="auto"/>
                      <w:kern w:val="0"/>
                      <w:szCs w:val="21"/>
                      <w:highlight w:val="none"/>
                      <w:lang w:bidi="ar"/>
                    </w:rPr>
                    <w:t>蔗糖极易溶于水，溶解度随温度的升高而增大，溶于水后不导电。易溶于苯胺、氮苯、乙酸乙酯、乙酸戊酯、熔化的酚、液态氨、酒精与水的混合物及丙酮与水的混合物，不溶于汽油、石油、无水酒精、三氯甲烷等有机溶剂。蔗糖及蔗糖溶液在热、酸、碱、酵母等的作用下，会产生各种不同的化学、生物反应。</w:t>
                  </w:r>
                </w:p>
              </w:tc>
              <w:tc>
                <w:tcPr>
                  <w:tcW w:w="1455" w:type="pct"/>
                  <w:shd w:val="clear" w:color="auto" w:fill="auto"/>
                  <w:noWrap w:val="0"/>
                  <w:vAlign w:val="center"/>
                </w:tcPr>
                <w:p w14:paraId="20611569">
                  <w:pPr>
                    <w:widowControl/>
                    <w:ind w:firstLine="420" w:firstLineChars="200"/>
                    <w:jc w:val="left"/>
                    <w:textAlignment w:val="center"/>
                    <w:rPr>
                      <w:rFonts w:hint="eastAsia" w:eastAsia="宋体"/>
                      <w:color w:val="auto"/>
                      <w:kern w:val="0"/>
                      <w:szCs w:val="21"/>
                      <w:highlight w:val="none"/>
                      <w:lang w:val="en-US" w:eastAsia="zh-CN" w:bidi="ar"/>
                    </w:rPr>
                  </w:pPr>
                  <w:r>
                    <w:rPr>
                      <w:rFonts w:hint="eastAsia"/>
                      <w:color w:val="auto"/>
                      <w:kern w:val="0"/>
                      <w:szCs w:val="21"/>
                      <w:highlight w:val="none"/>
                      <w:lang w:val="en-US" w:eastAsia="zh-CN" w:bidi="ar"/>
                    </w:rPr>
                    <w:t>无毒</w:t>
                  </w:r>
                </w:p>
              </w:tc>
            </w:tr>
            <w:tr w14:paraId="72E685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22" w:type="pct"/>
                  <w:noWrap w:val="0"/>
                  <w:vAlign w:val="center"/>
                </w:tcPr>
                <w:p w14:paraId="2945351A">
                  <w:pPr>
                    <w:widowControl/>
                    <w:jc w:val="center"/>
                    <w:textAlignment w:val="center"/>
                    <w:rPr>
                      <w:rFonts w:hint="default"/>
                      <w:color w:val="auto"/>
                      <w:kern w:val="0"/>
                      <w:szCs w:val="21"/>
                      <w:highlight w:val="none"/>
                      <w:lang w:val="en-US" w:eastAsia="zh-CN" w:bidi="ar"/>
                    </w:rPr>
                  </w:pPr>
                  <w:r>
                    <w:rPr>
                      <w:rFonts w:hint="eastAsia"/>
                      <w:color w:val="auto"/>
                      <w:kern w:val="0"/>
                      <w:szCs w:val="21"/>
                      <w:highlight w:val="none"/>
                      <w:lang w:val="en-US" w:eastAsia="zh-CN" w:bidi="ar"/>
                    </w:rPr>
                    <w:t>6</w:t>
                  </w:r>
                </w:p>
              </w:tc>
              <w:tc>
                <w:tcPr>
                  <w:tcW w:w="478" w:type="pct"/>
                  <w:shd w:val="clear" w:color="auto" w:fill="auto"/>
                  <w:noWrap w:val="0"/>
                  <w:vAlign w:val="center"/>
                </w:tcPr>
                <w:p w14:paraId="507F84CA">
                  <w:pPr>
                    <w:widowControl/>
                    <w:jc w:val="center"/>
                    <w:textAlignment w:val="center"/>
                    <w:rPr>
                      <w:color w:val="auto"/>
                      <w:kern w:val="0"/>
                      <w:szCs w:val="21"/>
                      <w:highlight w:val="none"/>
                      <w:lang w:bidi="ar"/>
                    </w:rPr>
                  </w:pPr>
                  <w:r>
                    <w:rPr>
                      <w:rFonts w:hint="eastAsia"/>
                      <w:color w:val="auto"/>
                      <w:sz w:val="21"/>
                      <w:szCs w:val="21"/>
                      <w:lang w:eastAsia="zh-CN"/>
                    </w:rPr>
                    <w:t>酒石酸钾钠</w:t>
                  </w:r>
                </w:p>
              </w:tc>
              <w:tc>
                <w:tcPr>
                  <w:tcW w:w="521" w:type="pct"/>
                  <w:shd w:val="clear" w:color="auto" w:fill="auto"/>
                  <w:noWrap w:val="0"/>
                  <w:vAlign w:val="center"/>
                </w:tcPr>
                <w:p w14:paraId="6924B0B7">
                  <w:pPr>
                    <w:widowControl/>
                    <w:jc w:val="center"/>
                    <w:textAlignment w:val="center"/>
                    <w:rPr>
                      <w:color w:val="auto"/>
                      <w:kern w:val="0"/>
                      <w:szCs w:val="21"/>
                      <w:highlight w:val="none"/>
                      <w:lang w:bidi="ar"/>
                    </w:rPr>
                  </w:pPr>
                  <w:r>
                    <w:rPr>
                      <w:rFonts w:hint="default" w:ascii="Times New Roman" w:hAnsi="Times New Roman" w:eastAsia="Helvetica" w:cs="Times New Roman"/>
                      <w:i w:val="0"/>
                      <w:iCs w:val="0"/>
                      <w:caps w:val="0"/>
                      <w:color w:val="auto"/>
                      <w:spacing w:val="0"/>
                      <w:sz w:val="21"/>
                      <w:szCs w:val="21"/>
                      <w:shd w:val="clear" w:fill="FFFFFF"/>
                    </w:rPr>
                    <w:t>NaKC</w:t>
                  </w:r>
                  <w:r>
                    <w:rPr>
                      <w:rFonts w:hint="default" w:ascii="Times New Roman" w:hAnsi="Times New Roman" w:eastAsia="Helvetica" w:cs="Times New Roman"/>
                      <w:i w:val="0"/>
                      <w:iCs w:val="0"/>
                      <w:caps w:val="0"/>
                      <w:color w:val="auto"/>
                      <w:spacing w:val="0"/>
                      <w:sz w:val="15"/>
                      <w:szCs w:val="15"/>
                      <w:shd w:val="clear" w:fill="FFFFFF"/>
                      <w:vertAlign w:val="baseline"/>
                    </w:rPr>
                    <w:t>4</w:t>
                  </w:r>
                  <w:r>
                    <w:rPr>
                      <w:rFonts w:hint="default" w:ascii="Times New Roman" w:hAnsi="Times New Roman" w:eastAsia="Helvetica" w:cs="Times New Roman"/>
                      <w:i w:val="0"/>
                      <w:iCs w:val="0"/>
                      <w:caps w:val="0"/>
                      <w:color w:val="auto"/>
                      <w:spacing w:val="0"/>
                      <w:sz w:val="21"/>
                      <w:szCs w:val="21"/>
                      <w:shd w:val="clear" w:fill="FFFFFF"/>
                    </w:rPr>
                    <w:t>H</w:t>
                  </w:r>
                  <w:r>
                    <w:rPr>
                      <w:rFonts w:hint="default" w:ascii="Times New Roman" w:hAnsi="Times New Roman" w:eastAsia="Helvetica" w:cs="Times New Roman"/>
                      <w:i w:val="0"/>
                      <w:iCs w:val="0"/>
                      <w:caps w:val="0"/>
                      <w:color w:val="auto"/>
                      <w:spacing w:val="0"/>
                      <w:sz w:val="15"/>
                      <w:szCs w:val="15"/>
                      <w:shd w:val="clear" w:fill="FFFFFF"/>
                      <w:vertAlign w:val="baseline"/>
                    </w:rPr>
                    <w:t>4</w:t>
                  </w:r>
                  <w:r>
                    <w:rPr>
                      <w:rFonts w:hint="default" w:ascii="Times New Roman" w:hAnsi="Times New Roman" w:eastAsia="Helvetica" w:cs="Times New Roman"/>
                      <w:i w:val="0"/>
                      <w:iCs w:val="0"/>
                      <w:caps w:val="0"/>
                      <w:color w:val="auto"/>
                      <w:spacing w:val="0"/>
                      <w:sz w:val="21"/>
                      <w:szCs w:val="21"/>
                      <w:shd w:val="clear" w:fill="FFFFFF"/>
                    </w:rPr>
                    <w:t>O</w:t>
                  </w:r>
                  <w:r>
                    <w:rPr>
                      <w:rFonts w:hint="default" w:ascii="Times New Roman" w:hAnsi="Times New Roman" w:eastAsia="Helvetica" w:cs="Times New Roman"/>
                      <w:i w:val="0"/>
                      <w:iCs w:val="0"/>
                      <w:caps w:val="0"/>
                      <w:color w:val="auto"/>
                      <w:spacing w:val="0"/>
                      <w:sz w:val="15"/>
                      <w:szCs w:val="15"/>
                      <w:shd w:val="clear" w:fill="FFFFFF"/>
                      <w:vertAlign w:val="baseline"/>
                    </w:rPr>
                    <w:t>6</w:t>
                  </w:r>
                </w:p>
              </w:tc>
              <w:tc>
                <w:tcPr>
                  <w:tcW w:w="2322" w:type="pct"/>
                  <w:shd w:val="clear" w:color="auto" w:fill="auto"/>
                  <w:noWrap w:val="0"/>
                  <w:vAlign w:val="center"/>
                </w:tcPr>
                <w:p w14:paraId="3BE6E59C">
                  <w:pPr>
                    <w:widowControl/>
                    <w:jc w:val="left"/>
                    <w:textAlignment w:val="center"/>
                    <w:rPr>
                      <w:color w:val="auto"/>
                      <w:kern w:val="0"/>
                      <w:szCs w:val="21"/>
                      <w:highlight w:val="none"/>
                      <w:lang w:bidi="ar"/>
                    </w:rPr>
                  </w:pPr>
                  <w:r>
                    <w:rPr>
                      <w:color w:val="auto"/>
                      <w:kern w:val="0"/>
                      <w:szCs w:val="21"/>
                      <w:highlight w:val="none"/>
                      <w:lang w:bidi="ar"/>
                    </w:rPr>
                    <w:t>是酒石酸钠与酒石酸钾形成的复盐。无色至蓝白色正交晶系晶体，可溶于水，微溶于醇，水溶液呈微碱性。</w:t>
                  </w:r>
                  <w:r>
                    <w:rPr>
                      <w:rFonts w:hint="default"/>
                      <w:color w:val="auto"/>
                      <w:kern w:val="0"/>
                      <w:szCs w:val="21"/>
                      <w:highlight w:val="none"/>
                      <w:lang w:bidi="ar"/>
                    </w:rPr>
                    <w:t>用于配制</w:t>
                  </w:r>
                  <w:r>
                    <w:rPr>
                      <w:rFonts w:hint="default"/>
                      <w:color w:val="auto"/>
                      <w:kern w:val="0"/>
                      <w:szCs w:val="21"/>
                      <w:highlight w:val="none"/>
                      <w:lang w:bidi="ar"/>
                    </w:rPr>
                    <w:fldChar w:fldCharType="begin"/>
                  </w:r>
                  <w:r>
                    <w:rPr>
                      <w:rFonts w:hint="default"/>
                      <w:color w:val="auto"/>
                      <w:kern w:val="0"/>
                      <w:szCs w:val="21"/>
                      <w:highlight w:val="none"/>
                      <w:lang w:bidi="ar"/>
                    </w:rPr>
                    <w:instrText xml:space="preserve"> HYPERLINK "https://baike.baidu.com/item/%E6%96%90%E6%9E%97%E8%AF%95%E5%89%82/9389294?fromModule=lemma_inlink" \t "https://baike.baidu.com/item/%E9%85%92%E7%9F%B3%E9%85%B8%E9%92%BE%E9%92%A0/_blank" </w:instrText>
                  </w:r>
                  <w:r>
                    <w:rPr>
                      <w:rFonts w:hint="default"/>
                      <w:color w:val="auto"/>
                      <w:kern w:val="0"/>
                      <w:szCs w:val="21"/>
                      <w:highlight w:val="none"/>
                      <w:lang w:bidi="ar"/>
                    </w:rPr>
                    <w:fldChar w:fldCharType="separate"/>
                  </w:r>
                  <w:r>
                    <w:rPr>
                      <w:rFonts w:hint="default"/>
                      <w:color w:val="auto"/>
                      <w:kern w:val="0"/>
                      <w:szCs w:val="21"/>
                      <w:highlight w:val="none"/>
                      <w:lang w:bidi="ar"/>
                    </w:rPr>
                    <w:t>斐林试剂</w:t>
                  </w:r>
                  <w:r>
                    <w:rPr>
                      <w:rFonts w:hint="default"/>
                      <w:color w:val="auto"/>
                      <w:kern w:val="0"/>
                      <w:szCs w:val="21"/>
                      <w:highlight w:val="none"/>
                      <w:lang w:bidi="ar"/>
                    </w:rPr>
                    <w:fldChar w:fldCharType="end"/>
                  </w:r>
                  <w:r>
                    <w:rPr>
                      <w:rFonts w:hint="default"/>
                      <w:color w:val="auto"/>
                      <w:kern w:val="0"/>
                      <w:szCs w:val="21"/>
                      <w:highlight w:val="none"/>
                      <w:lang w:bidi="ar"/>
                    </w:rPr>
                    <w:t>、</w:t>
                  </w:r>
                  <w:r>
                    <w:rPr>
                      <w:rFonts w:hint="default"/>
                      <w:color w:val="auto"/>
                      <w:kern w:val="0"/>
                      <w:szCs w:val="21"/>
                      <w:highlight w:val="none"/>
                      <w:lang w:bidi="ar"/>
                    </w:rPr>
                    <w:fldChar w:fldCharType="begin"/>
                  </w:r>
                  <w:r>
                    <w:rPr>
                      <w:rFonts w:hint="default"/>
                      <w:color w:val="auto"/>
                      <w:kern w:val="0"/>
                      <w:szCs w:val="21"/>
                      <w:highlight w:val="none"/>
                      <w:lang w:bidi="ar"/>
                    </w:rPr>
                    <w:instrText xml:space="preserve"> HYPERLINK "https://baike.baidu.com/item/%E5%8F%8C%E7%BC%A9%E8%84%B2%E8%AF%95%E5%89%82/9543423?fromModule=lemma_inlink" \t "https://baike.baidu.com/item/%E9%85%92%E7%9F%B3%E9%85%B8%E9%92%BE%E9%92%A0/_blank" </w:instrText>
                  </w:r>
                  <w:r>
                    <w:rPr>
                      <w:rFonts w:hint="default"/>
                      <w:color w:val="auto"/>
                      <w:kern w:val="0"/>
                      <w:szCs w:val="21"/>
                      <w:highlight w:val="none"/>
                      <w:lang w:bidi="ar"/>
                    </w:rPr>
                    <w:fldChar w:fldCharType="separate"/>
                  </w:r>
                  <w:r>
                    <w:rPr>
                      <w:rFonts w:hint="default"/>
                      <w:color w:val="auto"/>
                      <w:kern w:val="0"/>
                      <w:szCs w:val="21"/>
                      <w:highlight w:val="none"/>
                      <w:lang w:bidi="ar"/>
                    </w:rPr>
                    <w:t>双缩脲试剂</w:t>
                  </w:r>
                  <w:r>
                    <w:rPr>
                      <w:rFonts w:hint="default"/>
                      <w:color w:val="auto"/>
                      <w:kern w:val="0"/>
                      <w:szCs w:val="21"/>
                      <w:highlight w:val="none"/>
                      <w:lang w:bidi="ar"/>
                    </w:rPr>
                    <w:fldChar w:fldCharType="end"/>
                  </w:r>
                  <w:r>
                    <w:rPr>
                      <w:rFonts w:hint="default"/>
                      <w:color w:val="auto"/>
                      <w:kern w:val="0"/>
                      <w:szCs w:val="21"/>
                      <w:highlight w:val="none"/>
                      <w:lang w:bidi="ar"/>
                    </w:rPr>
                    <w:t>以及作为制作镜背银层时的还原剂。</w:t>
                  </w:r>
                </w:p>
              </w:tc>
              <w:tc>
                <w:tcPr>
                  <w:tcW w:w="1455" w:type="pct"/>
                  <w:shd w:val="clear" w:color="auto" w:fill="auto"/>
                  <w:noWrap w:val="0"/>
                  <w:vAlign w:val="center"/>
                </w:tcPr>
                <w:p w14:paraId="6F4D3D87">
                  <w:pPr>
                    <w:widowControl/>
                    <w:ind w:firstLine="420" w:firstLineChars="200"/>
                    <w:jc w:val="left"/>
                    <w:textAlignment w:val="center"/>
                    <w:rPr>
                      <w:rFonts w:hint="eastAsia" w:eastAsia="宋体"/>
                      <w:color w:val="auto"/>
                      <w:kern w:val="0"/>
                      <w:szCs w:val="21"/>
                      <w:highlight w:val="none"/>
                      <w:lang w:val="en-US" w:eastAsia="zh-CN" w:bidi="ar"/>
                    </w:rPr>
                  </w:pPr>
                  <w:r>
                    <w:rPr>
                      <w:rFonts w:hint="eastAsia"/>
                      <w:color w:val="auto"/>
                      <w:kern w:val="0"/>
                      <w:szCs w:val="21"/>
                      <w:highlight w:val="none"/>
                      <w:lang w:val="en-US" w:eastAsia="zh-CN" w:bidi="ar"/>
                    </w:rPr>
                    <w:t>无毒</w:t>
                  </w:r>
                </w:p>
              </w:tc>
            </w:tr>
            <w:tr w14:paraId="1B13204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22" w:type="pct"/>
                  <w:noWrap w:val="0"/>
                  <w:vAlign w:val="center"/>
                </w:tcPr>
                <w:p w14:paraId="1D4CDFD8">
                  <w:pPr>
                    <w:widowControl/>
                    <w:jc w:val="center"/>
                    <w:textAlignment w:val="center"/>
                    <w:rPr>
                      <w:rFonts w:hint="default"/>
                      <w:color w:val="auto"/>
                      <w:kern w:val="0"/>
                      <w:szCs w:val="21"/>
                      <w:highlight w:val="none"/>
                      <w:lang w:val="en-US" w:eastAsia="zh-CN" w:bidi="ar"/>
                    </w:rPr>
                  </w:pPr>
                  <w:r>
                    <w:rPr>
                      <w:rFonts w:hint="eastAsia"/>
                      <w:color w:val="auto"/>
                      <w:kern w:val="0"/>
                      <w:szCs w:val="21"/>
                      <w:highlight w:val="none"/>
                      <w:lang w:val="en-US" w:eastAsia="zh-CN" w:bidi="ar"/>
                    </w:rPr>
                    <w:t>7</w:t>
                  </w:r>
                </w:p>
              </w:tc>
              <w:tc>
                <w:tcPr>
                  <w:tcW w:w="478" w:type="pct"/>
                  <w:shd w:val="clear" w:color="auto" w:fill="auto"/>
                  <w:noWrap w:val="0"/>
                  <w:vAlign w:val="center"/>
                </w:tcPr>
                <w:p w14:paraId="135E1589">
                  <w:pPr>
                    <w:widowControl/>
                    <w:jc w:val="center"/>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三乙醇胺</w:t>
                  </w:r>
                </w:p>
              </w:tc>
              <w:tc>
                <w:tcPr>
                  <w:tcW w:w="521" w:type="pct"/>
                  <w:shd w:val="clear" w:color="auto" w:fill="auto"/>
                  <w:noWrap w:val="0"/>
                  <w:vAlign w:val="center"/>
                </w:tcPr>
                <w:p w14:paraId="4C053A6F">
                  <w:pPr>
                    <w:widowControl/>
                    <w:jc w:val="center"/>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C</w:t>
                  </w:r>
                  <w:r>
                    <w:rPr>
                      <w:color w:val="auto"/>
                      <w:kern w:val="0"/>
                      <w:szCs w:val="21"/>
                      <w:highlight w:val="none"/>
                      <w:vertAlign w:val="subscript"/>
                      <w:lang w:bidi="ar"/>
                    </w:rPr>
                    <w:t>6</w:t>
                  </w:r>
                  <w:r>
                    <w:rPr>
                      <w:color w:val="auto"/>
                      <w:kern w:val="0"/>
                      <w:szCs w:val="21"/>
                      <w:highlight w:val="none"/>
                      <w:lang w:bidi="ar"/>
                    </w:rPr>
                    <w:t>H</w:t>
                  </w:r>
                  <w:r>
                    <w:rPr>
                      <w:color w:val="auto"/>
                      <w:kern w:val="0"/>
                      <w:szCs w:val="21"/>
                      <w:highlight w:val="none"/>
                      <w:vertAlign w:val="subscript"/>
                      <w:lang w:bidi="ar"/>
                    </w:rPr>
                    <w:t>15</w:t>
                  </w:r>
                  <w:r>
                    <w:rPr>
                      <w:color w:val="auto"/>
                      <w:kern w:val="0"/>
                      <w:szCs w:val="21"/>
                      <w:highlight w:val="none"/>
                      <w:lang w:bidi="ar"/>
                    </w:rPr>
                    <w:t>NO</w:t>
                  </w:r>
                  <w:r>
                    <w:rPr>
                      <w:color w:val="auto"/>
                      <w:kern w:val="0"/>
                      <w:szCs w:val="21"/>
                      <w:highlight w:val="none"/>
                      <w:vertAlign w:val="subscript"/>
                      <w:lang w:bidi="ar"/>
                    </w:rPr>
                    <w:t>3</w:t>
                  </w:r>
                </w:p>
              </w:tc>
              <w:tc>
                <w:tcPr>
                  <w:tcW w:w="2322" w:type="pct"/>
                  <w:shd w:val="clear" w:color="auto" w:fill="auto"/>
                  <w:noWrap w:val="0"/>
                  <w:vAlign w:val="center"/>
                </w:tcPr>
                <w:p w14:paraId="7CB2EB27">
                  <w:pPr>
                    <w:widowControl/>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无色至淡黄色透明</w:t>
                  </w:r>
                  <w:r>
                    <w:rPr>
                      <w:rFonts w:hint="eastAsia"/>
                      <w:color w:val="auto"/>
                      <w:kern w:val="0"/>
                      <w:szCs w:val="21"/>
                      <w:highlight w:val="none"/>
                      <w:lang w:bidi="ar"/>
                    </w:rPr>
                    <w:t>黏稠</w:t>
                  </w:r>
                  <w:r>
                    <w:rPr>
                      <w:color w:val="auto"/>
                      <w:kern w:val="0"/>
                      <w:szCs w:val="21"/>
                      <w:highlight w:val="none"/>
                      <w:lang w:bidi="ar"/>
                    </w:rPr>
                    <w:t>液体，微有氨味，低温时成为无色至淡黄色立方晶系晶体，露置于空气中时颜色渐渐变深；易溶于水、乙醇、丙酮、甘油及乙二醇等，微溶于苯、乙醚及四氯化碳等，在非极性溶剂中几乎不溶解；有刺激性，具吸湿性，能吸收二氧化碳及硫化氢等酸性气体，可燃</w:t>
                  </w:r>
                  <w:r>
                    <w:rPr>
                      <w:rFonts w:hint="eastAsia"/>
                      <w:color w:val="auto"/>
                      <w:kern w:val="0"/>
                      <w:szCs w:val="21"/>
                      <w:highlight w:val="none"/>
                      <w:lang w:bidi="ar"/>
                    </w:rPr>
                    <w:t>。</w:t>
                  </w:r>
                </w:p>
              </w:tc>
              <w:tc>
                <w:tcPr>
                  <w:tcW w:w="1455" w:type="pct"/>
                  <w:shd w:val="clear" w:color="auto" w:fill="auto"/>
                  <w:noWrap w:val="0"/>
                  <w:vAlign w:val="center"/>
                </w:tcPr>
                <w:p w14:paraId="34D5642B">
                  <w:pPr>
                    <w:widowControl/>
                    <w:textAlignment w:val="center"/>
                    <w:rPr>
                      <w:rFonts w:ascii="Times New Roman" w:hAnsi="Times New Roman" w:eastAsia="宋体" w:cs="Times New Roman"/>
                      <w:color w:val="auto"/>
                      <w:kern w:val="2"/>
                      <w:sz w:val="21"/>
                      <w:szCs w:val="21"/>
                      <w:highlight w:val="none"/>
                      <w:lang w:val="en-US" w:eastAsia="zh-CN" w:bidi="ar-SA"/>
                    </w:rPr>
                  </w:pPr>
                  <w:r>
                    <w:rPr>
                      <w:color w:val="auto"/>
                      <w:kern w:val="0"/>
                      <w:szCs w:val="21"/>
                      <w:highlight w:val="none"/>
                      <w:lang w:bidi="ar"/>
                    </w:rPr>
                    <w:t>急性毒性</w:t>
                  </w:r>
                  <w:r>
                    <w:rPr>
                      <w:rFonts w:hint="eastAsia"/>
                      <w:color w:val="auto"/>
                      <w:kern w:val="0"/>
                      <w:szCs w:val="21"/>
                      <w:highlight w:val="none"/>
                      <w:lang w:bidi="ar"/>
                    </w:rPr>
                    <w:t>：</w:t>
                  </w:r>
                  <w:r>
                    <w:rPr>
                      <w:color w:val="auto"/>
                      <w:kern w:val="0"/>
                      <w:szCs w:val="21"/>
                      <w:highlight w:val="none"/>
                      <w:lang w:bidi="ar"/>
                    </w:rPr>
                    <w:t>在胺类中口服毒性最低，大鼠经口LD</w:t>
                  </w:r>
                  <w:r>
                    <w:rPr>
                      <w:color w:val="auto"/>
                      <w:kern w:val="0"/>
                      <w:szCs w:val="21"/>
                      <w:highlight w:val="none"/>
                      <w:vertAlign w:val="subscript"/>
                      <w:lang w:bidi="ar"/>
                    </w:rPr>
                    <w:t>50</w:t>
                  </w:r>
                  <w:r>
                    <w:rPr>
                      <w:rFonts w:hint="eastAsia"/>
                      <w:color w:val="auto"/>
                      <w:kern w:val="0"/>
                      <w:szCs w:val="21"/>
                      <w:highlight w:val="none"/>
                      <w:lang w:bidi="ar"/>
                    </w:rPr>
                    <w:t>：</w:t>
                  </w:r>
                  <w:r>
                    <w:rPr>
                      <w:color w:val="auto"/>
                      <w:kern w:val="0"/>
                      <w:szCs w:val="21"/>
                      <w:highlight w:val="none"/>
                      <w:lang w:bidi="ar"/>
                    </w:rPr>
                    <w:t>9110</w:t>
                  </w:r>
                  <w:r>
                    <w:rPr>
                      <w:rFonts w:hint="eastAsia"/>
                      <w:color w:val="auto"/>
                      <w:kern w:val="0"/>
                      <w:szCs w:val="21"/>
                      <w:highlight w:val="none"/>
                      <w:lang w:bidi="ar"/>
                    </w:rPr>
                    <w:t xml:space="preserve"> </w:t>
                  </w:r>
                  <w:r>
                    <w:rPr>
                      <w:color w:val="auto"/>
                      <w:kern w:val="0"/>
                      <w:szCs w:val="21"/>
                      <w:highlight w:val="none"/>
                      <w:lang w:bidi="ar"/>
                    </w:rPr>
                    <w:t>mg/kg</w:t>
                  </w:r>
                  <w:r>
                    <w:rPr>
                      <w:rFonts w:hint="eastAsia"/>
                      <w:color w:val="auto"/>
                      <w:kern w:val="0"/>
                      <w:szCs w:val="21"/>
                      <w:highlight w:val="none"/>
                      <w:lang w:bidi="ar"/>
                    </w:rPr>
                    <w:t>；</w:t>
                  </w:r>
                  <w:r>
                    <w:rPr>
                      <w:color w:val="auto"/>
                      <w:kern w:val="0"/>
                      <w:szCs w:val="21"/>
                      <w:highlight w:val="none"/>
                      <w:lang w:bidi="ar"/>
                    </w:rPr>
                    <w:t>小鼠经口LC</w:t>
                  </w:r>
                  <w:r>
                    <w:rPr>
                      <w:color w:val="auto"/>
                      <w:kern w:val="0"/>
                      <w:szCs w:val="21"/>
                      <w:highlight w:val="none"/>
                      <w:vertAlign w:val="subscript"/>
                      <w:lang w:bidi="ar"/>
                    </w:rPr>
                    <w:t>50</w:t>
                  </w:r>
                  <w:r>
                    <w:rPr>
                      <w:rFonts w:hint="eastAsia"/>
                      <w:color w:val="auto"/>
                      <w:kern w:val="0"/>
                      <w:szCs w:val="21"/>
                      <w:highlight w:val="none"/>
                      <w:lang w:bidi="ar"/>
                    </w:rPr>
                    <w:t>：</w:t>
                  </w:r>
                  <w:r>
                    <w:rPr>
                      <w:color w:val="auto"/>
                      <w:kern w:val="0"/>
                      <w:szCs w:val="21"/>
                      <w:highlight w:val="none"/>
                      <w:lang w:bidi="ar"/>
                    </w:rPr>
                    <w:t>8680</w:t>
                  </w:r>
                  <w:r>
                    <w:rPr>
                      <w:rFonts w:hint="eastAsia"/>
                      <w:color w:val="auto"/>
                      <w:kern w:val="0"/>
                      <w:szCs w:val="21"/>
                      <w:highlight w:val="none"/>
                      <w:lang w:bidi="ar"/>
                    </w:rPr>
                    <w:t xml:space="preserve"> </w:t>
                  </w:r>
                  <w:r>
                    <w:rPr>
                      <w:color w:val="auto"/>
                      <w:kern w:val="0"/>
                      <w:szCs w:val="21"/>
                      <w:highlight w:val="none"/>
                      <w:lang w:bidi="ar"/>
                    </w:rPr>
                    <w:t>mg/kg；刺激数据</w:t>
                  </w:r>
                  <w:r>
                    <w:rPr>
                      <w:rFonts w:hint="eastAsia"/>
                      <w:color w:val="auto"/>
                      <w:kern w:val="0"/>
                      <w:szCs w:val="21"/>
                      <w:highlight w:val="none"/>
                      <w:lang w:bidi="ar"/>
                    </w:rPr>
                    <w:t>：</w:t>
                  </w:r>
                  <w:r>
                    <w:rPr>
                      <w:color w:val="auto"/>
                      <w:kern w:val="0"/>
                      <w:szCs w:val="21"/>
                      <w:highlight w:val="none"/>
                      <w:lang w:bidi="ar"/>
                    </w:rPr>
                    <w:t>皮肤-兔子 560</w:t>
                  </w:r>
                  <w:r>
                    <w:rPr>
                      <w:rFonts w:hint="eastAsia"/>
                      <w:color w:val="auto"/>
                      <w:kern w:val="0"/>
                      <w:szCs w:val="21"/>
                      <w:highlight w:val="none"/>
                      <w:lang w:bidi="ar"/>
                    </w:rPr>
                    <w:t>mg</w:t>
                  </w:r>
                  <w:r>
                    <w:rPr>
                      <w:color w:val="auto"/>
                      <w:kern w:val="0"/>
                      <w:szCs w:val="21"/>
                      <w:highlight w:val="none"/>
                      <w:lang w:bidi="ar"/>
                    </w:rPr>
                    <w:t>/ 24</w:t>
                  </w:r>
                  <w:r>
                    <w:rPr>
                      <w:rFonts w:hint="eastAsia"/>
                      <w:color w:val="auto"/>
                      <w:kern w:val="0"/>
                      <w:szCs w:val="21"/>
                      <w:highlight w:val="none"/>
                      <w:lang w:bidi="ar"/>
                    </w:rPr>
                    <w:t>h</w:t>
                  </w:r>
                  <w:r>
                    <w:rPr>
                      <w:color w:val="auto"/>
                      <w:kern w:val="0"/>
                      <w:szCs w:val="21"/>
                      <w:highlight w:val="none"/>
                      <w:lang w:bidi="ar"/>
                    </w:rPr>
                    <w:t>；吸入性中毒的可能性小，但如沾染和接触该品，手和前臂的背面可见皮炎和湿疹。</w:t>
                  </w:r>
                </w:p>
              </w:tc>
            </w:tr>
            <w:tr w14:paraId="4D6F3B6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22" w:type="pct"/>
                  <w:noWrap w:val="0"/>
                  <w:vAlign w:val="center"/>
                </w:tcPr>
                <w:p w14:paraId="55E24649">
                  <w:pPr>
                    <w:widowControl/>
                    <w:jc w:val="center"/>
                    <w:textAlignment w:val="center"/>
                    <w:rPr>
                      <w:rFonts w:hint="default" w:eastAsia="宋体"/>
                      <w:color w:val="auto"/>
                      <w:szCs w:val="21"/>
                      <w:highlight w:val="none"/>
                      <w:lang w:val="en-US" w:eastAsia="zh-CN"/>
                    </w:rPr>
                  </w:pPr>
                  <w:r>
                    <w:rPr>
                      <w:rFonts w:hint="eastAsia"/>
                      <w:color w:val="auto"/>
                      <w:szCs w:val="21"/>
                      <w:highlight w:val="none"/>
                      <w:lang w:val="en-US" w:eastAsia="zh-CN"/>
                    </w:rPr>
                    <w:t>8</w:t>
                  </w:r>
                </w:p>
              </w:tc>
              <w:tc>
                <w:tcPr>
                  <w:tcW w:w="478" w:type="pct"/>
                  <w:noWrap w:val="0"/>
                  <w:vAlign w:val="center"/>
                </w:tcPr>
                <w:p w14:paraId="400BAF9D">
                  <w:pPr>
                    <w:widowControl/>
                    <w:jc w:val="center"/>
                    <w:textAlignment w:val="center"/>
                    <w:rPr>
                      <w:color w:val="auto"/>
                      <w:szCs w:val="21"/>
                      <w:highlight w:val="none"/>
                    </w:rPr>
                  </w:pPr>
                  <w:r>
                    <w:rPr>
                      <w:color w:val="auto"/>
                      <w:kern w:val="0"/>
                      <w:szCs w:val="21"/>
                      <w:highlight w:val="none"/>
                      <w:lang w:bidi="ar"/>
                    </w:rPr>
                    <w:t>盐酸</w:t>
                  </w:r>
                </w:p>
              </w:tc>
              <w:tc>
                <w:tcPr>
                  <w:tcW w:w="521" w:type="pct"/>
                  <w:noWrap w:val="0"/>
                  <w:vAlign w:val="center"/>
                </w:tcPr>
                <w:p w14:paraId="23CF8687">
                  <w:pPr>
                    <w:widowControl/>
                    <w:jc w:val="center"/>
                    <w:textAlignment w:val="center"/>
                    <w:rPr>
                      <w:color w:val="auto"/>
                      <w:szCs w:val="21"/>
                      <w:highlight w:val="none"/>
                    </w:rPr>
                  </w:pPr>
                  <w:r>
                    <w:rPr>
                      <w:color w:val="auto"/>
                      <w:kern w:val="0"/>
                      <w:szCs w:val="21"/>
                      <w:highlight w:val="none"/>
                      <w:lang w:bidi="ar"/>
                    </w:rPr>
                    <w:t>HCl</w:t>
                  </w:r>
                </w:p>
              </w:tc>
              <w:tc>
                <w:tcPr>
                  <w:tcW w:w="2322" w:type="pct"/>
                  <w:noWrap w:val="0"/>
                  <w:vAlign w:val="center"/>
                </w:tcPr>
                <w:p w14:paraId="3FBF66B1">
                  <w:pPr>
                    <w:widowControl/>
                    <w:jc w:val="left"/>
                    <w:textAlignment w:val="center"/>
                    <w:rPr>
                      <w:color w:val="auto"/>
                      <w:szCs w:val="21"/>
                      <w:highlight w:val="none"/>
                    </w:rPr>
                  </w:pPr>
                  <w:r>
                    <w:rPr>
                      <w:color w:val="auto"/>
                      <w:kern w:val="0"/>
                      <w:szCs w:val="21"/>
                      <w:highlight w:val="none"/>
                      <w:lang w:bidi="ar"/>
                    </w:rPr>
                    <w:t>有酸味，无色有刺激性气味的液体；易溶于水，溶于乙醇、乙醚。不燃，具有强腐蚀性、强刺激性，可致人体灼伤；接触蒸汽或烟雾可引起急性中毒，误服可引起消化道灼伤、溃疡形成。</w:t>
                  </w:r>
                </w:p>
              </w:tc>
              <w:tc>
                <w:tcPr>
                  <w:tcW w:w="1455" w:type="pct"/>
                  <w:noWrap w:val="0"/>
                  <w:vAlign w:val="center"/>
                </w:tcPr>
                <w:p w14:paraId="4A7D59AC">
                  <w:pPr>
                    <w:widowControl/>
                    <w:jc w:val="left"/>
                    <w:textAlignment w:val="center"/>
                    <w:rPr>
                      <w:color w:val="auto"/>
                      <w:szCs w:val="21"/>
                      <w:highlight w:val="none"/>
                    </w:rPr>
                  </w:pPr>
                  <w:r>
                    <w:rPr>
                      <w:color w:val="auto"/>
                      <w:kern w:val="0"/>
                      <w:szCs w:val="21"/>
                      <w:highlight w:val="none"/>
                      <w:lang w:bidi="ar"/>
                    </w:rPr>
                    <w:fldChar w:fldCharType="begin"/>
                  </w:r>
                  <w:r>
                    <w:rPr>
                      <w:color w:val="auto"/>
                      <w:kern w:val="0"/>
                      <w:szCs w:val="21"/>
                      <w:highlight w:val="none"/>
                      <w:lang w:bidi="ar"/>
                    </w:rPr>
                    <w:instrText xml:space="preserve"> HYPERLINK "https://baike.so.com/doc/6207032-6420299.html" \o "https://baike.so.com/doc/6207032-6420299.html" </w:instrText>
                  </w:r>
                  <w:r>
                    <w:rPr>
                      <w:color w:val="auto"/>
                      <w:kern w:val="0"/>
                      <w:szCs w:val="21"/>
                      <w:highlight w:val="none"/>
                      <w:lang w:bidi="ar"/>
                    </w:rPr>
                    <w:fldChar w:fldCharType="separate"/>
                  </w:r>
                  <w:r>
                    <w:rPr>
                      <w:rFonts w:hint="eastAsia"/>
                      <w:color w:val="auto"/>
                      <w:kern w:val="0"/>
                      <w:szCs w:val="21"/>
                      <w:highlight w:val="none"/>
                      <w:lang w:bidi="ar"/>
                    </w:rPr>
                    <w:t xml:space="preserve"> </w:t>
                  </w:r>
                  <w:r>
                    <w:rPr>
                      <w:rStyle w:val="34"/>
                      <w:color w:val="auto"/>
                      <w:szCs w:val="21"/>
                      <w:highlight w:val="none"/>
                      <w:u w:val="none"/>
                    </w:rPr>
                    <w:t>对眼和呼吸道</w:t>
                  </w:r>
                  <w:r>
                    <w:rPr>
                      <w:rStyle w:val="34"/>
                      <w:rFonts w:hint="eastAsia"/>
                      <w:color w:val="auto"/>
                      <w:szCs w:val="21"/>
                      <w:highlight w:val="none"/>
                      <w:u w:val="none"/>
                    </w:rPr>
                    <w:t>黏膜</w:t>
                  </w:r>
                  <w:r>
                    <w:rPr>
                      <w:rStyle w:val="34"/>
                      <w:color w:val="auto"/>
                      <w:szCs w:val="21"/>
                      <w:highlight w:val="none"/>
                      <w:u w:val="none"/>
                    </w:rPr>
                    <w:t>有强烈的刺激作用。急性中毒</w:t>
                  </w:r>
                  <w:r>
                    <w:rPr>
                      <w:rStyle w:val="34"/>
                      <w:rFonts w:hint="eastAsia"/>
                      <w:color w:val="auto"/>
                      <w:szCs w:val="21"/>
                      <w:highlight w:val="none"/>
                      <w:u w:val="none"/>
                    </w:rPr>
                    <w:t>：</w:t>
                  </w:r>
                  <w:r>
                    <w:rPr>
                      <w:rStyle w:val="34"/>
                      <w:color w:val="auto"/>
                      <w:szCs w:val="21"/>
                      <w:highlight w:val="none"/>
                      <w:u w:val="none"/>
                    </w:rPr>
                    <w:t>出现头痛、头昏、恶心、眼痛、咳嗽、痰中带血、呼吸困难、胸闷、胸痛等。重者发生肺炎、肺水肿、肺不张。眼角膜可见溃疡或混浊。皮肤直接接触可出现大量粟粒样红色小丘疹而呈潮红痛热。</w:t>
                  </w:r>
                  <w:r>
                    <w:rPr>
                      <w:color w:val="auto"/>
                      <w:kern w:val="0"/>
                      <w:szCs w:val="21"/>
                      <w:highlight w:val="none"/>
                      <w:lang w:bidi="ar"/>
                    </w:rPr>
                    <w:fldChar w:fldCharType="end"/>
                  </w:r>
                </w:p>
              </w:tc>
            </w:tr>
          </w:tbl>
          <w:p w14:paraId="78C3F8E2">
            <w:pPr>
              <w:widowControl/>
              <w:spacing w:line="360" w:lineRule="auto"/>
              <w:ind w:firstLine="482" w:firstLineChars="200"/>
              <w:rPr>
                <w:b/>
                <w:bCs/>
                <w:color w:val="auto"/>
                <w:sz w:val="24"/>
              </w:rPr>
            </w:pPr>
            <w:r>
              <w:rPr>
                <w:b/>
                <w:bCs/>
                <w:color w:val="auto"/>
                <w:sz w:val="24"/>
              </w:rPr>
              <w:t>6、平面布置</w:t>
            </w:r>
          </w:p>
          <w:p w14:paraId="38B48AED">
            <w:pPr>
              <w:spacing w:line="360" w:lineRule="auto"/>
              <w:ind w:firstLine="480" w:firstLineChars="200"/>
              <w:rPr>
                <w:color w:val="auto"/>
                <w:sz w:val="24"/>
              </w:rPr>
            </w:pPr>
            <w:r>
              <w:rPr>
                <w:bCs/>
                <w:color w:val="auto"/>
                <w:sz w:val="24"/>
              </w:rPr>
              <w:t>本项目</w:t>
            </w:r>
            <w:r>
              <w:rPr>
                <w:rFonts w:hint="eastAsia"/>
                <w:bCs/>
                <w:color w:val="auto"/>
                <w:sz w:val="24"/>
                <w:lang w:val="en-US" w:eastAsia="zh-CN"/>
              </w:rPr>
              <w:t>实验室</w:t>
            </w:r>
            <w:r>
              <w:rPr>
                <w:rFonts w:hint="eastAsia"/>
                <w:bCs/>
                <w:color w:val="auto"/>
                <w:sz w:val="24"/>
              </w:rPr>
              <w:t>位于</w:t>
            </w:r>
            <w:r>
              <w:rPr>
                <w:rFonts w:hint="eastAsia"/>
                <w:bCs/>
                <w:color w:val="auto"/>
                <w:sz w:val="24"/>
                <w:lang w:val="en-US" w:eastAsia="zh-CN"/>
              </w:rPr>
              <w:t>项目所在一楼中部和东部</w:t>
            </w:r>
            <w:r>
              <w:rPr>
                <w:rFonts w:hint="eastAsia"/>
                <w:bCs/>
                <w:color w:val="auto"/>
                <w:sz w:val="24"/>
              </w:rPr>
              <w:t>，办公楼、</w:t>
            </w:r>
            <w:r>
              <w:rPr>
                <w:rFonts w:hint="eastAsia"/>
                <w:bCs/>
                <w:color w:val="auto"/>
                <w:sz w:val="24"/>
                <w:lang w:val="en-US" w:eastAsia="zh-CN"/>
              </w:rPr>
              <w:t>打印室、卫生间</w:t>
            </w:r>
            <w:r>
              <w:rPr>
                <w:rFonts w:hint="eastAsia"/>
                <w:bCs/>
                <w:color w:val="auto"/>
                <w:sz w:val="24"/>
              </w:rPr>
              <w:t>位于</w:t>
            </w:r>
            <w:r>
              <w:rPr>
                <w:rFonts w:hint="eastAsia"/>
                <w:bCs/>
                <w:color w:val="auto"/>
                <w:sz w:val="24"/>
                <w:lang w:val="en-US" w:eastAsia="zh-CN"/>
              </w:rPr>
              <w:t>一楼西部</w:t>
            </w:r>
            <w:r>
              <w:rPr>
                <w:bCs/>
                <w:color w:val="auto"/>
                <w:sz w:val="24"/>
              </w:rPr>
              <w:t>。</w:t>
            </w:r>
            <w:r>
              <w:rPr>
                <w:rFonts w:hint="eastAsia"/>
                <w:bCs/>
                <w:color w:val="auto"/>
                <w:sz w:val="24"/>
                <w:lang w:val="en-US" w:eastAsia="zh-CN"/>
              </w:rPr>
              <w:t>各个实验室</w:t>
            </w:r>
            <w:r>
              <w:rPr>
                <w:bCs/>
                <w:color w:val="auto"/>
                <w:sz w:val="24"/>
              </w:rPr>
              <w:t>内部设备合理布局，设备排列合理、流畅、操作方便。平面布置功能分区明确，工艺流程顺畅，交通运输顺畅。从总体来看，项目总平面布置合理，具体平面布</w:t>
            </w:r>
            <w:r>
              <w:rPr>
                <w:color w:val="auto"/>
                <w:sz w:val="24"/>
              </w:rPr>
              <w:t>置见附图</w:t>
            </w:r>
            <w:r>
              <w:rPr>
                <w:rFonts w:hint="eastAsia"/>
                <w:color w:val="auto"/>
                <w:sz w:val="24"/>
              </w:rPr>
              <w:t>3</w:t>
            </w:r>
            <w:r>
              <w:rPr>
                <w:color w:val="auto"/>
                <w:sz w:val="24"/>
              </w:rPr>
              <w:t>。</w:t>
            </w:r>
          </w:p>
          <w:p w14:paraId="0103179A">
            <w:pPr>
              <w:widowControl/>
              <w:spacing w:line="360" w:lineRule="auto"/>
              <w:ind w:firstLine="482" w:firstLineChars="200"/>
              <w:rPr>
                <w:b/>
                <w:color w:val="auto"/>
                <w:sz w:val="24"/>
              </w:rPr>
            </w:pPr>
            <w:r>
              <w:rPr>
                <w:b/>
                <w:color w:val="auto"/>
                <w:sz w:val="24"/>
              </w:rPr>
              <w:t>7、劳动定员及工作制度</w:t>
            </w:r>
          </w:p>
          <w:p w14:paraId="4C94B37B">
            <w:pPr>
              <w:spacing w:line="360" w:lineRule="auto"/>
              <w:ind w:firstLine="480" w:firstLineChars="200"/>
              <w:rPr>
                <w:bCs/>
                <w:color w:val="auto"/>
                <w:sz w:val="24"/>
              </w:rPr>
            </w:pPr>
            <w:r>
              <w:rPr>
                <w:rFonts w:hint="eastAsia"/>
                <w:bCs/>
                <w:color w:val="auto"/>
                <w:sz w:val="24"/>
              </w:rPr>
              <w:t>企业工作人员</w:t>
            </w:r>
            <w:r>
              <w:rPr>
                <w:rFonts w:hint="eastAsia"/>
                <w:bCs/>
                <w:color w:val="auto"/>
                <w:sz w:val="24"/>
                <w:lang w:val="en-US" w:eastAsia="zh-CN"/>
              </w:rPr>
              <w:t>34</w:t>
            </w:r>
            <w:r>
              <w:rPr>
                <w:rFonts w:hint="eastAsia"/>
                <w:bCs/>
                <w:color w:val="auto"/>
                <w:sz w:val="24"/>
              </w:rPr>
              <w:t>人，日工作</w:t>
            </w:r>
            <w:r>
              <w:rPr>
                <w:rFonts w:hint="eastAsia"/>
                <w:bCs/>
                <w:color w:val="auto"/>
                <w:sz w:val="24"/>
                <w:lang w:val="en-US" w:eastAsia="zh-CN"/>
              </w:rPr>
              <w:t>8</w:t>
            </w:r>
            <w:r>
              <w:rPr>
                <w:rFonts w:hint="eastAsia"/>
                <w:bCs/>
                <w:color w:val="auto"/>
                <w:sz w:val="24"/>
              </w:rPr>
              <w:t>小时，年运行天数为2</w:t>
            </w:r>
            <w:r>
              <w:rPr>
                <w:rFonts w:hint="eastAsia"/>
                <w:bCs/>
                <w:color w:val="auto"/>
                <w:sz w:val="24"/>
                <w:lang w:val="en-US" w:eastAsia="zh-CN"/>
              </w:rPr>
              <w:t>5</w:t>
            </w:r>
            <w:r>
              <w:rPr>
                <w:rFonts w:hint="eastAsia"/>
                <w:bCs/>
                <w:color w:val="auto"/>
                <w:sz w:val="24"/>
              </w:rPr>
              <w:t>0天，</w:t>
            </w:r>
            <w:r>
              <w:rPr>
                <w:rFonts w:hint="eastAsia"/>
                <w:bCs/>
                <w:color w:val="auto"/>
                <w:sz w:val="24"/>
                <w:lang w:val="en-US" w:eastAsia="zh-CN"/>
              </w:rPr>
              <w:t>不提供食宿</w:t>
            </w:r>
            <w:r>
              <w:rPr>
                <w:rFonts w:hint="eastAsia"/>
                <w:bCs/>
                <w:color w:val="auto"/>
                <w:sz w:val="24"/>
              </w:rPr>
              <w:t>。</w:t>
            </w:r>
          </w:p>
          <w:p w14:paraId="652433F0">
            <w:pPr>
              <w:widowControl/>
              <w:numPr>
                <w:ilvl w:val="0"/>
                <w:numId w:val="8"/>
              </w:numPr>
              <w:spacing w:line="360" w:lineRule="auto"/>
              <w:ind w:firstLine="482" w:firstLineChars="200"/>
              <w:rPr>
                <w:b/>
                <w:color w:val="auto"/>
                <w:sz w:val="24"/>
                <w:highlight w:val="none"/>
              </w:rPr>
            </w:pPr>
            <w:r>
              <w:rPr>
                <w:b/>
                <w:color w:val="auto"/>
                <w:sz w:val="24"/>
                <w:highlight w:val="none"/>
              </w:rPr>
              <w:t>给</w:t>
            </w:r>
            <w:r>
              <w:rPr>
                <w:rFonts w:hint="eastAsia"/>
                <w:b/>
                <w:color w:val="auto"/>
                <w:sz w:val="24"/>
                <w:highlight w:val="none"/>
              </w:rPr>
              <w:t>排</w:t>
            </w:r>
            <w:r>
              <w:rPr>
                <w:b/>
                <w:color w:val="auto"/>
                <w:sz w:val="24"/>
                <w:highlight w:val="none"/>
              </w:rPr>
              <w:t>水</w:t>
            </w:r>
          </w:p>
          <w:p w14:paraId="2FA237A7">
            <w:pPr>
              <w:spacing w:line="360" w:lineRule="auto"/>
              <w:ind w:firstLine="496" w:firstLineChars="200"/>
              <w:rPr>
                <w:rFonts w:hint="eastAsia"/>
                <w:color w:val="auto"/>
                <w:spacing w:val="4"/>
                <w:sz w:val="24"/>
                <w:highlight w:val="none"/>
                <w:lang w:eastAsia="zh-CN"/>
              </w:rPr>
            </w:pPr>
            <w:r>
              <w:rPr>
                <w:color w:val="auto"/>
                <w:spacing w:val="4"/>
                <w:sz w:val="24"/>
                <w:highlight w:val="none"/>
              </w:rPr>
              <w:t>由市政供水管网提供，配水设施依托</w:t>
            </w:r>
            <w:r>
              <w:rPr>
                <w:rFonts w:hint="eastAsia"/>
                <w:color w:val="auto"/>
                <w:sz w:val="24"/>
                <w:szCs w:val="32"/>
                <w:lang w:val="en-US" w:eastAsia="zh-CN"/>
              </w:rPr>
              <w:t>院内</w:t>
            </w:r>
            <w:r>
              <w:rPr>
                <w:color w:val="auto"/>
                <w:spacing w:val="4"/>
                <w:sz w:val="24"/>
                <w:highlight w:val="none"/>
              </w:rPr>
              <w:t>已建成供水管网，本项目废水主要为生活</w:t>
            </w:r>
            <w:r>
              <w:rPr>
                <w:rFonts w:hint="eastAsia"/>
                <w:color w:val="auto"/>
                <w:spacing w:val="4"/>
                <w:sz w:val="24"/>
                <w:highlight w:val="none"/>
                <w:lang w:val="en-US" w:eastAsia="zh-CN"/>
              </w:rPr>
              <w:t>污</w:t>
            </w:r>
            <w:r>
              <w:rPr>
                <w:color w:val="auto"/>
                <w:spacing w:val="4"/>
                <w:sz w:val="24"/>
                <w:highlight w:val="none"/>
              </w:rPr>
              <w:t>水</w:t>
            </w:r>
            <w:r>
              <w:rPr>
                <w:rFonts w:hint="eastAsia"/>
                <w:color w:val="auto"/>
                <w:spacing w:val="4"/>
                <w:sz w:val="24"/>
                <w:highlight w:val="none"/>
                <w:lang w:val="en-US" w:eastAsia="zh-CN"/>
              </w:rPr>
              <w:t>、化学实验废水</w:t>
            </w:r>
            <w:r>
              <w:rPr>
                <w:rFonts w:hint="eastAsia"/>
                <w:color w:val="auto"/>
                <w:spacing w:val="4"/>
                <w:sz w:val="24"/>
                <w:highlight w:val="none"/>
              </w:rPr>
              <w:t>、</w:t>
            </w:r>
            <w:r>
              <w:rPr>
                <w:rFonts w:hint="eastAsia"/>
                <w:color w:val="auto"/>
                <w:spacing w:val="4"/>
                <w:sz w:val="24"/>
                <w:highlight w:val="none"/>
                <w:lang w:val="en-US" w:eastAsia="zh-CN"/>
              </w:rPr>
              <w:t>物理实验废水和清洁废水</w:t>
            </w:r>
            <w:r>
              <w:rPr>
                <w:rFonts w:hint="eastAsia"/>
                <w:color w:val="auto"/>
                <w:spacing w:val="4"/>
                <w:sz w:val="24"/>
                <w:highlight w:val="none"/>
                <w:lang w:eastAsia="zh-CN"/>
              </w:rPr>
              <w:t>。</w:t>
            </w:r>
          </w:p>
          <w:p w14:paraId="2BFE1E2C">
            <w:pPr>
              <w:spacing w:line="360" w:lineRule="auto"/>
              <w:ind w:firstLine="480" w:firstLineChars="200"/>
              <w:rPr>
                <w:bCs/>
                <w:color w:val="auto"/>
                <w:sz w:val="24"/>
              </w:rPr>
            </w:pPr>
            <w:r>
              <w:rPr>
                <w:rFonts w:hint="eastAsia"/>
                <w:bCs/>
                <w:color w:val="auto"/>
                <w:sz w:val="24"/>
                <w:lang w:eastAsia="zh-CN"/>
              </w:rPr>
              <w:t>（</w:t>
            </w:r>
            <w:r>
              <w:rPr>
                <w:rFonts w:hint="eastAsia"/>
                <w:bCs/>
                <w:color w:val="auto"/>
                <w:sz w:val="24"/>
                <w:lang w:val="en-US" w:eastAsia="zh-CN"/>
              </w:rPr>
              <w:t>1</w:t>
            </w:r>
            <w:r>
              <w:rPr>
                <w:rFonts w:hint="eastAsia"/>
                <w:bCs/>
                <w:color w:val="auto"/>
                <w:sz w:val="24"/>
                <w:lang w:eastAsia="zh-CN"/>
              </w:rPr>
              <w:t>）</w:t>
            </w:r>
            <w:r>
              <w:rPr>
                <w:rFonts w:hint="eastAsia"/>
                <w:bCs/>
                <w:color w:val="auto"/>
                <w:sz w:val="24"/>
              </w:rPr>
              <w:t>生活用水：</w:t>
            </w:r>
            <w:r>
              <w:rPr>
                <w:rFonts w:hint="eastAsia"/>
                <w:bCs/>
                <w:color w:val="auto"/>
                <w:sz w:val="24"/>
                <w:lang w:val="en-US" w:eastAsia="zh-CN"/>
              </w:rPr>
              <w:t>项目定员34人，参照《陕西省行业用水定额》（DB61/T943-2020），规定，“行政办公及科研院所”生活用水定额为：25m</w:t>
            </w:r>
            <w:r>
              <w:rPr>
                <w:rFonts w:hint="eastAsia"/>
                <w:bCs/>
                <w:color w:val="auto"/>
                <w:sz w:val="24"/>
                <w:vertAlign w:val="superscript"/>
                <w:lang w:val="en-US" w:eastAsia="zh-CN"/>
              </w:rPr>
              <w:t>3</w:t>
            </w:r>
            <w:r>
              <w:rPr>
                <w:rFonts w:hint="eastAsia"/>
                <w:bCs/>
                <w:color w:val="auto"/>
                <w:sz w:val="24"/>
                <w:lang w:val="en-US" w:eastAsia="zh-CN"/>
              </w:rPr>
              <w:t xml:space="preserve"> /（人·a）规定，根据建设单位提供用水资料，生活用水量约为3.4m</w:t>
            </w:r>
            <w:r>
              <w:rPr>
                <w:rFonts w:hint="eastAsia"/>
                <w:bCs/>
                <w:color w:val="auto"/>
                <w:sz w:val="24"/>
                <w:vertAlign w:val="superscript"/>
                <w:lang w:val="en-US" w:eastAsia="zh-CN"/>
              </w:rPr>
              <w:t>3</w:t>
            </w:r>
            <w:r>
              <w:rPr>
                <w:rFonts w:hint="eastAsia"/>
                <w:bCs/>
                <w:color w:val="auto"/>
                <w:sz w:val="24"/>
                <w:lang w:val="en-US" w:eastAsia="zh-CN"/>
              </w:rPr>
              <w:t xml:space="preserve"> /d（850m</w:t>
            </w:r>
            <w:r>
              <w:rPr>
                <w:rFonts w:hint="eastAsia"/>
                <w:bCs/>
                <w:color w:val="auto"/>
                <w:sz w:val="24"/>
                <w:vertAlign w:val="superscript"/>
                <w:lang w:val="en-US" w:eastAsia="zh-CN"/>
              </w:rPr>
              <w:t>3</w:t>
            </w:r>
            <w:r>
              <w:rPr>
                <w:rFonts w:hint="eastAsia"/>
                <w:bCs/>
                <w:color w:val="auto"/>
                <w:sz w:val="24"/>
                <w:lang w:val="en-US" w:eastAsia="zh-CN"/>
              </w:rPr>
              <w:t>/a）。</w:t>
            </w:r>
            <w:r>
              <w:rPr>
                <w:bCs/>
                <w:color w:val="auto"/>
                <w:sz w:val="24"/>
              </w:rPr>
              <w:t xml:space="preserve"> </w:t>
            </w:r>
            <w:r>
              <w:rPr>
                <w:color w:val="auto"/>
                <w:spacing w:val="4"/>
                <w:sz w:val="24"/>
                <w:highlight w:val="none"/>
              </w:rPr>
              <w:t>废水产生量按用水量的80%计，则生活污水产生量约为</w:t>
            </w:r>
            <w:r>
              <w:rPr>
                <w:rFonts w:hint="eastAsia"/>
                <w:color w:val="auto"/>
                <w:spacing w:val="4"/>
                <w:sz w:val="24"/>
                <w:highlight w:val="none"/>
              </w:rPr>
              <w:t>2.</w:t>
            </w:r>
            <w:r>
              <w:rPr>
                <w:rFonts w:hint="eastAsia"/>
                <w:color w:val="auto"/>
                <w:spacing w:val="4"/>
                <w:sz w:val="24"/>
                <w:highlight w:val="none"/>
                <w:lang w:val="en-US" w:eastAsia="zh-CN"/>
              </w:rPr>
              <w:t>72</w:t>
            </w:r>
            <w:r>
              <w:rPr>
                <w:color w:val="auto"/>
                <w:spacing w:val="4"/>
                <w:sz w:val="24"/>
                <w:highlight w:val="none"/>
              </w:rPr>
              <w:t xml:space="preserve"> m</w:t>
            </w:r>
            <w:r>
              <w:rPr>
                <w:color w:val="auto"/>
                <w:spacing w:val="4"/>
                <w:sz w:val="24"/>
                <w:highlight w:val="none"/>
                <w:vertAlign w:val="superscript"/>
              </w:rPr>
              <w:t>3</w:t>
            </w:r>
            <w:r>
              <w:rPr>
                <w:color w:val="auto"/>
                <w:spacing w:val="4"/>
                <w:sz w:val="24"/>
                <w:highlight w:val="none"/>
              </w:rPr>
              <w:t>/d，合计约</w:t>
            </w:r>
            <w:r>
              <w:rPr>
                <w:rFonts w:hint="eastAsia"/>
                <w:color w:val="auto"/>
                <w:spacing w:val="4"/>
                <w:sz w:val="24"/>
                <w:highlight w:val="none"/>
                <w:lang w:val="en-US" w:eastAsia="zh-CN"/>
              </w:rPr>
              <w:t>680</w:t>
            </w:r>
            <w:r>
              <w:rPr>
                <w:color w:val="auto"/>
                <w:spacing w:val="4"/>
                <w:sz w:val="24"/>
                <w:highlight w:val="none"/>
              </w:rPr>
              <w:t>m</w:t>
            </w:r>
            <w:r>
              <w:rPr>
                <w:color w:val="auto"/>
                <w:spacing w:val="4"/>
                <w:sz w:val="24"/>
                <w:highlight w:val="none"/>
                <w:vertAlign w:val="superscript"/>
              </w:rPr>
              <w:t>3</w:t>
            </w:r>
            <w:r>
              <w:rPr>
                <w:color w:val="auto"/>
                <w:spacing w:val="4"/>
                <w:sz w:val="24"/>
                <w:highlight w:val="none"/>
              </w:rPr>
              <w:t>/a。</w:t>
            </w:r>
          </w:p>
          <w:p w14:paraId="4F2C1C3D">
            <w:pPr>
              <w:adjustRightInd w:val="0"/>
              <w:snapToGrid w:val="0"/>
              <w:spacing w:line="360" w:lineRule="auto"/>
              <w:ind w:firstLine="480" w:firstLineChars="200"/>
              <w:rPr>
                <w:rFonts w:hint="eastAsia"/>
                <w:color w:val="auto"/>
                <w:sz w:val="24"/>
                <w:highlight w:val="none"/>
                <w:lang w:eastAsia="zh-CN"/>
              </w:rPr>
            </w:pPr>
            <w:r>
              <w:rPr>
                <w:rFonts w:hint="eastAsia"/>
                <w:bCs/>
                <w:color w:val="auto"/>
                <w:sz w:val="24"/>
                <w:lang w:eastAsia="zh-CN"/>
              </w:rPr>
              <w:t>（</w:t>
            </w:r>
            <w:r>
              <w:rPr>
                <w:rFonts w:hint="eastAsia"/>
                <w:bCs/>
                <w:color w:val="auto"/>
                <w:sz w:val="24"/>
                <w:lang w:val="en-US" w:eastAsia="zh-CN"/>
              </w:rPr>
              <w:t>2</w:t>
            </w:r>
            <w:r>
              <w:rPr>
                <w:rFonts w:hint="eastAsia"/>
                <w:bCs/>
                <w:color w:val="auto"/>
                <w:sz w:val="24"/>
                <w:lang w:eastAsia="zh-CN"/>
              </w:rPr>
              <w:t>）</w:t>
            </w:r>
            <w:r>
              <w:rPr>
                <w:rFonts w:hint="eastAsia"/>
                <w:bCs/>
                <w:color w:val="auto"/>
                <w:sz w:val="24"/>
                <w:lang w:val="en-US" w:eastAsia="zh-CN"/>
              </w:rPr>
              <w:t>化学检测用水：</w:t>
            </w:r>
            <w:r>
              <w:rPr>
                <w:rFonts w:hint="eastAsia"/>
                <w:color w:val="auto"/>
                <w:sz w:val="24"/>
                <w:highlight w:val="none"/>
              </w:rPr>
              <w:t>主要为</w:t>
            </w:r>
            <w:r>
              <w:rPr>
                <w:rFonts w:hint="eastAsia"/>
                <w:color w:val="auto"/>
                <w:sz w:val="24"/>
                <w:highlight w:val="none"/>
                <w:lang w:val="en-US" w:eastAsia="zh-CN"/>
              </w:rPr>
              <w:t>实验用水</w:t>
            </w:r>
            <w:r>
              <w:rPr>
                <w:rFonts w:hint="eastAsia"/>
                <w:color w:val="auto"/>
                <w:sz w:val="24"/>
                <w:highlight w:val="none"/>
              </w:rPr>
              <w:t>和</w:t>
            </w:r>
            <w:r>
              <w:rPr>
                <w:rFonts w:hint="eastAsia"/>
                <w:color w:val="auto"/>
                <w:sz w:val="24"/>
                <w:highlight w:val="none"/>
                <w:lang w:val="en-US" w:eastAsia="zh-CN"/>
              </w:rPr>
              <w:t>实验室器皿</w:t>
            </w:r>
            <w:r>
              <w:rPr>
                <w:rFonts w:hint="eastAsia"/>
                <w:color w:val="auto"/>
                <w:sz w:val="24"/>
                <w:highlight w:val="none"/>
              </w:rPr>
              <w:t>清洗</w:t>
            </w:r>
            <w:r>
              <w:rPr>
                <w:rFonts w:hint="eastAsia"/>
                <w:color w:val="auto"/>
                <w:sz w:val="24"/>
                <w:highlight w:val="none"/>
                <w:lang w:val="en-US" w:eastAsia="zh-CN"/>
              </w:rPr>
              <w:t>用</w:t>
            </w:r>
            <w:r>
              <w:rPr>
                <w:rFonts w:hint="eastAsia"/>
                <w:color w:val="auto"/>
                <w:sz w:val="24"/>
                <w:highlight w:val="none"/>
              </w:rPr>
              <w:t>水</w:t>
            </w:r>
            <w:r>
              <w:rPr>
                <w:rFonts w:hint="eastAsia"/>
                <w:color w:val="auto"/>
                <w:sz w:val="24"/>
                <w:highlight w:val="none"/>
                <w:lang w:eastAsia="zh-CN"/>
              </w:rPr>
              <w:t>。</w:t>
            </w:r>
          </w:p>
          <w:p w14:paraId="389A4B9A">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根据建设单位提供资料</w:t>
            </w:r>
            <w:r>
              <w:rPr>
                <w:rFonts w:hint="eastAsia"/>
                <w:color w:val="auto"/>
                <w:sz w:val="24"/>
                <w:highlight w:val="none"/>
                <w:lang w:val="en-US" w:eastAsia="zh-CN"/>
              </w:rPr>
              <w:t>及类比同类项目</w:t>
            </w:r>
            <w:r>
              <w:rPr>
                <w:rFonts w:hint="eastAsia"/>
                <w:color w:val="auto"/>
                <w:sz w:val="24"/>
                <w:highlight w:val="none"/>
              </w:rPr>
              <w:t>，</w:t>
            </w:r>
            <w:r>
              <w:rPr>
                <w:rFonts w:hint="eastAsia"/>
                <w:color w:val="auto"/>
                <w:sz w:val="24"/>
                <w:highlight w:val="none"/>
                <w:lang w:val="en-US" w:eastAsia="zh-CN"/>
              </w:rPr>
              <w:t>实验用水包括配</w:t>
            </w:r>
            <w:r>
              <w:rPr>
                <w:rFonts w:hint="eastAsia"/>
                <w:color w:val="auto"/>
                <w:sz w:val="24"/>
                <w:highlight w:val="none"/>
              </w:rPr>
              <w:t>制溶液</w:t>
            </w:r>
            <w:r>
              <w:rPr>
                <w:rFonts w:hint="eastAsia"/>
                <w:color w:val="auto"/>
                <w:sz w:val="24"/>
                <w:highlight w:val="none"/>
                <w:lang w:val="en-US" w:eastAsia="zh-CN"/>
              </w:rPr>
              <w:t>及实验分析</w:t>
            </w:r>
            <w:r>
              <w:rPr>
                <w:rFonts w:hint="eastAsia"/>
                <w:color w:val="auto"/>
                <w:sz w:val="24"/>
                <w:highlight w:val="none"/>
              </w:rPr>
              <w:t>用水</w:t>
            </w:r>
            <w:r>
              <w:rPr>
                <w:rFonts w:hint="eastAsia"/>
                <w:color w:val="auto"/>
                <w:sz w:val="24"/>
                <w:highlight w:val="none"/>
                <w:lang w:eastAsia="zh-CN"/>
              </w:rPr>
              <w:t>，</w:t>
            </w:r>
            <w:r>
              <w:rPr>
                <w:rFonts w:hint="eastAsia"/>
                <w:color w:val="auto"/>
                <w:sz w:val="24"/>
                <w:highlight w:val="none"/>
                <w:lang w:val="en-US" w:eastAsia="zh-CN"/>
              </w:rPr>
              <w:t>用水</w:t>
            </w:r>
            <w:r>
              <w:rPr>
                <w:rFonts w:hint="eastAsia"/>
                <w:color w:val="auto"/>
                <w:sz w:val="24"/>
                <w:highlight w:val="none"/>
              </w:rPr>
              <w:t>量为</w:t>
            </w:r>
            <w:r>
              <w:rPr>
                <w:rFonts w:hint="eastAsia"/>
                <w:color w:val="auto"/>
                <w:sz w:val="24"/>
                <w:highlight w:val="none"/>
                <w:lang w:val="en-US" w:eastAsia="zh-CN"/>
              </w:rPr>
              <w:t>0.002</w:t>
            </w:r>
            <w:r>
              <w:rPr>
                <w:rFonts w:hint="eastAsia"/>
                <w:bCs/>
                <w:color w:val="auto"/>
                <w:sz w:val="24"/>
                <w:lang w:val="en-US" w:eastAsia="zh-CN"/>
              </w:rPr>
              <w:t>m</w:t>
            </w:r>
            <w:r>
              <w:rPr>
                <w:rFonts w:hint="eastAsia"/>
                <w:bCs/>
                <w:color w:val="auto"/>
                <w:sz w:val="24"/>
                <w:vertAlign w:val="superscript"/>
                <w:lang w:val="en-US" w:eastAsia="zh-CN"/>
              </w:rPr>
              <w:t>3</w:t>
            </w:r>
            <w:r>
              <w:rPr>
                <w:rFonts w:hint="eastAsia"/>
                <w:color w:val="auto"/>
                <w:sz w:val="24"/>
                <w:highlight w:val="none"/>
              </w:rPr>
              <w:t>/d（</w:t>
            </w:r>
            <w:r>
              <w:rPr>
                <w:rFonts w:hint="eastAsia"/>
                <w:color w:val="auto"/>
                <w:sz w:val="24"/>
                <w:highlight w:val="none"/>
                <w:lang w:val="en-US" w:eastAsia="zh-CN"/>
              </w:rPr>
              <w:t>0.5</w:t>
            </w:r>
            <w:r>
              <w:rPr>
                <w:rFonts w:hint="eastAsia"/>
                <w:bCs/>
                <w:color w:val="auto"/>
                <w:sz w:val="24"/>
                <w:lang w:val="en-US" w:eastAsia="zh-CN"/>
              </w:rPr>
              <w:t>m</w:t>
            </w:r>
            <w:r>
              <w:rPr>
                <w:rFonts w:hint="eastAsia"/>
                <w:bCs/>
                <w:color w:val="auto"/>
                <w:sz w:val="24"/>
                <w:vertAlign w:val="superscript"/>
                <w:lang w:val="en-US" w:eastAsia="zh-CN"/>
              </w:rPr>
              <w:t>3</w:t>
            </w:r>
            <w:r>
              <w:rPr>
                <w:rFonts w:hint="eastAsia"/>
                <w:color w:val="auto"/>
                <w:sz w:val="24"/>
                <w:highlight w:val="none"/>
              </w:rPr>
              <w:t>/a），全部</w:t>
            </w:r>
            <w:r>
              <w:rPr>
                <w:rFonts w:hint="eastAsia"/>
                <w:color w:val="auto"/>
                <w:sz w:val="24"/>
                <w:highlight w:val="none"/>
                <w:lang w:val="en-US" w:eastAsia="zh-CN"/>
              </w:rPr>
              <w:t>为</w:t>
            </w:r>
            <w:r>
              <w:rPr>
                <w:rFonts w:hint="eastAsia"/>
                <w:color w:val="auto"/>
                <w:sz w:val="24"/>
                <w:highlight w:val="none"/>
              </w:rPr>
              <w:t>外购</w:t>
            </w:r>
            <w:r>
              <w:rPr>
                <w:rFonts w:hint="eastAsia"/>
                <w:color w:val="auto"/>
                <w:sz w:val="24"/>
                <w:highlight w:val="none"/>
                <w:lang w:val="en-US" w:eastAsia="zh-CN"/>
              </w:rPr>
              <w:t>的</w:t>
            </w:r>
            <w:r>
              <w:rPr>
                <w:rFonts w:hint="eastAsia"/>
                <w:color w:val="auto"/>
                <w:sz w:val="24"/>
                <w:highlight w:val="none"/>
              </w:rPr>
              <w:t>纯水，该部分水经利用后形成的废水量为</w:t>
            </w:r>
            <w:r>
              <w:rPr>
                <w:rFonts w:hint="eastAsia"/>
                <w:color w:val="auto"/>
                <w:sz w:val="24"/>
                <w:highlight w:val="none"/>
                <w:lang w:val="en-US" w:eastAsia="zh-CN"/>
              </w:rPr>
              <w:t>0.0016</w:t>
            </w:r>
            <w:r>
              <w:rPr>
                <w:rFonts w:hint="eastAsia"/>
                <w:color w:val="auto"/>
                <w:sz w:val="24"/>
                <w:highlight w:val="none"/>
              </w:rPr>
              <w:t xml:space="preserve"> </w:t>
            </w:r>
            <w:r>
              <w:rPr>
                <w:rFonts w:hint="eastAsia"/>
                <w:bCs/>
                <w:color w:val="auto"/>
                <w:sz w:val="24"/>
                <w:lang w:val="en-US" w:eastAsia="zh-CN"/>
              </w:rPr>
              <w:t>m</w:t>
            </w:r>
            <w:r>
              <w:rPr>
                <w:rFonts w:hint="eastAsia"/>
                <w:bCs/>
                <w:color w:val="auto"/>
                <w:sz w:val="24"/>
                <w:vertAlign w:val="superscript"/>
                <w:lang w:val="en-US" w:eastAsia="zh-CN"/>
              </w:rPr>
              <w:t>3</w:t>
            </w:r>
            <w:r>
              <w:rPr>
                <w:rFonts w:hint="eastAsia"/>
                <w:color w:val="auto"/>
                <w:sz w:val="24"/>
                <w:highlight w:val="none"/>
              </w:rPr>
              <w:t>/d（0.</w:t>
            </w:r>
            <w:r>
              <w:rPr>
                <w:rFonts w:hint="eastAsia"/>
                <w:color w:val="auto"/>
                <w:sz w:val="24"/>
                <w:highlight w:val="none"/>
                <w:lang w:val="en-US" w:eastAsia="zh-CN"/>
              </w:rPr>
              <w:t>4</w:t>
            </w:r>
            <w:r>
              <w:rPr>
                <w:rFonts w:hint="eastAsia"/>
                <w:bCs/>
                <w:color w:val="auto"/>
                <w:sz w:val="24"/>
                <w:lang w:val="en-US" w:eastAsia="zh-CN"/>
              </w:rPr>
              <w:t>m</w:t>
            </w:r>
            <w:r>
              <w:rPr>
                <w:rFonts w:hint="eastAsia"/>
                <w:bCs/>
                <w:color w:val="auto"/>
                <w:sz w:val="24"/>
                <w:vertAlign w:val="superscript"/>
                <w:lang w:val="en-US" w:eastAsia="zh-CN"/>
              </w:rPr>
              <w:t>3</w:t>
            </w:r>
            <w:r>
              <w:rPr>
                <w:rFonts w:hint="eastAsia"/>
                <w:color w:val="auto"/>
                <w:sz w:val="24"/>
                <w:highlight w:val="none"/>
              </w:rPr>
              <w:t>/a），由于其中含有一些</w:t>
            </w:r>
            <w:r>
              <w:rPr>
                <w:rFonts w:hint="eastAsia"/>
                <w:color w:val="auto"/>
                <w:spacing w:val="4"/>
                <w:sz w:val="24"/>
                <w:highlight w:val="none"/>
              </w:rPr>
              <w:t>试</w:t>
            </w:r>
            <w:r>
              <w:rPr>
                <w:rFonts w:hint="eastAsia"/>
                <w:color w:val="auto"/>
                <w:sz w:val="24"/>
                <w:highlight w:val="none"/>
              </w:rPr>
              <w:t>验试剂</w:t>
            </w:r>
            <w:r>
              <w:rPr>
                <w:rFonts w:hint="eastAsia"/>
                <w:color w:val="auto"/>
                <w:sz w:val="24"/>
                <w:highlight w:val="none"/>
                <w:lang w:eastAsia="zh-CN"/>
              </w:rPr>
              <w:t>（</w:t>
            </w:r>
            <w:r>
              <w:rPr>
                <w:rFonts w:hint="eastAsia"/>
                <w:color w:val="auto"/>
                <w:sz w:val="24"/>
                <w:highlight w:val="none"/>
                <w:lang w:val="en-US" w:eastAsia="zh-CN"/>
              </w:rPr>
              <w:t>酸、碱等</w:t>
            </w:r>
            <w:r>
              <w:rPr>
                <w:rFonts w:hint="eastAsia"/>
                <w:color w:val="auto"/>
                <w:sz w:val="24"/>
                <w:highlight w:val="none"/>
                <w:lang w:eastAsia="zh-CN"/>
              </w:rPr>
              <w:t>）</w:t>
            </w:r>
            <w:r>
              <w:rPr>
                <w:rFonts w:hint="eastAsia"/>
                <w:color w:val="auto"/>
                <w:sz w:val="24"/>
                <w:highlight w:val="none"/>
              </w:rPr>
              <w:t>，</w:t>
            </w:r>
            <w:r>
              <w:rPr>
                <w:rFonts w:hint="eastAsia"/>
                <w:color w:val="auto"/>
                <w:sz w:val="24"/>
                <w:highlight w:val="none"/>
                <w:lang w:val="en-US" w:eastAsia="zh-CN"/>
              </w:rPr>
              <w:t>根据</w:t>
            </w:r>
            <w:r>
              <w:rPr>
                <w:rFonts w:hint="eastAsia"/>
                <w:color w:val="auto"/>
                <w:sz w:val="24"/>
                <w:highlight w:val="none"/>
                <w:lang w:eastAsia="zh-CN"/>
              </w:rPr>
              <w:t>《实验室危险废物污染控制技术规范</w:t>
            </w:r>
            <w:r>
              <w:rPr>
                <w:rFonts w:hint="eastAsia"/>
                <w:color w:val="auto"/>
                <w:sz w:val="24"/>
                <w:highlight w:val="none"/>
                <w:lang w:val="en-US" w:eastAsia="zh-CN"/>
              </w:rPr>
              <w:t>》（DB 61/T 1716-2023）表2分类，属于实验废液，为</w:t>
            </w:r>
            <w:r>
              <w:rPr>
                <w:rFonts w:hint="eastAsia"/>
                <w:color w:val="auto"/>
                <w:sz w:val="24"/>
                <w:highlight w:val="none"/>
              </w:rPr>
              <w:t>危险废弃物。</w:t>
            </w:r>
          </w:p>
          <w:p w14:paraId="46C1D9DF">
            <w:pPr>
              <w:spacing w:line="360" w:lineRule="auto"/>
              <w:ind w:firstLine="480" w:firstLineChars="200"/>
              <w:rPr>
                <w:bCs/>
                <w:color w:val="auto"/>
                <w:sz w:val="24"/>
              </w:rPr>
            </w:pPr>
            <w:r>
              <w:rPr>
                <w:rFonts w:hint="eastAsia"/>
                <w:color w:val="auto"/>
                <w:sz w:val="24"/>
                <w:highlight w:val="none"/>
              </w:rPr>
              <w:t>根据建设单位提供资料</w:t>
            </w:r>
            <w:r>
              <w:rPr>
                <w:rFonts w:hint="eastAsia"/>
                <w:color w:val="auto"/>
                <w:sz w:val="24"/>
                <w:highlight w:val="none"/>
                <w:lang w:val="en-US" w:eastAsia="zh-CN"/>
              </w:rPr>
              <w:t>及类比同类项目</w:t>
            </w:r>
            <w:r>
              <w:rPr>
                <w:rFonts w:hint="eastAsia"/>
                <w:color w:val="auto"/>
                <w:sz w:val="24"/>
                <w:highlight w:val="none"/>
              </w:rPr>
              <w:t>，</w:t>
            </w:r>
            <w:r>
              <w:rPr>
                <w:rFonts w:hint="eastAsia"/>
                <w:color w:val="auto"/>
                <w:sz w:val="24"/>
                <w:highlight w:val="none"/>
                <w:lang w:val="en-US" w:eastAsia="zh-CN"/>
              </w:rPr>
              <w:t>实验室器皿</w:t>
            </w:r>
            <w:r>
              <w:rPr>
                <w:rFonts w:hint="eastAsia"/>
                <w:color w:val="auto"/>
                <w:sz w:val="24"/>
                <w:highlight w:val="none"/>
              </w:rPr>
              <w:t>清洗水用量约为</w:t>
            </w:r>
            <w:r>
              <w:rPr>
                <w:rFonts w:hint="eastAsia"/>
                <w:color w:val="auto"/>
                <w:sz w:val="24"/>
                <w:highlight w:val="none"/>
                <w:lang w:val="en-US" w:eastAsia="zh-CN"/>
              </w:rPr>
              <w:t>0.01</w:t>
            </w:r>
            <w:r>
              <w:rPr>
                <w:rFonts w:hint="eastAsia"/>
                <w:bCs/>
                <w:color w:val="auto"/>
                <w:sz w:val="24"/>
                <w:lang w:val="en-US" w:eastAsia="zh-CN"/>
              </w:rPr>
              <w:t>m</w:t>
            </w:r>
            <w:r>
              <w:rPr>
                <w:rFonts w:hint="eastAsia"/>
                <w:bCs/>
                <w:color w:val="auto"/>
                <w:sz w:val="24"/>
                <w:vertAlign w:val="superscript"/>
                <w:lang w:val="en-US" w:eastAsia="zh-CN"/>
              </w:rPr>
              <w:t>3</w:t>
            </w:r>
            <w:r>
              <w:rPr>
                <w:rFonts w:hint="eastAsia"/>
                <w:color w:val="auto"/>
                <w:sz w:val="24"/>
                <w:highlight w:val="none"/>
              </w:rPr>
              <w:t>/d（</w:t>
            </w:r>
            <w:r>
              <w:rPr>
                <w:rFonts w:hint="eastAsia"/>
                <w:color w:val="auto"/>
                <w:sz w:val="24"/>
                <w:highlight w:val="none"/>
                <w:lang w:val="en-US" w:eastAsia="zh-CN"/>
              </w:rPr>
              <w:t>2.5</w:t>
            </w:r>
            <w:r>
              <w:rPr>
                <w:rFonts w:hint="eastAsia"/>
                <w:bCs/>
                <w:color w:val="auto"/>
                <w:sz w:val="24"/>
                <w:lang w:val="en-US" w:eastAsia="zh-CN"/>
              </w:rPr>
              <w:t>m</w:t>
            </w:r>
            <w:r>
              <w:rPr>
                <w:rFonts w:hint="eastAsia"/>
                <w:bCs/>
                <w:color w:val="auto"/>
                <w:sz w:val="24"/>
                <w:vertAlign w:val="superscript"/>
                <w:lang w:val="en-US" w:eastAsia="zh-CN"/>
              </w:rPr>
              <w:t>3</w:t>
            </w:r>
            <w:r>
              <w:rPr>
                <w:rFonts w:hint="eastAsia"/>
                <w:color w:val="auto"/>
                <w:sz w:val="24"/>
                <w:highlight w:val="none"/>
              </w:rPr>
              <w:t>/a）</w:t>
            </w:r>
            <w:r>
              <w:rPr>
                <w:rFonts w:hint="eastAsia"/>
                <w:color w:val="auto"/>
                <w:sz w:val="24"/>
                <w:highlight w:val="none"/>
                <w:lang w:eastAsia="zh-CN"/>
              </w:rPr>
              <w:t>，</w:t>
            </w:r>
            <w:r>
              <w:rPr>
                <w:rFonts w:hint="eastAsia"/>
                <w:color w:val="auto"/>
                <w:sz w:val="24"/>
                <w:highlight w:val="none"/>
              </w:rPr>
              <w:t>废水产生量以80%核算</w:t>
            </w:r>
            <w:r>
              <w:rPr>
                <w:rFonts w:hint="eastAsia"/>
                <w:color w:val="auto"/>
                <w:sz w:val="24"/>
                <w:highlight w:val="none"/>
                <w:lang w:eastAsia="zh-CN"/>
              </w:rPr>
              <w:t>，</w:t>
            </w:r>
            <w:r>
              <w:rPr>
                <w:rFonts w:hint="eastAsia"/>
                <w:color w:val="auto"/>
                <w:sz w:val="24"/>
                <w:highlight w:val="none"/>
              </w:rPr>
              <w:t>则器皿清洁废水产生量为</w:t>
            </w:r>
            <w:r>
              <w:rPr>
                <w:rFonts w:hint="eastAsia"/>
                <w:color w:val="auto"/>
                <w:sz w:val="24"/>
                <w:highlight w:val="none"/>
                <w:lang w:val="en-US" w:eastAsia="zh-CN"/>
              </w:rPr>
              <w:t>0.008</w:t>
            </w:r>
            <w:r>
              <w:rPr>
                <w:rFonts w:hint="eastAsia"/>
                <w:bCs/>
                <w:color w:val="auto"/>
                <w:sz w:val="24"/>
                <w:lang w:val="en-US" w:eastAsia="zh-CN"/>
              </w:rPr>
              <w:t>m</w:t>
            </w:r>
            <w:r>
              <w:rPr>
                <w:rFonts w:hint="eastAsia"/>
                <w:bCs/>
                <w:color w:val="auto"/>
                <w:sz w:val="24"/>
                <w:vertAlign w:val="superscript"/>
                <w:lang w:val="en-US" w:eastAsia="zh-CN"/>
              </w:rPr>
              <w:t>3</w:t>
            </w:r>
            <w:r>
              <w:rPr>
                <w:rFonts w:hint="eastAsia"/>
                <w:color w:val="auto"/>
                <w:sz w:val="24"/>
                <w:highlight w:val="none"/>
              </w:rPr>
              <w:t>/d（</w:t>
            </w:r>
            <w:r>
              <w:rPr>
                <w:rFonts w:hint="eastAsia"/>
                <w:color w:val="auto"/>
                <w:sz w:val="24"/>
                <w:highlight w:val="none"/>
                <w:lang w:val="en-US" w:eastAsia="zh-CN"/>
              </w:rPr>
              <w:t>2.0</w:t>
            </w:r>
            <w:r>
              <w:rPr>
                <w:rFonts w:hint="eastAsia"/>
                <w:color w:val="auto"/>
                <w:sz w:val="24"/>
                <w:highlight w:val="none"/>
              </w:rPr>
              <w:t xml:space="preserve"> </w:t>
            </w:r>
            <w:r>
              <w:rPr>
                <w:rFonts w:hint="eastAsia"/>
                <w:bCs/>
                <w:color w:val="auto"/>
                <w:sz w:val="24"/>
                <w:lang w:val="en-US" w:eastAsia="zh-CN"/>
              </w:rPr>
              <w:t>m</w:t>
            </w:r>
            <w:r>
              <w:rPr>
                <w:rFonts w:hint="eastAsia"/>
                <w:bCs/>
                <w:color w:val="auto"/>
                <w:sz w:val="24"/>
                <w:vertAlign w:val="superscript"/>
                <w:lang w:val="en-US" w:eastAsia="zh-CN"/>
              </w:rPr>
              <w:t>3</w:t>
            </w:r>
            <w:r>
              <w:rPr>
                <w:rFonts w:hint="eastAsia"/>
                <w:color w:val="auto"/>
                <w:sz w:val="24"/>
                <w:highlight w:val="none"/>
              </w:rPr>
              <w:t>/a）。</w:t>
            </w:r>
            <w:r>
              <w:rPr>
                <w:rFonts w:hint="eastAsia"/>
                <w:color w:val="auto"/>
                <w:spacing w:val="4"/>
                <w:sz w:val="24"/>
                <w:highlight w:val="none"/>
              </w:rPr>
              <w:t>试</w:t>
            </w:r>
            <w:r>
              <w:rPr>
                <w:rFonts w:hint="eastAsia"/>
                <w:color w:val="auto"/>
                <w:sz w:val="24"/>
                <w:highlight w:val="none"/>
              </w:rPr>
              <w:t>验器皿清洗一般需要进行3-5次冲洗、润洗，</w:t>
            </w:r>
            <w:r>
              <w:rPr>
                <w:rFonts w:hint="eastAsia"/>
                <w:color w:val="auto"/>
                <w:sz w:val="24"/>
                <w:highlight w:val="none"/>
                <w:lang w:val="en-US" w:eastAsia="zh-CN"/>
              </w:rPr>
              <w:t>本环评要求器皿润洗前两次清洗废液按危废处理，则器皿清洗产生的危险废物为</w:t>
            </w:r>
            <w:r>
              <w:rPr>
                <w:rFonts w:hint="eastAsia"/>
                <w:color w:val="auto"/>
                <w:sz w:val="24"/>
                <w:highlight w:val="none"/>
              </w:rPr>
              <w:t>器皿清洁废水</w:t>
            </w:r>
            <w:r>
              <w:rPr>
                <w:rFonts w:hint="eastAsia"/>
                <w:color w:val="auto"/>
                <w:sz w:val="24"/>
                <w:highlight w:val="none"/>
                <w:lang w:val="en-US" w:eastAsia="zh-CN"/>
              </w:rPr>
              <w:t>五分之一（0.0016</w:t>
            </w:r>
            <w:r>
              <w:rPr>
                <w:rFonts w:hint="eastAsia"/>
                <w:bCs/>
                <w:color w:val="auto"/>
                <w:sz w:val="24"/>
                <w:lang w:val="en-US" w:eastAsia="zh-CN"/>
              </w:rPr>
              <w:t>m</w:t>
            </w:r>
            <w:r>
              <w:rPr>
                <w:rFonts w:hint="eastAsia"/>
                <w:bCs/>
                <w:color w:val="auto"/>
                <w:sz w:val="24"/>
                <w:vertAlign w:val="superscript"/>
                <w:lang w:val="en-US" w:eastAsia="zh-CN"/>
              </w:rPr>
              <w:t>3</w:t>
            </w:r>
            <w:r>
              <w:rPr>
                <w:rFonts w:hint="eastAsia"/>
                <w:color w:val="auto"/>
                <w:sz w:val="24"/>
                <w:highlight w:val="none"/>
                <w:lang w:val="en-US" w:eastAsia="zh-CN"/>
              </w:rPr>
              <w:t xml:space="preserve">/d，0.4 </w:t>
            </w:r>
            <w:r>
              <w:rPr>
                <w:rFonts w:hint="eastAsia"/>
                <w:bCs/>
                <w:color w:val="auto"/>
                <w:sz w:val="24"/>
                <w:lang w:val="en-US" w:eastAsia="zh-CN"/>
              </w:rPr>
              <w:t>m</w:t>
            </w:r>
            <w:r>
              <w:rPr>
                <w:rFonts w:hint="eastAsia"/>
                <w:bCs/>
                <w:color w:val="auto"/>
                <w:sz w:val="24"/>
                <w:vertAlign w:val="superscript"/>
                <w:lang w:val="en-US" w:eastAsia="zh-CN"/>
              </w:rPr>
              <w:t>3</w:t>
            </w:r>
            <w:r>
              <w:rPr>
                <w:rFonts w:hint="eastAsia"/>
                <w:color w:val="auto"/>
                <w:sz w:val="24"/>
                <w:highlight w:val="none"/>
                <w:lang w:val="en-US" w:eastAsia="zh-CN"/>
              </w:rPr>
              <w:t>/a，本部分危废统一纳入实验废液进行管理）。其余</w:t>
            </w:r>
            <w:r>
              <w:rPr>
                <w:rFonts w:hint="eastAsia"/>
                <w:color w:val="auto"/>
                <w:sz w:val="24"/>
                <w:highlight w:val="none"/>
              </w:rPr>
              <w:t>试验室器皿清洗废水</w:t>
            </w:r>
            <w:r>
              <w:rPr>
                <w:rFonts w:hint="eastAsia"/>
                <w:color w:val="auto"/>
                <w:sz w:val="24"/>
                <w:highlight w:val="none"/>
                <w:lang w:val="en-US" w:eastAsia="zh-CN"/>
              </w:rPr>
              <w:t>经沉淀池收集后</w:t>
            </w:r>
            <w:r>
              <w:rPr>
                <w:rFonts w:hint="eastAsia"/>
                <w:color w:val="auto"/>
                <w:sz w:val="24"/>
                <w:highlight w:val="none"/>
              </w:rPr>
              <w:t>排入化粪池</w:t>
            </w:r>
            <w:r>
              <w:rPr>
                <w:rFonts w:hint="eastAsia"/>
                <w:color w:val="auto"/>
                <w:sz w:val="24"/>
                <w:highlight w:val="none"/>
                <w:lang w:eastAsia="zh-CN"/>
              </w:rPr>
              <w:t>，</w:t>
            </w:r>
            <w:r>
              <w:rPr>
                <w:rFonts w:hint="eastAsia"/>
                <w:color w:val="auto"/>
                <w:kern w:val="0"/>
                <w:sz w:val="24"/>
              </w:rPr>
              <w:t>处理后排入市政污水管网</w:t>
            </w:r>
            <w:r>
              <w:rPr>
                <w:rFonts w:hint="eastAsia"/>
                <w:bCs/>
                <w:color w:val="auto"/>
                <w:sz w:val="24"/>
              </w:rPr>
              <w:t>。</w:t>
            </w:r>
          </w:p>
          <w:p w14:paraId="38BE4FAA">
            <w:pPr>
              <w:numPr>
                <w:ilvl w:val="0"/>
                <w:numId w:val="0"/>
              </w:numPr>
              <w:adjustRightInd w:val="0"/>
              <w:snapToGrid w:val="0"/>
              <w:spacing w:line="360" w:lineRule="auto"/>
              <w:ind w:firstLine="480" w:firstLineChars="200"/>
              <w:rPr>
                <w:bCs/>
                <w:color w:val="auto"/>
                <w:sz w:val="24"/>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lang w:eastAsia="zh-CN"/>
              </w:rPr>
              <w:t>）</w:t>
            </w:r>
            <w:r>
              <w:rPr>
                <w:rFonts w:hint="eastAsia" w:ascii="宋体" w:hAnsi="宋体"/>
                <w:color w:val="auto"/>
                <w:sz w:val="24"/>
                <w:highlight w:val="none"/>
              </w:rPr>
              <w:t>物理</w:t>
            </w:r>
            <w:r>
              <w:rPr>
                <w:rFonts w:hint="eastAsia" w:ascii="宋体" w:hAnsi="宋体"/>
                <w:color w:val="auto"/>
                <w:sz w:val="24"/>
                <w:highlight w:val="none"/>
                <w:lang w:val="en-US" w:eastAsia="zh-CN"/>
              </w:rPr>
              <w:t>检测</w:t>
            </w:r>
            <w:r>
              <w:rPr>
                <w:rFonts w:hint="eastAsia" w:ascii="宋体" w:hAnsi="宋体"/>
                <w:color w:val="auto"/>
                <w:sz w:val="24"/>
                <w:highlight w:val="none"/>
              </w:rPr>
              <w:t>用水</w:t>
            </w:r>
            <w:r>
              <w:rPr>
                <w:rFonts w:hint="eastAsia" w:ascii="宋体" w:hAnsi="宋体"/>
                <w:color w:val="auto"/>
                <w:sz w:val="24"/>
                <w:highlight w:val="none"/>
                <w:lang w:eastAsia="zh-CN"/>
              </w:rPr>
              <w:t>：</w:t>
            </w:r>
            <w:r>
              <w:rPr>
                <w:rFonts w:hint="eastAsia" w:ascii="宋体" w:hAnsi="宋体"/>
                <w:color w:val="auto"/>
                <w:sz w:val="24"/>
              </w:rPr>
              <w:t>主要为材料加工用水，如岩石湿式加工时用水、各建筑材料样品制备用水、水泥养护用水</w:t>
            </w:r>
            <w:r>
              <w:rPr>
                <w:rFonts w:hint="eastAsia" w:ascii="宋体" w:hAnsi="宋体"/>
                <w:color w:val="auto"/>
                <w:sz w:val="24"/>
                <w:lang w:val="en-US" w:eastAsia="zh-CN"/>
              </w:rPr>
              <w:t>等</w:t>
            </w:r>
            <w:r>
              <w:rPr>
                <w:rFonts w:hint="eastAsia" w:ascii="宋体" w:hAnsi="宋体"/>
                <w:color w:val="auto"/>
                <w:sz w:val="24"/>
                <w:lang w:eastAsia="zh-CN"/>
              </w:rPr>
              <w:t>，</w:t>
            </w:r>
            <w:r>
              <w:rPr>
                <w:rFonts w:hint="eastAsia" w:ascii="宋体" w:hAnsi="宋体"/>
                <w:color w:val="auto"/>
                <w:sz w:val="24"/>
                <w:lang w:val="en-US" w:eastAsia="zh-CN"/>
              </w:rPr>
              <w:t>以及</w:t>
            </w:r>
            <w:r>
              <w:rPr>
                <w:rFonts w:hint="eastAsia" w:ascii="宋体" w:hAnsi="宋体"/>
                <w:color w:val="auto"/>
                <w:sz w:val="24"/>
              </w:rPr>
              <w:t>各建筑材料防水性能实验用水。根据建设单位提供资料，</w:t>
            </w:r>
            <w:r>
              <w:rPr>
                <w:rFonts w:hint="eastAsia" w:ascii="宋体" w:hAnsi="宋体"/>
                <w:color w:val="auto"/>
                <w:sz w:val="24"/>
                <w:lang w:val="en-US" w:eastAsia="zh-CN"/>
              </w:rPr>
              <w:t>材料加工</w:t>
            </w:r>
            <w:r>
              <w:rPr>
                <w:rFonts w:hint="eastAsia" w:ascii="宋体" w:hAnsi="宋体"/>
                <w:color w:val="auto"/>
                <w:sz w:val="24"/>
              </w:rPr>
              <w:t>用水量为</w:t>
            </w:r>
            <w:r>
              <w:rPr>
                <w:color w:val="auto"/>
                <w:sz w:val="24"/>
              </w:rPr>
              <w:t>0.</w:t>
            </w:r>
            <w:r>
              <w:rPr>
                <w:rFonts w:hint="eastAsia"/>
                <w:color w:val="auto"/>
                <w:sz w:val="24"/>
                <w:lang w:val="en-US" w:eastAsia="zh-CN"/>
              </w:rPr>
              <w:t>1</w:t>
            </w:r>
            <w:r>
              <w:rPr>
                <w:rFonts w:hint="eastAsia"/>
                <w:bCs/>
                <w:color w:val="auto"/>
                <w:sz w:val="24"/>
                <w:lang w:val="en-US" w:eastAsia="zh-CN"/>
              </w:rPr>
              <w:t>m</w:t>
            </w:r>
            <w:r>
              <w:rPr>
                <w:rFonts w:hint="eastAsia"/>
                <w:bCs/>
                <w:color w:val="auto"/>
                <w:sz w:val="24"/>
                <w:vertAlign w:val="superscript"/>
                <w:lang w:val="en-US" w:eastAsia="zh-CN"/>
              </w:rPr>
              <w:t>3</w:t>
            </w:r>
            <w:r>
              <w:rPr>
                <w:color w:val="auto"/>
                <w:sz w:val="24"/>
                <w:highlight w:val="none"/>
              </w:rPr>
              <w:t>/d</w:t>
            </w:r>
            <w:r>
              <w:rPr>
                <w:rFonts w:hAnsi="宋体"/>
                <w:color w:val="auto"/>
                <w:sz w:val="24"/>
                <w:highlight w:val="none"/>
              </w:rPr>
              <w:t>（</w:t>
            </w:r>
            <w:r>
              <w:rPr>
                <w:rFonts w:hint="eastAsia"/>
                <w:color w:val="auto"/>
                <w:sz w:val="24"/>
                <w:highlight w:val="none"/>
                <w:lang w:val="en-US" w:eastAsia="zh-CN"/>
              </w:rPr>
              <w:t>25</w:t>
            </w:r>
            <w:r>
              <w:rPr>
                <w:rFonts w:hint="eastAsia"/>
                <w:bCs/>
                <w:color w:val="auto"/>
                <w:sz w:val="24"/>
                <w:lang w:val="en-US" w:eastAsia="zh-CN"/>
              </w:rPr>
              <w:t>m</w:t>
            </w:r>
            <w:r>
              <w:rPr>
                <w:rFonts w:hint="eastAsia"/>
                <w:bCs/>
                <w:color w:val="auto"/>
                <w:sz w:val="24"/>
                <w:vertAlign w:val="superscript"/>
                <w:lang w:val="en-US" w:eastAsia="zh-CN"/>
              </w:rPr>
              <w:t>3</w:t>
            </w:r>
            <w:r>
              <w:rPr>
                <w:color w:val="auto"/>
                <w:sz w:val="24"/>
                <w:highlight w:val="none"/>
              </w:rPr>
              <w:t>/a</w:t>
            </w:r>
            <w:r>
              <w:rPr>
                <w:rFonts w:hAnsi="宋体"/>
                <w:color w:val="auto"/>
                <w:sz w:val="24"/>
                <w:highlight w:val="none"/>
              </w:rPr>
              <w:t>）</w:t>
            </w:r>
            <w:r>
              <w:rPr>
                <w:rFonts w:hint="eastAsia"/>
                <w:color w:val="auto"/>
                <w:sz w:val="24"/>
              </w:rPr>
              <w:t>，</w:t>
            </w:r>
            <w:r>
              <w:rPr>
                <w:rFonts w:hAnsi="宋体"/>
                <w:color w:val="auto"/>
                <w:sz w:val="24"/>
              </w:rPr>
              <w:t>全部在</w:t>
            </w:r>
            <w:r>
              <w:rPr>
                <w:rFonts w:hint="eastAsia" w:hAnsi="宋体"/>
                <w:color w:val="auto"/>
                <w:sz w:val="24"/>
                <w:lang w:val="en-US" w:eastAsia="zh-CN"/>
              </w:rPr>
              <w:t>试验</w:t>
            </w:r>
            <w:r>
              <w:rPr>
                <w:rFonts w:hAnsi="宋体"/>
                <w:color w:val="auto"/>
                <w:sz w:val="24"/>
              </w:rPr>
              <w:t>状态下蒸发</w:t>
            </w:r>
            <w:r>
              <w:rPr>
                <w:rFonts w:hint="eastAsia" w:hAnsi="宋体"/>
                <w:color w:val="auto"/>
                <w:sz w:val="24"/>
                <w:lang w:val="en-US" w:eastAsia="zh-CN"/>
              </w:rPr>
              <w:t>或与材料混合，不产生废水</w:t>
            </w:r>
            <w:r>
              <w:rPr>
                <w:rFonts w:hint="eastAsia" w:hAnsi="宋体"/>
                <w:color w:val="auto"/>
                <w:sz w:val="24"/>
                <w:lang w:eastAsia="zh-CN"/>
              </w:rPr>
              <w:t>。</w:t>
            </w:r>
            <w:r>
              <w:rPr>
                <w:rFonts w:hint="eastAsia" w:ascii="宋体" w:hAnsi="宋体"/>
                <w:color w:val="auto"/>
                <w:sz w:val="24"/>
                <w:highlight w:val="none"/>
              </w:rPr>
              <w:t>各建筑材料防水性能试验用水量为</w:t>
            </w:r>
            <w:r>
              <w:rPr>
                <w:color w:val="auto"/>
                <w:sz w:val="24"/>
                <w:highlight w:val="none"/>
              </w:rPr>
              <w:t>0.05</w:t>
            </w:r>
            <w:r>
              <w:rPr>
                <w:rFonts w:hint="eastAsia"/>
                <w:bCs/>
                <w:color w:val="auto"/>
                <w:sz w:val="24"/>
                <w:lang w:val="en-US" w:eastAsia="zh-CN"/>
              </w:rPr>
              <w:t>m</w:t>
            </w:r>
            <w:r>
              <w:rPr>
                <w:rFonts w:hint="eastAsia"/>
                <w:bCs/>
                <w:color w:val="auto"/>
                <w:sz w:val="24"/>
                <w:vertAlign w:val="superscript"/>
                <w:lang w:val="en-US" w:eastAsia="zh-CN"/>
              </w:rPr>
              <w:t>3</w:t>
            </w:r>
            <w:r>
              <w:rPr>
                <w:color w:val="auto"/>
                <w:sz w:val="24"/>
                <w:highlight w:val="none"/>
              </w:rPr>
              <w:t>/d</w:t>
            </w:r>
            <w:r>
              <w:rPr>
                <w:rFonts w:hAnsi="宋体"/>
                <w:color w:val="auto"/>
                <w:sz w:val="24"/>
                <w:highlight w:val="none"/>
              </w:rPr>
              <w:t>（</w:t>
            </w:r>
            <w:r>
              <w:rPr>
                <w:color w:val="auto"/>
                <w:sz w:val="24"/>
                <w:highlight w:val="none"/>
              </w:rPr>
              <w:t>12.5</w:t>
            </w:r>
            <w:r>
              <w:rPr>
                <w:rFonts w:hint="eastAsia"/>
                <w:bCs/>
                <w:color w:val="auto"/>
                <w:sz w:val="24"/>
                <w:lang w:val="en-US" w:eastAsia="zh-CN"/>
              </w:rPr>
              <w:t>m</w:t>
            </w:r>
            <w:r>
              <w:rPr>
                <w:rFonts w:hint="eastAsia"/>
                <w:bCs/>
                <w:color w:val="auto"/>
                <w:sz w:val="24"/>
                <w:vertAlign w:val="superscript"/>
                <w:lang w:val="en-US" w:eastAsia="zh-CN"/>
              </w:rPr>
              <w:t>3</w:t>
            </w:r>
            <w:r>
              <w:rPr>
                <w:color w:val="auto"/>
                <w:sz w:val="24"/>
                <w:highlight w:val="none"/>
              </w:rPr>
              <w:t>/a</w:t>
            </w:r>
            <w:r>
              <w:rPr>
                <w:rFonts w:hAnsi="宋体"/>
                <w:color w:val="auto"/>
                <w:sz w:val="24"/>
                <w:highlight w:val="none"/>
              </w:rPr>
              <w:t>）</w:t>
            </w:r>
            <w:r>
              <w:rPr>
                <w:rFonts w:hint="eastAsia"/>
                <w:color w:val="auto"/>
                <w:sz w:val="24"/>
                <w:highlight w:val="none"/>
              </w:rPr>
              <w:t>，废水产生量以80%核算</w:t>
            </w:r>
            <w:r>
              <w:rPr>
                <w:rFonts w:hint="eastAsia"/>
                <w:color w:val="auto"/>
                <w:sz w:val="24"/>
                <w:highlight w:val="none"/>
                <w:lang w:eastAsia="zh-CN"/>
              </w:rPr>
              <w:t>，</w:t>
            </w:r>
            <w:r>
              <w:rPr>
                <w:rFonts w:hint="eastAsia"/>
                <w:color w:val="auto"/>
                <w:sz w:val="24"/>
                <w:highlight w:val="none"/>
              </w:rPr>
              <w:t>则</w:t>
            </w:r>
            <w:r>
              <w:rPr>
                <w:rFonts w:hint="eastAsia"/>
                <w:color w:val="auto"/>
                <w:sz w:val="24"/>
                <w:highlight w:val="none"/>
                <w:lang w:val="en-US" w:eastAsia="zh-CN"/>
              </w:rPr>
              <w:t>物理检测</w:t>
            </w:r>
            <w:r>
              <w:rPr>
                <w:rFonts w:hint="eastAsia"/>
                <w:color w:val="auto"/>
                <w:sz w:val="24"/>
                <w:highlight w:val="none"/>
              </w:rPr>
              <w:t>废水产生量为</w:t>
            </w:r>
            <w:r>
              <w:rPr>
                <w:rFonts w:hint="eastAsia"/>
                <w:color w:val="auto"/>
                <w:sz w:val="24"/>
                <w:highlight w:val="none"/>
                <w:lang w:val="en-US" w:eastAsia="zh-CN"/>
              </w:rPr>
              <w:t>0.04</w:t>
            </w:r>
            <w:r>
              <w:rPr>
                <w:rFonts w:hint="eastAsia"/>
                <w:bCs/>
                <w:color w:val="auto"/>
                <w:sz w:val="24"/>
                <w:lang w:val="en-US" w:eastAsia="zh-CN"/>
              </w:rPr>
              <w:t>m</w:t>
            </w:r>
            <w:r>
              <w:rPr>
                <w:rFonts w:hint="eastAsia"/>
                <w:bCs/>
                <w:color w:val="auto"/>
                <w:sz w:val="24"/>
                <w:vertAlign w:val="superscript"/>
                <w:lang w:val="en-US" w:eastAsia="zh-CN"/>
              </w:rPr>
              <w:t>3</w:t>
            </w:r>
            <w:r>
              <w:rPr>
                <w:rFonts w:hint="eastAsia"/>
                <w:color w:val="auto"/>
                <w:sz w:val="24"/>
                <w:highlight w:val="none"/>
              </w:rPr>
              <w:t>/d（</w:t>
            </w:r>
            <w:r>
              <w:rPr>
                <w:rFonts w:hint="eastAsia"/>
                <w:color w:val="auto"/>
                <w:sz w:val="24"/>
                <w:highlight w:val="none"/>
                <w:lang w:val="en-US" w:eastAsia="zh-CN"/>
              </w:rPr>
              <w:t>10</w:t>
            </w:r>
            <w:r>
              <w:rPr>
                <w:rFonts w:hint="eastAsia"/>
                <w:bCs/>
                <w:color w:val="auto"/>
                <w:sz w:val="24"/>
                <w:lang w:val="en-US" w:eastAsia="zh-CN"/>
              </w:rPr>
              <w:t>m</w:t>
            </w:r>
            <w:r>
              <w:rPr>
                <w:rFonts w:hint="eastAsia"/>
                <w:bCs/>
                <w:color w:val="auto"/>
                <w:sz w:val="24"/>
                <w:vertAlign w:val="superscript"/>
                <w:lang w:val="en-US" w:eastAsia="zh-CN"/>
              </w:rPr>
              <w:t>3</w:t>
            </w:r>
            <w:r>
              <w:rPr>
                <w:rFonts w:hint="eastAsia"/>
                <w:color w:val="auto"/>
                <w:sz w:val="24"/>
                <w:highlight w:val="none"/>
              </w:rPr>
              <w:t>/a）</w:t>
            </w:r>
            <w:r>
              <w:rPr>
                <w:rFonts w:hint="eastAsia"/>
                <w:color w:val="auto"/>
                <w:sz w:val="24"/>
                <w:highlight w:val="none"/>
                <w:lang w:eastAsia="zh-CN"/>
              </w:rPr>
              <w:t>，</w:t>
            </w:r>
            <w:r>
              <w:rPr>
                <w:rFonts w:hint="eastAsia"/>
                <w:color w:val="auto"/>
                <w:sz w:val="24"/>
                <w:highlight w:val="none"/>
                <w:lang w:val="en-US" w:eastAsia="zh-CN"/>
              </w:rPr>
              <w:t>该废水</w:t>
            </w:r>
            <w:r>
              <w:rPr>
                <w:rFonts w:hAnsi="宋体"/>
                <w:color w:val="auto"/>
                <w:sz w:val="24"/>
                <w:highlight w:val="none"/>
              </w:rPr>
              <w:t>主要污染物为</w:t>
            </w:r>
            <w:r>
              <w:rPr>
                <w:color w:val="auto"/>
                <w:sz w:val="24"/>
                <w:highlight w:val="none"/>
              </w:rPr>
              <w:t>SS</w:t>
            </w:r>
            <w:r>
              <w:rPr>
                <w:rFonts w:hAnsi="宋体"/>
                <w:color w:val="auto"/>
                <w:sz w:val="24"/>
                <w:highlight w:val="none"/>
              </w:rPr>
              <w:t>，相对清洁，</w:t>
            </w:r>
            <w:r>
              <w:rPr>
                <w:rFonts w:hint="eastAsia"/>
                <w:color w:val="auto"/>
                <w:sz w:val="24"/>
                <w:highlight w:val="none"/>
                <w:lang w:val="en-US" w:eastAsia="zh-CN"/>
              </w:rPr>
              <w:t>经沉淀池收集后</w:t>
            </w:r>
            <w:r>
              <w:rPr>
                <w:rFonts w:hint="eastAsia"/>
                <w:color w:val="auto"/>
                <w:sz w:val="24"/>
                <w:highlight w:val="none"/>
              </w:rPr>
              <w:t>排入化粪池</w:t>
            </w:r>
            <w:r>
              <w:rPr>
                <w:rFonts w:hint="eastAsia"/>
                <w:color w:val="auto"/>
                <w:sz w:val="24"/>
                <w:highlight w:val="none"/>
                <w:lang w:eastAsia="zh-CN"/>
              </w:rPr>
              <w:t>，</w:t>
            </w:r>
            <w:r>
              <w:rPr>
                <w:rFonts w:hint="eastAsia"/>
                <w:color w:val="auto"/>
                <w:kern w:val="0"/>
                <w:sz w:val="24"/>
              </w:rPr>
              <w:t>处理后排入市政污水管网</w:t>
            </w:r>
            <w:r>
              <w:rPr>
                <w:rFonts w:hint="eastAsia" w:hAnsi="宋体"/>
                <w:color w:val="auto"/>
                <w:sz w:val="24"/>
                <w:highlight w:val="none"/>
              </w:rPr>
              <w:t>。</w:t>
            </w:r>
          </w:p>
          <w:p w14:paraId="377DDC0F">
            <w:pPr>
              <w:numPr>
                <w:ilvl w:val="0"/>
                <w:numId w:val="0"/>
              </w:numPr>
              <w:adjustRightInd w:val="0"/>
              <w:snapToGrid w:val="0"/>
              <w:spacing w:line="360" w:lineRule="auto"/>
              <w:ind w:firstLine="480" w:firstLineChars="200"/>
              <w:rPr>
                <w:color w:val="auto"/>
                <w:sz w:val="24"/>
              </w:rPr>
            </w:pPr>
            <w:r>
              <w:rPr>
                <w:rFonts w:hint="eastAsia"/>
                <w:bCs/>
                <w:color w:val="auto"/>
                <w:sz w:val="24"/>
                <w:lang w:eastAsia="zh-CN"/>
              </w:rPr>
              <w:t>（</w:t>
            </w:r>
            <w:r>
              <w:rPr>
                <w:rFonts w:hint="eastAsia"/>
                <w:bCs/>
                <w:color w:val="auto"/>
                <w:sz w:val="24"/>
                <w:lang w:val="en-US" w:eastAsia="zh-CN"/>
              </w:rPr>
              <w:t>4</w:t>
            </w:r>
            <w:r>
              <w:rPr>
                <w:rFonts w:hint="eastAsia"/>
                <w:bCs/>
                <w:color w:val="auto"/>
                <w:sz w:val="24"/>
                <w:lang w:eastAsia="zh-CN"/>
              </w:rPr>
              <w:t>）</w:t>
            </w:r>
            <w:r>
              <w:rPr>
                <w:rFonts w:hint="eastAsia"/>
                <w:bCs/>
                <w:color w:val="auto"/>
                <w:sz w:val="24"/>
                <w:lang w:val="en-US" w:eastAsia="zh-CN"/>
              </w:rPr>
              <w:t>清洁用水：</w:t>
            </w:r>
            <w:r>
              <w:rPr>
                <w:rFonts w:hint="eastAsia"/>
                <w:bCs/>
                <w:color w:val="auto"/>
                <w:kern w:val="21"/>
                <w:sz w:val="24"/>
                <w:highlight w:val="none"/>
              </w:rPr>
              <w:t>本项目需定期对地面进行清洁，实际清洁面积约为</w:t>
            </w:r>
            <w:r>
              <w:rPr>
                <w:rFonts w:hint="eastAsia"/>
                <w:bCs/>
                <w:color w:val="auto"/>
                <w:kern w:val="21"/>
                <w:sz w:val="24"/>
                <w:highlight w:val="none"/>
                <w:lang w:val="en-US" w:eastAsia="zh-CN"/>
              </w:rPr>
              <w:t>8</w:t>
            </w:r>
            <w:r>
              <w:rPr>
                <w:rFonts w:hint="eastAsia"/>
                <w:bCs/>
                <w:color w:val="auto"/>
                <w:kern w:val="21"/>
                <w:sz w:val="24"/>
                <w:highlight w:val="none"/>
              </w:rPr>
              <w:t>00 m</w:t>
            </w:r>
            <w:r>
              <w:rPr>
                <w:rFonts w:hint="eastAsia"/>
                <w:bCs/>
                <w:color w:val="auto"/>
                <w:kern w:val="21"/>
                <w:sz w:val="24"/>
                <w:highlight w:val="none"/>
                <w:vertAlign w:val="superscript"/>
              </w:rPr>
              <w:t>2</w:t>
            </w:r>
            <w:r>
              <w:rPr>
                <w:rFonts w:hint="eastAsia"/>
                <w:bCs/>
                <w:color w:val="auto"/>
                <w:kern w:val="21"/>
                <w:sz w:val="24"/>
                <w:highlight w:val="none"/>
              </w:rPr>
              <w:t>，清洁频次为2次/周，全年清洁次数为100次，清洁工具为拖把。清洁用水</w:t>
            </w:r>
            <w:r>
              <w:rPr>
                <w:bCs/>
                <w:color w:val="auto"/>
                <w:kern w:val="21"/>
                <w:sz w:val="24"/>
                <w:highlight w:val="none"/>
              </w:rPr>
              <w:t>量按</w:t>
            </w:r>
            <w:r>
              <w:rPr>
                <w:rFonts w:hint="eastAsia"/>
                <w:bCs/>
                <w:color w:val="auto"/>
                <w:kern w:val="21"/>
                <w:sz w:val="24"/>
                <w:highlight w:val="none"/>
              </w:rPr>
              <w:t xml:space="preserve">0.2 </w:t>
            </w:r>
            <w:r>
              <w:rPr>
                <w:bCs/>
                <w:color w:val="auto"/>
                <w:kern w:val="21"/>
                <w:sz w:val="24"/>
                <w:highlight w:val="none"/>
              </w:rPr>
              <w:t>L/m</w:t>
            </w:r>
            <w:r>
              <w:rPr>
                <w:bCs/>
                <w:color w:val="auto"/>
                <w:kern w:val="21"/>
                <w:sz w:val="24"/>
                <w:highlight w:val="none"/>
                <w:vertAlign w:val="superscript"/>
              </w:rPr>
              <w:t>2</w:t>
            </w:r>
            <w:r>
              <w:rPr>
                <w:bCs/>
                <w:color w:val="auto"/>
                <w:kern w:val="21"/>
                <w:sz w:val="24"/>
                <w:highlight w:val="none"/>
              </w:rPr>
              <w:t>计算，则用水量为</w:t>
            </w:r>
            <w:r>
              <w:rPr>
                <w:rFonts w:hint="eastAsia"/>
                <w:bCs/>
                <w:color w:val="auto"/>
                <w:kern w:val="21"/>
                <w:sz w:val="24"/>
                <w:highlight w:val="none"/>
                <w:lang w:val="en-US" w:eastAsia="zh-CN"/>
              </w:rPr>
              <w:t>0.16</w:t>
            </w:r>
            <w:r>
              <w:rPr>
                <w:bCs/>
                <w:color w:val="auto"/>
                <w:kern w:val="21"/>
                <w:sz w:val="24"/>
                <w:highlight w:val="none"/>
              </w:rPr>
              <w:t>m</w:t>
            </w:r>
            <w:r>
              <w:rPr>
                <w:bCs/>
                <w:color w:val="auto"/>
                <w:kern w:val="21"/>
                <w:sz w:val="24"/>
                <w:highlight w:val="none"/>
                <w:vertAlign w:val="superscript"/>
              </w:rPr>
              <w:t>3</w:t>
            </w:r>
            <w:r>
              <w:rPr>
                <w:bCs/>
                <w:color w:val="auto"/>
                <w:kern w:val="21"/>
                <w:sz w:val="24"/>
                <w:highlight w:val="none"/>
              </w:rPr>
              <w:t>/</w:t>
            </w:r>
            <w:r>
              <w:rPr>
                <w:rFonts w:hint="eastAsia"/>
                <w:bCs/>
                <w:color w:val="auto"/>
                <w:kern w:val="21"/>
                <w:sz w:val="24"/>
                <w:highlight w:val="none"/>
              </w:rPr>
              <w:t>次</w:t>
            </w:r>
            <w:r>
              <w:rPr>
                <w:bCs/>
                <w:color w:val="auto"/>
                <w:kern w:val="21"/>
                <w:sz w:val="24"/>
                <w:highlight w:val="none"/>
              </w:rPr>
              <w:t>，</w:t>
            </w:r>
            <w:r>
              <w:rPr>
                <w:rFonts w:hint="eastAsia"/>
                <w:bCs/>
                <w:color w:val="auto"/>
                <w:kern w:val="21"/>
                <w:sz w:val="24"/>
                <w:highlight w:val="none"/>
                <w:lang w:val="en-US" w:eastAsia="zh-CN"/>
              </w:rPr>
              <w:t>16</w:t>
            </w:r>
            <w:r>
              <w:rPr>
                <w:rFonts w:hint="eastAsia"/>
                <w:bCs/>
                <w:color w:val="auto"/>
                <w:kern w:val="21"/>
                <w:sz w:val="24"/>
                <w:highlight w:val="none"/>
              </w:rPr>
              <w:t xml:space="preserve"> </w:t>
            </w:r>
            <w:r>
              <w:rPr>
                <w:bCs/>
                <w:color w:val="auto"/>
                <w:kern w:val="21"/>
                <w:sz w:val="24"/>
                <w:highlight w:val="none"/>
              </w:rPr>
              <w:t>m</w:t>
            </w:r>
            <w:r>
              <w:rPr>
                <w:bCs/>
                <w:color w:val="auto"/>
                <w:kern w:val="21"/>
                <w:sz w:val="24"/>
                <w:highlight w:val="none"/>
                <w:vertAlign w:val="superscript"/>
              </w:rPr>
              <w:t>3</w:t>
            </w:r>
            <w:r>
              <w:rPr>
                <w:bCs/>
                <w:color w:val="auto"/>
                <w:kern w:val="21"/>
                <w:sz w:val="24"/>
                <w:highlight w:val="none"/>
              </w:rPr>
              <w:t>/a，废水产生系数按</w:t>
            </w:r>
            <w:r>
              <w:rPr>
                <w:rFonts w:hint="eastAsia"/>
                <w:bCs/>
                <w:color w:val="auto"/>
                <w:kern w:val="21"/>
                <w:sz w:val="24"/>
                <w:highlight w:val="none"/>
              </w:rPr>
              <w:t>0</w:t>
            </w:r>
            <w:r>
              <w:rPr>
                <w:bCs/>
                <w:color w:val="auto"/>
                <w:kern w:val="21"/>
                <w:sz w:val="24"/>
                <w:highlight w:val="none"/>
              </w:rPr>
              <w:t>.8计，则清洁废水产生量为</w:t>
            </w:r>
            <w:r>
              <w:rPr>
                <w:rFonts w:hint="eastAsia"/>
                <w:bCs/>
                <w:color w:val="auto"/>
                <w:kern w:val="21"/>
                <w:sz w:val="24"/>
                <w:highlight w:val="none"/>
                <w:lang w:val="en-US" w:eastAsia="zh-CN"/>
              </w:rPr>
              <w:t>12.8</w:t>
            </w:r>
            <w:r>
              <w:rPr>
                <w:bCs/>
                <w:color w:val="auto"/>
                <w:kern w:val="21"/>
                <w:sz w:val="24"/>
                <w:highlight w:val="none"/>
              </w:rPr>
              <w:t>m</w:t>
            </w:r>
            <w:r>
              <w:rPr>
                <w:bCs/>
                <w:color w:val="auto"/>
                <w:kern w:val="21"/>
                <w:sz w:val="24"/>
                <w:highlight w:val="none"/>
                <w:vertAlign w:val="superscript"/>
              </w:rPr>
              <w:t>3</w:t>
            </w:r>
            <w:r>
              <w:rPr>
                <w:bCs/>
                <w:color w:val="auto"/>
                <w:kern w:val="21"/>
                <w:sz w:val="24"/>
                <w:highlight w:val="none"/>
              </w:rPr>
              <w:t>/a</w:t>
            </w:r>
            <w:r>
              <w:rPr>
                <w:rFonts w:hint="eastAsia"/>
                <w:bCs/>
                <w:color w:val="auto"/>
                <w:kern w:val="21"/>
                <w:sz w:val="24"/>
                <w:highlight w:val="none"/>
              </w:rPr>
              <w:t>，清洁污水的主要污染物为</w:t>
            </w:r>
            <w:r>
              <w:rPr>
                <w:rFonts w:hint="eastAsia"/>
                <w:bCs/>
                <w:color w:val="auto"/>
                <w:kern w:val="21"/>
                <w:sz w:val="24"/>
                <w:highlight w:val="none"/>
                <w:lang w:val="en-US" w:eastAsia="zh-CN"/>
              </w:rPr>
              <w:t>COD和</w:t>
            </w:r>
            <w:r>
              <w:rPr>
                <w:rFonts w:hint="eastAsia"/>
                <w:bCs/>
                <w:color w:val="auto"/>
                <w:kern w:val="21"/>
                <w:sz w:val="24"/>
                <w:highlight w:val="none"/>
              </w:rPr>
              <w:t>SS，污水</w:t>
            </w:r>
            <w:r>
              <w:rPr>
                <w:rFonts w:hint="eastAsia"/>
                <w:color w:val="auto"/>
                <w:sz w:val="24"/>
                <w:highlight w:val="none"/>
                <w:lang w:val="en-US" w:eastAsia="zh-CN"/>
              </w:rPr>
              <w:t>经沉淀池收集后</w:t>
            </w:r>
            <w:r>
              <w:rPr>
                <w:rFonts w:hint="eastAsia"/>
                <w:color w:val="auto"/>
                <w:sz w:val="24"/>
                <w:highlight w:val="none"/>
              </w:rPr>
              <w:t>排入化粪池</w:t>
            </w:r>
            <w:r>
              <w:rPr>
                <w:rFonts w:hint="eastAsia"/>
                <w:color w:val="auto"/>
                <w:sz w:val="24"/>
                <w:highlight w:val="none"/>
                <w:lang w:eastAsia="zh-CN"/>
              </w:rPr>
              <w:t>，</w:t>
            </w:r>
            <w:r>
              <w:rPr>
                <w:rFonts w:hint="eastAsia"/>
                <w:color w:val="auto"/>
                <w:kern w:val="0"/>
                <w:sz w:val="24"/>
              </w:rPr>
              <w:t>处理后排入市政污水管网</w:t>
            </w:r>
            <w:r>
              <w:rPr>
                <w:rFonts w:hint="eastAsia"/>
                <w:bCs/>
                <w:color w:val="auto"/>
                <w:kern w:val="21"/>
                <w:sz w:val="24"/>
                <w:highlight w:val="none"/>
              </w:rPr>
              <w:t>。</w:t>
            </w:r>
          </w:p>
          <w:p w14:paraId="1B5320CE">
            <w:pPr>
              <w:widowControl/>
              <w:spacing w:line="360" w:lineRule="auto"/>
              <w:ind w:firstLine="480" w:firstLineChars="200"/>
              <w:rPr>
                <w:color w:val="auto"/>
                <w:sz w:val="24"/>
              </w:rPr>
            </w:pPr>
            <w:r>
              <w:rPr>
                <w:color w:val="auto"/>
                <w:sz w:val="24"/>
              </w:rPr>
              <w:t>综上所述，</w:t>
            </w:r>
            <w:r>
              <w:rPr>
                <w:rFonts w:hint="eastAsia"/>
                <w:color w:val="auto"/>
                <w:sz w:val="24"/>
                <w:lang w:val="en-US" w:eastAsia="zh-CN"/>
              </w:rPr>
              <w:t>项目</w:t>
            </w:r>
            <w:r>
              <w:rPr>
                <w:rFonts w:hint="eastAsia"/>
                <w:color w:val="auto"/>
                <w:sz w:val="24"/>
              </w:rPr>
              <w:t>具体用、排水情况见下表，水平衡图见图2-1。</w:t>
            </w:r>
          </w:p>
          <w:p w14:paraId="6196A544">
            <w:pPr>
              <w:jc w:val="center"/>
              <w:rPr>
                <w:b/>
                <w:bCs/>
                <w:color w:val="auto"/>
                <w:sz w:val="24"/>
              </w:rPr>
            </w:pPr>
            <w:r>
              <w:rPr>
                <w:rFonts w:hint="eastAsia"/>
                <w:b/>
                <w:bCs/>
                <w:color w:val="auto"/>
                <w:sz w:val="24"/>
              </w:rPr>
              <w:t xml:space="preserve">表2-5  </w:t>
            </w:r>
            <w:r>
              <w:rPr>
                <w:rFonts w:hint="eastAsia"/>
                <w:b/>
                <w:bCs/>
                <w:color w:val="auto"/>
                <w:sz w:val="24"/>
                <w:lang w:val="en-US" w:eastAsia="zh-CN"/>
              </w:rPr>
              <w:t>项目</w:t>
            </w:r>
            <w:r>
              <w:rPr>
                <w:rFonts w:hint="eastAsia"/>
                <w:b/>
                <w:bCs/>
                <w:color w:val="auto"/>
                <w:sz w:val="24"/>
              </w:rPr>
              <w:t>水平衡一览表（单位：m</w:t>
            </w:r>
            <w:r>
              <w:rPr>
                <w:rFonts w:hint="eastAsia"/>
                <w:b/>
                <w:bCs/>
                <w:color w:val="auto"/>
                <w:sz w:val="24"/>
                <w:vertAlign w:val="superscript"/>
              </w:rPr>
              <w:t>3</w:t>
            </w:r>
            <w:r>
              <w:rPr>
                <w:rFonts w:hint="eastAsia"/>
                <w:b/>
                <w:bCs/>
                <w:color w:val="auto"/>
                <w:sz w:val="24"/>
              </w:rPr>
              <w:t>/a）</w:t>
            </w:r>
          </w:p>
          <w:tbl>
            <w:tblPr>
              <w:tblStyle w:val="2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2007"/>
              <w:gridCol w:w="1815"/>
              <w:gridCol w:w="1571"/>
              <w:gridCol w:w="3037"/>
            </w:tblGrid>
            <w:tr w14:paraId="009E57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544" w:type="pct"/>
                  <w:gridSpan w:val="2"/>
                  <w:tcBorders>
                    <w:tl2br w:val="nil"/>
                    <w:tr2bl w:val="nil"/>
                  </w:tcBorders>
                  <w:vAlign w:val="center"/>
                </w:tcPr>
                <w:p w14:paraId="7847106A">
                  <w:pPr>
                    <w:adjustRightInd w:val="0"/>
                    <w:snapToGrid w:val="0"/>
                    <w:jc w:val="center"/>
                    <w:rPr>
                      <w:b/>
                      <w:bCs/>
                      <w:color w:val="auto"/>
                      <w:sz w:val="21"/>
                      <w:szCs w:val="21"/>
                    </w:rPr>
                  </w:pPr>
                  <w:r>
                    <w:rPr>
                      <w:b/>
                      <w:bCs/>
                      <w:color w:val="auto"/>
                      <w:sz w:val="21"/>
                      <w:szCs w:val="21"/>
                    </w:rPr>
                    <w:t>名称</w:t>
                  </w:r>
                </w:p>
              </w:tc>
              <w:tc>
                <w:tcPr>
                  <w:tcW w:w="976" w:type="pct"/>
                  <w:tcBorders>
                    <w:tl2br w:val="nil"/>
                    <w:tr2bl w:val="nil"/>
                  </w:tcBorders>
                  <w:vAlign w:val="center"/>
                </w:tcPr>
                <w:p w14:paraId="765DC564">
                  <w:pPr>
                    <w:adjustRightInd w:val="0"/>
                    <w:snapToGrid w:val="0"/>
                    <w:jc w:val="center"/>
                    <w:rPr>
                      <w:rFonts w:hint="eastAsia" w:eastAsia="宋体"/>
                      <w:b/>
                      <w:bCs/>
                      <w:color w:val="auto"/>
                      <w:sz w:val="21"/>
                      <w:szCs w:val="21"/>
                      <w:lang w:val="en-US" w:eastAsia="zh-CN"/>
                    </w:rPr>
                  </w:pPr>
                  <w:r>
                    <w:rPr>
                      <w:rFonts w:hint="eastAsia"/>
                      <w:b/>
                      <w:bCs/>
                      <w:color w:val="auto"/>
                      <w:sz w:val="21"/>
                      <w:szCs w:val="21"/>
                      <w:lang w:val="en-US" w:eastAsia="zh-CN"/>
                    </w:rPr>
                    <w:t>用</w:t>
                  </w:r>
                  <w:r>
                    <w:rPr>
                      <w:b/>
                      <w:bCs/>
                      <w:color w:val="auto"/>
                      <w:sz w:val="21"/>
                      <w:szCs w:val="21"/>
                    </w:rPr>
                    <w:t>水</w:t>
                  </w:r>
                  <w:r>
                    <w:rPr>
                      <w:rFonts w:hint="eastAsia"/>
                      <w:b/>
                      <w:bCs/>
                      <w:color w:val="auto"/>
                      <w:sz w:val="21"/>
                      <w:szCs w:val="21"/>
                      <w:lang w:val="en-US" w:eastAsia="zh-CN"/>
                    </w:rPr>
                    <w:t>量</w:t>
                  </w:r>
                </w:p>
              </w:tc>
              <w:tc>
                <w:tcPr>
                  <w:tcW w:w="845" w:type="pct"/>
                  <w:tcBorders>
                    <w:tl2br w:val="nil"/>
                    <w:tr2bl w:val="nil"/>
                  </w:tcBorders>
                  <w:vAlign w:val="center"/>
                </w:tcPr>
                <w:p w14:paraId="2420DECB">
                  <w:pPr>
                    <w:adjustRightInd w:val="0"/>
                    <w:snapToGrid w:val="0"/>
                    <w:jc w:val="center"/>
                    <w:rPr>
                      <w:b/>
                      <w:bCs/>
                      <w:color w:val="auto"/>
                      <w:sz w:val="21"/>
                      <w:szCs w:val="21"/>
                    </w:rPr>
                  </w:pPr>
                  <w:r>
                    <w:rPr>
                      <w:b/>
                      <w:bCs/>
                      <w:color w:val="auto"/>
                      <w:sz w:val="21"/>
                      <w:szCs w:val="21"/>
                    </w:rPr>
                    <w:t>废水量</w:t>
                  </w:r>
                </w:p>
              </w:tc>
              <w:tc>
                <w:tcPr>
                  <w:tcW w:w="1633" w:type="pct"/>
                  <w:tcBorders>
                    <w:tl2br w:val="nil"/>
                    <w:tr2bl w:val="nil"/>
                  </w:tcBorders>
                  <w:vAlign w:val="center"/>
                </w:tcPr>
                <w:p w14:paraId="0558D0AB">
                  <w:pPr>
                    <w:adjustRightInd w:val="0"/>
                    <w:snapToGrid w:val="0"/>
                    <w:jc w:val="center"/>
                    <w:rPr>
                      <w:b/>
                      <w:bCs/>
                      <w:color w:val="auto"/>
                      <w:sz w:val="21"/>
                      <w:szCs w:val="21"/>
                    </w:rPr>
                  </w:pPr>
                  <w:r>
                    <w:rPr>
                      <w:b/>
                      <w:bCs/>
                      <w:color w:val="auto"/>
                      <w:sz w:val="21"/>
                      <w:szCs w:val="21"/>
                    </w:rPr>
                    <w:t>排放去向</w:t>
                  </w:r>
                </w:p>
              </w:tc>
            </w:tr>
            <w:tr w14:paraId="096226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544" w:type="pct"/>
                  <w:gridSpan w:val="2"/>
                  <w:tcBorders>
                    <w:tl2br w:val="nil"/>
                    <w:tr2bl w:val="nil"/>
                  </w:tcBorders>
                  <w:vAlign w:val="center"/>
                </w:tcPr>
                <w:p w14:paraId="6F0652C7">
                  <w:pPr>
                    <w:jc w:val="center"/>
                    <w:rPr>
                      <w:color w:val="auto"/>
                      <w:sz w:val="21"/>
                      <w:szCs w:val="21"/>
                    </w:rPr>
                  </w:pPr>
                  <w:r>
                    <w:rPr>
                      <w:rFonts w:hint="eastAsia"/>
                      <w:snapToGrid w:val="0"/>
                      <w:color w:val="auto"/>
                      <w:kern w:val="0"/>
                      <w:sz w:val="21"/>
                      <w:szCs w:val="21"/>
                    </w:rPr>
                    <w:t>生活用水</w:t>
                  </w:r>
                </w:p>
              </w:tc>
              <w:tc>
                <w:tcPr>
                  <w:tcW w:w="976" w:type="pct"/>
                  <w:tcBorders>
                    <w:tl2br w:val="nil"/>
                    <w:tr2bl w:val="nil"/>
                  </w:tcBorders>
                  <w:vAlign w:val="center"/>
                </w:tcPr>
                <w:p w14:paraId="24DBB1BA">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850</w:t>
                  </w:r>
                </w:p>
              </w:tc>
              <w:tc>
                <w:tcPr>
                  <w:tcW w:w="845" w:type="pct"/>
                  <w:tcBorders>
                    <w:tl2br w:val="nil"/>
                    <w:tr2bl w:val="nil"/>
                  </w:tcBorders>
                  <w:vAlign w:val="center"/>
                </w:tcPr>
                <w:p w14:paraId="56E57033">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680</w:t>
                  </w:r>
                </w:p>
              </w:tc>
              <w:tc>
                <w:tcPr>
                  <w:tcW w:w="1633" w:type="pct"/>
                  <w:tcBorders>
                    <w:tl2br w:val="nil"/>
                    <w:tr2bl w:val="nil"/>
                  </w:tcBorders>
                  <w:vAlign w:val="center"/>
                </w:tcPr>
                <w:p w14:paraId="2E13B88B">
                  <w:pPr>
                    <w:widowControl/>
                    <w:jc w:val="center"/>
                    <w:rPr>
                      <w:color w:val="auto"/>
                      <w:sz w:val="21"/>
                      <w:szCs w:val="21"/>
                    </w:rPr>
                  </w:pPr>
                  <w:r>
                    <w:rPr>
                      <w:rFonts w:hint="eastAsia"/>
                      <w:color w:val="auto"/>
                      <w:sz w:val="21"/>
                      <w:szCs w:val="21"/>
                      <w:lang w:val="en-US" w:eastAsia="zh-CN"/>
                    </w:rPr>
                    <w:t>经化粪池处理后，排入市政污水管网</w:t>
                  </w:r>
                </w:p>
              </w:tc>
            </w:tr>
            <w:tr w14:paraId="10512C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465" w:type="pct"/>
                  <w:vMerge w:val="restart"/>
                  <w:tcBorders>
                    <w:tl2br w:val="nil"/>
                    <w:tr2bl w:val="nil"/>
                  </w:tcBorders>
                  <w:vAlign w:val="center"/>
                </w:tcPr>
                <w:p w14:paraId="5681DAF3">
                  <w:pPr>
                    <w:jc w:val="center"/>
                    <w:rPr>
                      <w:rFonts w:hint="default" w:eastAsia="宋体"/>
                      <w:color w:val="auto"/>
                      <w:sz w:val="21"/>
                      <w:szCs w:val="21"/>
                      <w:lang w:val="en-US" w:eastAsia="zh-CN"/>
                    </w:rPr>
                  </w:pPr>
                  <w:r>
                    <w:rPr>
                      <w:rFonts w:hint="eastAsia"/>
                      <w:color w:val="auto"/>
                      <w:sz w:val="21"/>
                      <w:szCs w:val="21"/>
                      <w:lang w:val="en-US" w:eastAsia="zh-CN"/>
                    </w:rPr>
                    <w:t>化学检测用水</w:t>
                  </w:r>
                </w:p>
              </w:tc>
              <w:tc>
                <w:tcPr>
                  <w:tcW w:w="1078" w:type="pct"/>
                  <w:tcBorders>
                    <w:tl2br w:val="nil"/>
                    <w:tr2bl w:val="nil"/>
                  </w:tcBorders>
                  <w:vAlign w:val="center"/>
                </w:tcPr>
                <w:p w14:paraId="4033C06A">
                  <w:pPr>
                    <w:jc w:val="center"/>
                    <w:rPr>
                      <w:rFonts w:hint="default"/>
                      <w:color w:val="auto"/>
                      <w:sz w:val="21"/>
                      <w:szCs w:val="21"/>
                      <w:lang w:val="en-US" w:eastAsia="zh-CN"/>
                    </w:rPr>
                  </w:pPr>
                  <w:r>
                    <w:rPr>
                      <w:rFonts w:hint="eastAsia"/>
                      <w:color w:val="auto"/>
                      <w:sz w:val="21"/>
                      <w:szCs w:val="21"/>
                      <w:lang w:val="en-US" w:eastAsia="zh-CN"/>
                    </w:rPr>
                    <w:t>实验用水</w:t>
                  </w:r>
                </w:p>
              </w:tc>
              <w:tc>
                <w:tcPr>
                  <w:tcW w:w="976" w:type="pct"/>
                  <w:tcBorders>
                    <w:tl2br w:val="nil"/>
                    <w:tr2bl w:val="nil"/>
                  </w:tcBorders>
                  <w:vAlign w:val="center"/>
                </w:tcPr>
                <w:p w14:paraId="56F551E8">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0.5（外购纯水）</w:t>
                  </w:r>
                </w:p>
              </w:tc>
              <w:tc>
                <w:tcPr>
                  <w:tcW w:w="845" w:type="pct"/>
                  <w:tcBorders>
                    <w:tl2br w:val="nil"/>
                    <w:tr2bl w:val="nil"/>
                  </w:tcBorders>
                  <w:vAlign w:val="center"/>
                </w:tcPr>
                <w:p w14:paraId="33AD4D97">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0.4</w:t>
                  </w:r>
                </w:p>
              </w:tc>
              <w:tc>
                <w:tcPr>
                  <w:tcW w:w="1633" w:type="pct"/>
                  <w:tcBorders>
                    <w:tl2br w:val="nil"/>
                    <w:tr2bl w:val="nil"/>
                  </w:tcBorders>
                  <w:vAlign w:val="center"/>
                </w:tcPr>
                <w:p w14:paraId="3482BB52">
                  <w:pPr>
                    <w:widowControl/>
                    <w:jc w:val="center"/>
                    <w:rPr>
                      <w:rFonts w:hint="default" w:eastAsia="宋体"/>
                      <w:color w:val="auto"/>
                      <w:sz w:val="21"/>
                      <w:szCs w:val="21"/>
                      <w:lang w:val="en-US" w:eastAsia="zh-CN"/>
                    </w:rPr>
                  </w:pPr>
                  <w:r>
                    <w:rPr>
                      <w:rFonts w:hint="eastAsia"/>
                      <w:color w:val="auto"/>
                      <w:sz w:val="21"/>
                      <w:szCs w:val="21"/>
                      <w:lang w:val="en-US" w:eastAsia="zh-CN"/>
                    </w:rPr>
                    <w:t>形成危废</w:t>
                  </w:r>
                </w:p>
              </w:tc>
            </w:tr>
            <w:tr w14:paraId="46F880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465" w:type="pct"/>
                  <w:vMerge w:val="continue"/>
                  <w:tcBorders>
                    <w:tl2br w:val="nil"/>
                    <w:tr2bl w:val="nil"/>
                  </w:tcBorders>
                  <w:vAlign w:val="center"/>
                </w:tcPr>
                <w:p w14:paraId="09EDD8C8">
                  <w:pPr>
                    <w:jc w:val="center"/>
                    <w:rPr>
                      <w:rFonts w:hint="eastAsia"/>
                      <w:color w:val="auto"/>
                      <w:sz w:val="21"/>
                      <w:szCs w:val="21"/>
                      <w:lang w:val="en-US" w:eastAsia="zh-CN"/>
                    </w:rPr>
                  </w:pPr>
                </w:p>
              </w:tc>
              <w:tc>
                <w:tcPr>
                  <w:tcW w:w="1078" w:type="pct"/>
                  <w:vMerge w:val="restart"/>
                  <w:tcBorders>
                    <w:tl2br w:val="nil"/>
                    <w:tr2bl w:val="nil"/>
                  </w:tcBorders>
                  <w:vAlign w:val="center"/>
                </w:tcPr>
                <w:p w14:paraId="7A94A231">
                  <w:pPr>
                    <w:jc w:val="center"/>
                    <w:rPr>
                      <w:rFonts w:hint="eastAsia"/>
                      <w:color w:val="auto"/>
                      <w:sz w:val="21"/>
                      <w:szCs w:val="21"/>
                      <w:lang w:val="en-US" w:eastAsia="zh-CN"/>
                    </w:rPr>
                  </w:pPr>
                  <w:r>
                    <w:rPr>
                      <w:rFonts w:hint="eastAsia"/>
                      <w:color w:val="auto"/>
                      <w:sz w:val="21"/>
                      <w:szCs w:val="21"/>
                      <w:highlight w:val="none"/>
                      <w:lang w:val="en-US" w:eastAsia="zh-CN"/>
                    </w:rPr>
                    <w:t>实验室器皿</w:t>
                  </w:r>
                  <w:r>
                    <w:rPr>
                      <w:rFonts w:hint="eastAsia"/>
                      <w:color w:val="auto"/>
                      <w:sz w:val="21"/>
                      <w:szCs w:val="21"/>
                      <w:highlight w:val="none"/>
                    </w:rPr>
                    <w:t>清洗</w:t>
                  </w:r>
                  <w:r>
                    <w:rPr>
                      <w:rFonts w:hint="eastAsia"/>
                      <w:color w:val="auto"/>
                      <w:sz w:val="21"/>
                      <w:szCs w:val="21"/>
                      <w:highlight w:val="none"/>
                      <w:lang w:val="en-US" w:eastAsia="zh-CN"/>
                    </w:rPr>
                    <w:t>用</w:t>
                  </w:r>
                  <w:r>
                    <w:rPr>
                      <w:rFonts w:hint="eastAsia"/>
                      <w:color w:val="auto"/>
                      <w:sz w:val="21"/>
                      <w:szCs w:val="21"/>
                      <w:highlight w:val="none"/>
                    </w:rPr>
                    <w:t>水</w:t>
                  </w:r>
                </w:p>
              </w:tc>
              <w:tc>
                <w:tcPr>
                  <w:tcW w:w="976" w:type="pct"/>
                  <w:vMerge w:val="restart"/>
                  <w:tcBorders>
                    <w:tl2br w:val="nil"/>
                    <w:tr2bl w:val="nil"/>
                  </w:tcBorders>
                  <w:shd w:val="clear" w:color="auto" w:fill="auto"/>
                  <w:vAlign w:val="center"/>
                </w:tcPr>
                <w:p w14:paraId="4D4D94E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2.5</w:t>
                  </w:r>
                </w:p>
              </w:tc>
              <w:tc>
                <w:tcPr>
                  <w:tcW w:w="845" w:type="pct"/>
                  <w:tcBorders>
                    <w:tl2br w:val="nil"/>
                    <w:tr2bl w:val="nil"/>
                  </w:tcBorders>
                  <w:shd w:val="clear" w:color="auto" w:fill="auto"/>
                  <w:vAlign w:val="center"/>
                </w:tcPr>
                <w:p w14:paraId="11BB404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0.4</w:t>
                  </w:r>
                </w:p>
              </w:tc>
              <w:tc>
                <w:tcPr>
                  <w:tcW w:w="1633" w:type="pct"/>
                  <w:tcBorders>
                    <w:tl2br w:val="nil"/>
                    <w:tr2bl w:val="nil"/>
                  </w:tcBorders>
                  <w:vAlign w:val="center"/>
                </w:tcPr>
                <w:p w14:paraId="04C940ED">
                  <w:pPr>
                    <w:widowControl/>
                    <w:jc w:val="center"/>
                    <w:textAlignment w:val="center"/>
                    <w:rPr>
                      <w:color w:val="auto"/>
                      <w:sz w:val="21"/>
                      <w:szCs w:val="21"/>
                    </w:rPr>
                  </w:pPr>
                  <w:r>
                    <w:rPr>
                      <w:rFonts w:hint="eastAsia"/>
                      <w:color w:val="auto"/>
                      <w:sz w:val="21"/>
                      <w:szCs w:val="21"/>
                      <w:lang w:val="en-US" w:eastAsia="zh-CN"/>
                    </w:rPr>
                    <w:t>形成危废</w:t>
                  </w:r>
                </w:p>
              </w:tc>
            </w:tr>
            <w:tr w14:paraId="591540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465" w:type="pct"/>
                  <w:vMerge w:val="continue"/>
                  <w:tcBorders>
                    <w:tl2br w:val="nil"/>
                    <w:tr2bl w:val="nil"/>
                  </w:tcBorders>
                  <w:vAlign w:val="center"/>
                </w:tcPr>
                <w:p w14:paraId="5D9A32E6">
                  <w:pPr>
                    <w:jc w:val="center"/>
                    <w:rPr>
                      <w:rFonts w:hint="eastAsia"/>
                      <w:color w:val="auto"/>
                      <w:sz w:val="21"/>
                      <w:szCs w:val="21"/>
                      <w:lang w:val="en-US" w:eastAsia="zh-CN"/>
                    </w:rPr>
                  </w:pPr>
                </w:p>
              </w:tc>
              <w:tc>
                <w:tcPr>
                  <w:tcW w:w="1078" w:type="pct"/>
                  <w:vMerge w:val="continue"/>
                  <w:tcBorders>
                    <w:tl2br w:val="nil"/>
                    <w:tr2bl w:val="nil"/>
                  </w:tcBorders>
                  <w:vAlign w:val="center"/>
                </w:tcPr>
                <w:p w14:paraId="218A6F09">
                  <w:pPr>
                    <w:jc w:val="center"/>
                    <w:rPr>
                      <w:rFonts w:hint="eastAsia"/>
                      <w:color w:val="auto"/>
                      <w:sz w:val="21"/>
                      <w:szCs w:val="21"/>
                      <w:highlight w:val="none"/>
                      <w:lang w:val="en-US" w:eastAsia="zh-CN"/>
                    </w:rPr>
                  </w:pPr>
                </w:p>
              </w:tc>
              <w:tc>
                <w:tcPr>
                  <w:tcW w:w="976" w:type="pct"/>
                  <w:vMerge w:val="continue"/>
                  <w:tcBorders>
                    <w:tl2br w:val="nil"/>
                    <w:tr2bl w:val="nil"/>
                  </w:tcBorders>
                  <w:shd w:val="clear" w:color="auto" w:fill="auto"/>
                  <w:vAlign w:val="center"/>
                </w:tcPr>
                <w:p w14:paraId="0536F84F">
                  <w:pPr>
                    <w:adjustRightInd w:val="0"/>
                    <w:snapToGrid w:val="0"/>
                    <w:jc w:val="center"/>
                    <w:rPr>
                      <w:rFonts w:hint="eastAsia"/>
                      <w:color w:val="auto"/>
                      <w:sz w:val="21"/>
                      <w:szCs w:val="21"/>
                      <w:lang w:val="en-US" w:eastAsia="zh-CN"/>
                    </w:rPr>
                  </w:pPr>
                </w:p>
              </w:tc>
              <w:tc>
                <w:tcPr>
                  <w:tcW w:w="845" w:type="pct"/>
                  <w:tcBorders>
                    <w:tl2br w:val="nil"/>
                    <w:tr2bl w:val="nil"/>
                  </w:tcBorders>
                  <w:shd w:val="clear" w:color="auto" w:fill="auto"/>
                  <w:vAlign w:val="center"/>
                </w:tcPr>
                <w:p w14:paraId="1113403F">
                  <w:pPr>
                    <w:adjustRightInd w:val="0"/>
                    <w:snapToGrid w:val="0"/>
                    <w:jc w:val="center"/>
                    <w:rPr>
                      <w:rFonts w:hint="default"/>
                      <w:color w:val="auto"/>
                      <w:sz w:val="21"/>
                      <w:szCs w:val="21"/>
                      <w:lang w:val="en-US" w:eastAsia="zh-CN"/>
                    </w:rPr>
                  </w:pPr>
                  <w:r>
                    <w:rPr>
                      <w:rFonts w:hint="eastAsia"/>
                      <w:color w:val="auto"/>
                      <w:sz w:val="21"/>
                      <w:szCs w:val="21"/>
                      <w:lang w:val="en-US" w:eastAsia="zh-CN"/>
                    </w:rPr>
                    <w:t>1.6</w:t>
                  </w:r>
                </w:p>
              </w:tc>
              <w:tc>
                <w:tcPr>
                  <w:tcW w:w="1633" w:type="pct"/>
                  <w:vMerge w:val="restart"/>
                  <w:tcBorders>
                    <w:tl2br w:val="nil"/>
                    <w:tr2bl w:val="nil"/>
                  </w:tcBorders>
                  <w:vAlign w:val="center"/>
                </w:tcPr>
                <w:p w14:paraId="20B3712C">
                  <w:pPr>
                    <w:widowControl/>
                    <w:jc w:val="center"/>
                    <w:textAlignment w:val="center"/>
                    <w:rPr>
                      <w:rFonts w:hint="default" w:eastAsia="宋体"/>
                      <w:color w:val="auto"/>
                      <w:sz w:val="21"/>
                      <w:szCs w:val="21"/>
                      <w:lang w:val="en-US" w:eastAsia="zh-CN"/>
                    </w:rPr>
                  </w:pPr>
                  <w:r>
                    <w:rPr>
                      <w:rFonts w:hint="default" w:eastAsia="宋体"/>
                      <w:color w:val="auto"/>
                      <w:sz w:val="21"/>
                      <w:szCs w:val="21"/>
                      <w:lang w:val="en-US" w:eastAsia="zh-CN"/>
                    </w:rPr>
                    <w:t>经沉淀池收集后排入化粪池，处理后排入市政污水管网</w:t>
                  </w:r>
                </w:p>
              </w:tc>
            </w:tr>
            <w:tr w14:paraId="54D5CE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65" w:type="pct"/>
                  <w:vMerge w:val="restart"/>
                  <w:tcBorders>
                    <w:tl2br w:val="nil"/>
                    <w:tr2bl w:val="nil"/>
                  </w:tcBorders>
                  <w:vAlign w:val="center"/>
                </w:tcPr>
                <w:p w14:paraId="74B40687">
                  <w:pPr>
                    <w:jc w:val="center"/>
                    <w:rPr>
                      <w:rFonts w:hint="eastAsia" w:eastAsia="宋体"/>
                      <w:color w:val="auto"/>
                      <w:sz w:val="21"/>
                      <w:szCs w:val="21"/>
                      <w:lang w:eastAsia="zh-CN"/>
                    </w:rPr>
                  </w:pPr>
                  <w:r>
                    <w:rPr>
                      <w:rFonts w:hint="eastAsia"/>
                      <w:color w:val="auto"/>
                      <w:sz w:val="21"/>
                      <w:szCs w:val="21"/>
                      <w:lang w:val="en-US" w:eastAsia="zh-CN"/>
                    </w:rPr>
                    <w:t>物理检测用水</w:t>
                  </w:r>
                </w:p>
              </w:tc>
              <w:tc>
                <w:tcPr>
                  <w:tcW w:w="1078" w:type="pct"/>
                  <w:tcBorders>
                    <w:tl2br w:val="nil"/>
                    <w:tr2bl w:val="nil"/>
                  </w:tcBorders>
                  <w:shd w:val="clear" w:color="auto" w:fill="auto"/>
                  <w:vAlign w:val="center"/>
                </w:tcPr>
                <w:p w14:paraId="1F96A9CD">
                  <w:pPr>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防水性能试验用水</w:t>
                  </w:r>
                </w:p>
              </w:tc>
              <w:tc>
                <w:tcPr>
                  <w:tcW w:w="976" w:type="pct"/>
                  <w:tcBorders>
                    <w:tl2br w:val="nil"/>
                    <w:tr2bl w:val="nil"/>
                  </w:tcBorders>
                  <w:shd w:val="clear" w:color="auto" w:fill="auto"/>
                  <w:vAlign w:val="center"/>
                </w:tcPr>
                <w:p w14:paraId="2CAABE25">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12.5</w:t>
                  </w:r>
                </w:p>
              </w:tc>
              <w:tc>
                <w:tcPr>
                  <w:tcW w:w="845" w:type="pct"/>
                  <w:tcBorders>
                    <w:tl2br w:val="nil"/>
                    <w:tr2bl w:val="nil"/>
                  </w:tcBorders>
                  <w:shd w:val="clear" w:color="auto" w:fill="auto"/>
                  <w:vAlign w:val="center"/>
                </w:tcPr>
                <w:p w14:paraId="5D573825">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10</w:t>
                  </w:r>
                </w:p>
              </w:tc>
              <w:tc>
                <w:tcPr>
                  <w:tcW w:w="1633" w:type="pct"/>
                  <w:vMerge w:val="continue"/>
                  <w:tcBorders>
                    <w:tl2br w:val="nil"/>
                    <w:tr2bl w:val="nil"/>
                  </w:tcBorders>
                  <w:vAlign w:val="center"/>
                </w:tcPr>
                <w:p w14:paraId="79FF39E3">
                  <w:pPr>
                    <w:widowControl/>
                    <w:jc w:val="center"/>
                    <w:textAlignment w:val="center"/>
                    <w:rPr>
                      <w:rFonts w:hint="default" w:eastAsia="宋体"/>
                      <w:color w:val="auto"/>
                      <w:sz w:val="21"/>
                      <w:szCs w:val="21"/>
                      <w:lang w:val="en-US" w:eastAsia="zh-CN"/>
                    </w:rPr>
                  </w:pPr>
                </w:p>
              </w:tc>
            </w:tr>
            <w:tr w14:paraId="301641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65" w:type="pct"/>
                  <w:vMerge w:val="continue"/>
                  <w:tcBorders>
                    <w:tl2br w:val="nil"/>
                    <w:tr2bl w:val="nil"/>
                  </w:tcBorders>
                  <w:vAlign w:val="center"/>
                </w:tcPr>
                <w:p w14:paraId="34846350">
                  <w:pPr>
                    <w:jc w:val="center"/>
                    <w:rPr>
                      <w:rFonts w:hint="eastAsia"/>
                      <w:color w:val="auto"/>
                      <w:sz w:val="21"/>
                      <w:szCs w:val="21"/>
                      <w:lang w:val="en-US" w:eastAsia="zh-CN"/>
                    </w:rPr>
                  </w:pPr>
                </w:p>
              </w:tc>
              <w:tc>
                <w:tcPr>
                  <w:tcW w:w="1078" w:type="pct"/>
                  <w:tcBorders>
                    <w:tl2br w:val="nil"/>
                    <w:tr2bl w:val="nil"/>
                  </w:tcBorders>
                  <w:shd w:val="clear" w:color="auto" w:fill="auto"/>
                  <w:vAlign w:val="center"/>
                </w:tcPr>
                <w:p w14:paraId="7814EF1A">
                  <w:pPr>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材料加工用水</w:t>
                  </w:r>
                </w:p>
              </w:tc>
              <w:tc>
                <w:tcPr>
                  <w:tcW w:w="976" w:type="pct"/>
                  <w:tcBorders>
                    <w:tl2br w:val="nil"/>
                    <w:tr2bl w:val="nil"/>
                  </w:tcBorders>
                  <w:shd w:val="clear" w:color="auto" w:fill="auto"/>
                  <w:vAlign w:val="center"/>
                </w:tcPr>
                <w:p w14:paraId="60D4BA4E">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25</w:t>
                  </w:r>
                </w:p>
              </w:tc>
              <w:tc>
                <w:tcPr>
                  <w:tcW w:w="845" w:type="pct"/>
                  <w:tcBorders>
                    <w:tl2br w:val="nil"/>
                    <w:tr2bl w:val="nil"/>
                  </w:tcBorders>
                  <w:shd w:val="clear" w:color="auto" w:fill="auto"/>
                  <w:vAlign w:val="center"/>
                </w:tcPr>
                <w:p w14:paraId="2E5697CB">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0</w:t>
                  </w:r>
                </w:p>
              </w:tc>
              <w:tc>
                <w:tcPr>
                  <w:tcW w:w="1633" w:type="pct"/>
                  <w:vMerge w:val="continue"/>
                  <w:tcBorders>
                    <w:tl2br w:val="nil"/>
                    <w:tr2bl w:val="nil"/>
                  </w:tcBorders>
                  <w:vAlign w:val="center"/>
                </w:tcPr>
                <w:p w14:paraId="5CDFD9F9">
                  <w:pPr>
                    <w:widowControl/>
                    <w:jc w:val="center"/>
                    <w:textAlignment w:val="center"/>
                    <w:rPr>
                      <w:rFonts w:hint="default" w:eastAsia="宋体"/>
                      <w:color w:val="auto"/>
                      <w:sz w:val="21"/>
                      <w:szCs w:val="21"/>
                      <w:lang w:val="en-US" w:eastAsia="zh-CN"/>
                    </w:rPr>
                  </w:pPr>
                </w:p>
              </w:tc>
            </w:tr>
            <w:tr w14:paraId="72EB3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544" w:type="pct"/>
                  <w:gridSpan w:val="2"/>
                  <w:tcBorders>
                    <w:tl2br w:val="nil"/>
                    <w:tr2bl w:val="nil"/>
                  </w:tcBorders>
                  <w:vAlign w:val="center"/>
                </w:tcPr>
                <w:p w14:paraId="1519B382">
                  <w:pPr>
                    <w:jc w:val="center"/>
                    <w:rPr>
                      <w:rFonts w:hint="default"/>
                      <w:color w:val="auto"/>
                      <w:sz w:val="21"/>
                      <w:szCs w:val="21"/>
                      <w:lang w:val="en-US" w:eastAsia="zh-CN"/>
                    </w:rPr>
                  </w:pPr>
                  <w:r>
                    <w:rPr>
                      <w:rFonts w:hint="eastAsia"/>
                      <w:color w:val="auto"/>
                      <w:sz w:val="21"/>
                      <w:szCs w:val="21"/>
                      <w:lang w:val="en-US" w:eastAsia="zh-CN"/>
                    </w:rPr>
                    <w:t>清洁用水</w:t>
                  </w:r>
                </w:p>
              </w:tc>
              <w:tc>
                <w:tcPr>
                  <w:tcW w:w="976" w:type="pct"/>
                  <w:tcBorders>
                    <w:tl2br w:val="nil"/>
                    <w:tr2bl w:val="nil"/>
                  </w:tcBorders>
                  <w:vAlign w:val="center"/>
                </w:tcPr>
                <w:p w14:paraId="1FE62749">
                  <w:pPr>
                    <w:widowControl/>
                    <w:jc w:val="center"/>
                    <w:textAlignment w:val="center"/>
                    <w:rPr>
                      <w:rFonts w:hint="default" w:eastAsia="宋体"/>
                      <w:color w:val="auto"/>
                      <w:sz w:val="21"/>
                      <w:szCs w:val="21"/>
                      <w:lang w:val="en-US" w:eastAsia="zh-CN"/>
                    </w:rPr>
                  </w:pPr>
                  <w:r>
                    <w:rPr>
                      <w:rFonts w:hint="eastAsia"/>
                      <w:color w:val="auto"/>
                      <w:sz w:val="21"/>
                      <w:szCs w:val="21"/>
                      <w:lang w:val="en-US" w:eastAsia="zh-CN"/>
                    </w:rPr>
                    <w:t>16</w:t>
                  </w:r>
                </w:p>
              </w:tc>
              <w:tc>
                <w:tcPr>
                  <w:tcW w:w="845" w:type="pct"/>
                  <w:tcBorders>
                    <w:tl2br w:val="nil"/>
                    <w:tr2bl w:val="nil"/>
                  </w:tcBorders>
                  <w:vAlign w:val="center"/>
                </w:tcPr>
                <w:p w14:paraId="00A311A4">
                  <w:pPr>
                    <w:widowControl/>
                    <w:jc w:val="center"/>
                    <w:textAlignment w:val="center"/>
                    <w:rPr>
                      <w:rFonts w:hint="default" w:eastAsia="宋体"/>
                      <w:color w:val="auto"/>
                      <w:sz w:val="21"/>
                      <w:szCs w:val="21"/>
                      <w:lang w:val="en-US" w:eastAsia="zh-CN"/>
                    </w:rPr>
                  </w:pPr>
                  <w:r>
                    <w:rPr>
                      <w:rFonts w:hint="eastAsia"/>
                      <w:color w:val="auto"/>
                      <w:sz w:val="21"/>
                      <w:szCs w:val="21"/>
                      <w:lang w:val="en-US" w:eastAsia="zh-CN"/>
                    </w:rPr>
                    <w:t>12.8</w:t>
                  </w:r>
                </w:p>
              </w:tc>
              <w:tc>
                <w:tcPr>
                  <w:tcW w:w="1633" w:type="pct"/>
                  <w:vMerge w:val="continue"/>
                  <w:tcBorders>
                    <w:tl2br w:val="nil"/>
                    <w:tr2bl w:val="nil"/>
                  </w:tcBorders>
                  <w:vAlign w:val="center"/>
                </w:tcPr>
                <w:p w14:paraId="33259478">
                  <w:pPr>
                    <w:widowControl/>
                    <w:jc w:val="center"/>
                    <w:textAlignment w:val="center"/>
                    <w:rPr>
                      <w:color w:val="auto"/>
                      <w:sz w:val="21"/>
                      <w:szCs w:val="21"/>
                    </w:rPr>
                  </w:pPr>
                </w:p>
              </w:tc>
            </w:tr>
            <w:tr w14:paraId="5A2381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544" w:type="pct"/>
                  <w:gridSpan w:val="2"/>
                  <w:tcBorders>
                    <w:tl2br w:val="nil"/>
                    <w:tr2bl w:val="nil"/>
                  </w:tcBorders>
                  <w:vAlign w:val="center"/>
                </w:tcPr>
                <w:p w14:paraId="086914BB">
                  <w:pPr>
                    <w:jc w:val="center"/>
                    <w:rPr>
                      <w:color w:val="auto"/>
                      <w:sz w:val="21"/>
                      <w:szCs w:val="21"/>
                    </w:rPr>
                  </w:pPr>
                  <w:r>
                    <w:rPr>
                      <w:rFonts w:hint="eastAsia"/>
                      <w:color w:val="auto"/>
                      <w:sz w:val="21"/>
                      <w:szCs w:val="21"/>
                    </w:rPr>
                    <w:t>合计</w:t>
                  </w:r>
                </w:p>
              </w:tc>
              <w:tc>
                <w:tcPr>
                  <w:tcW w:w="976" w:type="pct"/>
                  <w:tcBorders>
                    <w:tl2br w:val="nil"/>
                    <w:tr2bl w:val="nil"/>
                  </w:tcBorders>
                  <w:vAlign w:val="center"/>
                </w:tcPr>
                <w:p w14:paraId="32A77BB9">
                  <w:pPr>
                    <w:widowControl/>
                    <w:jc w:val="center"/>
                    <w:textAlignment w:val="center"/>
                    <w:rPr>
                      <w:rFonts w:hint="eastAsia"/>
                      <w:color w:val="auto"/>
                      <w:sz w:val="21"/>
                      <w:szCs w:val="21"/>
                      <w:lang w:val="en-US" w:eastAsia="zh-CN"/>
                    </w:rPr>
                  </w:pPr>
                  <w:r>
                    <w:rPr>
                      <w:rFonts w:hint="eastAsia"/>
                      <w:color w:val="auto"/>
                      <w:sz w:val="21"/>
                      <w:szCs w:val="21"/>
                      <w:lang w:val="en-US" w:eastAsia="zh-CN"/>
                    </w:rPr>
                    <w:t>906.5</w:t>
                  </w:r>
                </w:p>
              </w:tc>
              <w:tc>
                <w:tcPr>
                  <w:tcW w:w="845" w:type="pct"/>
                  <w:tcBorders>
                    <w:tl2br w:val="nil"/>
                    <w:tr2bl w:val="nil"/>
                  </w:tcBorders>
                  <w:vAlign w:val="center"/>
                </w:tcPr>
                <w:p w14:paraId="48B2DB84">
                  <w:pPr>
                    <w:widowControl/>
                    <w:jc w:val="center"/>
                    <w:textAlignment w:val="center"/>
                    <w:rPr>
                      <w:rFonts w:hint="eastAsia"/>
                      <w:color w:val="auto"/>
                      <w:sz w:val="21"/>
                      <w:szCs w:val="21"/>
                      <w:lang w:val="en-US" w:eastAsia="zh-CN"/>
                    </w:rPr>
                  </w:pPr>
                  <w:r>
                    <w:rPr>
                      <w:rFonts w:hint="eastAsia"/>
                      <w:color w:val="auto"/>
                      <w:sz w:val="21"/>
                      <w:szCs w:val="21"/>
                      <w:lang w:val="en-US" w:eastAsia="zh-CN"/>
                    </w:rPr>
                    <w:t>705.2</w:t>
                  </w:r>
                </w:p>
              </w:tc>
              <w:tc>
                <w:tcPr>
                  <w:tcW w:w="1633" w:type="pct"/>
                  <w:tcBorders>
                    <w:tl2br w:val="nil"/>
                    <w:tr2bl w:val="nil"/>
                  </w:tcBorders>
                  <w:vAlign w:val="center"/>
                </w:tcPr>
                <w:p w14:paraId="550E49EA">
                  <w:pPr>
                    <w:widowControl/>
                    <w:jc w:val="center"/>
                    <w:textAlignment w:val="center"/>
                    <w:rPr>
                      <w:color w:val="auto"/>
                      <w:sz w:val="21"/>
                      <w:szCs w:val="21"/>
                    </w:rPr>
                  </w:pPr>
                  <w:r>
                    <w:rPr>
                      <w:rFonts w:hint="eastAsia"/>
                      <w:color w:val="auto"/>
                      <w:sz w:val="21"/>
                      <w:szCs w:val="21"/>
                    </w:rPr>
                    <w:t>/</w:t>
                  </w:r>
                </w:p>
              </w:tc>
            </w:tr>
          </w:tbl>
          <w:p w14:paraId="4F8D55CD">
            <w:pPr>
              <w:spacing w:line="360" w:lineRule="auto"/>
              <w:ind w:firstLine="420" w:firstLineChars="200"/>
              <w:jc w:val="left"/>
              <w:rPr>
                <w:color w:val="auto"/>
              </w:rPr>
            </w:pPr>
          </w:p>
          <w:p w14:paraId="47323D21">
            <w:pPr>
              <w:spacing w:line="360" w:lineRule="auto"/>
              <w:jc w:val="center"/>
              <w:rPr>
                <w:color w:val="auto"/>
              </w:rPr>
            </w:pPr>
            <w:r>
              <w:rPr>
                <w:color w:val="auto"/>
              </w:rPr>
              <w:drawing>
                <wp:inline distT="0" distB="0" distL="114300" distR="114300">
                  <wp:extent cx="5894705" cy="4154170"/>
                  <wp:effectExtent l="0" t="0" r="10795" b="17780"/>
                  <wp:docPr id="13" name="F360BE8B-6686-4F3D-AEAF-501FE73E4058-1" descr="C:/Users/Lenovo/AppData/Local/Temp/绘图1(9).png绘图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360BE8B-6686-4F3D-AEAF-501FE73E4058-1" descr="C:/Users/Lenovo/AppData/Local/Temp/绘图1(9).png绘图1(9)"/>
                          <pic:cNvPicPr>
                            <a:picLocks noChangeAspect="1"/>
                          </pic:cNvPicPr>
                        </pic:nvPicPr>
                        <pic:blipFill>
                          <a:blip r:embed="rId9"/>
                          <a:stretch>
                            <a:fillRect/>
                          </a:stretch>
                        </pic:blipFill>
                        <pic:spPr>
                          <a:xfrm>
                            <a:off x="0" y="0"/>
                            <a:ext cx="5894832" cy="4154424"/>
                          </a:xfrm>
                          <a:prstGeom prst="rect">
                            <a:avLst/>
                          </a:prstGeom>
                        </pic:spPr>
                      </pic:pic>
                    </a:graphicData>
                  </a:graphic>
                </wp:inline>
              </w:drawing>
            </w:r>
          </w:p>
          <w:p w14:paraId="1AB46A74">
            <w:pPr>
              <w:spacing w:line="360" w:lineRule="auto"/>
              <w:ind w:firstLine="482" w:firstLineChars="200"/>
              <w:jc w:val="center"/>
              <w:rPr>
                <w:color w:val="auto"/>
              </w:rPr>
            </w:pPr>
            <w:r>
              <w:rPr>
                <w:b/>
                <w:bCs/>
                <w:color w:val="auto"/>
                <w:sz w:val="24"/>
              </w:rPr>
              <w:t>图2-</w:t>
            </w:r>
            <w:r>
              <w:rPr>
                <w:rFonts w:hint="eastAsia"/>
                <w:b/>
                <w:bCs/>
                <w:color w:val="auto"/>
                <w:sz w:val="24"/>
              </w:rPr>
              <w:t>1</w:t>
            </w:r>
            <w:r>
              <w:rPr>
                <w:b/>
                <w:bCs/>
                <w:color w:val="auto"/>
                <w:sz w:val="24"/>
              </w:rPr>
              <w:t xml:space="preserve">  水平衡图  （单位：m</w:t>
            </w:r>
            <w:r>
              <w:rPr>
                <w:b/>
                <w:bCs/>
                <w:color w:val="auto"/>
                <w:sz w:val="24"/>
                <w:vertAlign w:val="superscript"/>
              </w:rPr>
              <w:t>3</w:t>
            </w:r>
            <w:r>
              <w:rPr>
                <w:b/>
                <w:bCs/>
                <w:color w:val="auto"/>
                <w:sz w:val="24"/>
              </w:rPr>
              <w:t>/</w:t>
            </w:r>
            <w:r>
              <w:rPr>
                <w:rFonts w:hint="eastAsia"/>
                <w:b/>
                <w:bCs/>
                <w:color w:val="auto"/>
                <w:sz w:val="24"/>
              </w:rPr>
              <w:t>a</w:t>
            </w:r>
            <w:r>
              <w:rPr>
                <w:b/>
                <w:bCs/>
                <w:color w:val="auto"/>
                <w:sz w:val="24"/>
              </w:rPr>
              <w:t>）</w:t>
            </w:r>
          </w:p>
        </w:tc>
      </w:tr>
      <w:tr w14:paraId="54AE3D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12" w:hRule="atLeast"/>
          <w:jc w:val="center"/>
        </w:trPr>
        <w:tc>
          <w:tcPr>
            <w:tcW w:w="436" w:type="dxa"/>
            <w:vAlign w:val="center"/>
          </w:tcPr>
          <w:p w14:paraId="0BF4F778">
            <w:pPr>
              <w:pStyle w:val="25"/>
              <w:adjustRightInd w:val="0"/>
              <w:snapToGrid w:val="0"/>
              <w:spacing w:before="0" w:beforeAutospacing="0" w:after="0" w:afterAutospacing="0"/>
              <w:jc w:val="center"/>
              <w:rPr>
                <w:rFonts w:cs="宋体"/>
                <w:color w:val="auto"/>
                <w:sz w:val="21"/>
                <w:szCs w:val="21"/>
              </w:rPr>
            </w:pPr>
            <w:r>
              <w:rPr>
                <w:rFonts w:hint="eastAsia" w:cs="宋体"/>
                <w:color w:val="auto"/>
                <w:sz w:val="21"/>
                <w:szCs w:val="21"/>
              </w:rPr>
              <w:t>工艺流程和产排污环节</w:t>
            </w:r>
          </w:p>
        </w:tc>
        <w:tc>
          <w:tcPr>
            <w:tcW w:w="8843" w:type="dxa"/>
          </w:tcPr>
          <w:p w14:paraId="7CE4D310">
            <w:pPr>
              <w:numPr>
                <w:ilvl w:val="0"/>
                <w:numId w:val="9"/>
              </w:numPr>
              <w:spacing w:line="360" w:lineRule="auto"/>
              <w:ind w:firstLine="482" w:firstLineChars="200"/>
              <w:rPr>
                <w:b/>
                <w:bCs/>
                <w:color w:val="auto"/>
                <w:sz w:val="24"/>
              </w:rPr>
            </w:pPr>
            <w:r>
              <w:rPr>
                <w:b/>
                <w:bCs/>
                <w:color w:val="auto"/>
                <w:sz w:val="24"/>
              </w:rPr>
              <w:t>施工期工艺流程</w:t>
            </w:r>
          </w:p>
          <w:p w14:paraId="12D66A03">
            <w:pPr>
              <w:widowControl/>
              <w:spacing w:line="360" w:lineRule="auto"/>
              <w:ind w:firstLine="482" w:firstLineChars="200"/>
              <w:jc w:val="left"/>
              <w:rPr>
                <w:color w:val="auto"/>
                <w:sz w:val="24"/>
              </w:rPr>
            </w:pPr>
            <w:r>
              <w:rPr>
                <w:b/>
                <w:bCs/>
                <w:color w:val="auto"/>
                <w:sz w:val="24"/>
              </w:rPr>
              <w:t xml:space="preserve"> </w:t>
            </w:r>
            <w:r>
              <w:rPr>
                <w:rFonts w:hint="eastAsia"/>
                <w:color w:val="auto"/>
                <w:sz w:val="24"/>
                <w:lang w:val="en-US" w:eastAsia="zh-CN"/>
              </w:rPr>
              <w:t>本项目施工期主要是简单装修、设备安装、调试等。施工期装修安装人员约</w:t>
            </w:r>
            <w:r>
              <w:rPr>
                <w:rFonts w:hint="default"/>
                <w:color w:val="auto"/>
                <w:sz w:val="24"/>
                <w:lang w:val="en-US" w:eastAsia="zh-CN"/>
              </w:rPr>
              <w:t xml:space="preserve">15 </w:t>
            </w:r>
            <w:r>
              <w:rPr>
                <w:rFonts w:hint="eastAsia"/>
                <w:color w:val="auto"/>
                <w:sz w:val="24"/>
                <w:lang w:val="en-US" w:eastAsia="zh-CN"/>
              </w:rPr>
              <w:t xml:space="preserve">人，主要污染包括： </w:t>
            </w:r>
          </w:p>
          <w:p w14:paraId="59C65BDF">
            <w:pPr>
              <w:widowControl/>
              <w:spacing w:line="360" w:lineRule="auto"/>
              <w:ind w:firstLine="480" w:firstLineChars="200"/>
              <w:jc w:val="left"/>
              <w:rPr>
                <w:color w:val="auto"/>
                <w:sz w:val="24"/>
              </w:rPr>
            </w:pPr>
            <w:r>
              <w:rPr>
                <w:rFonts w:hint="default"/>
                <w:color w:val="auto"/>
                <w:sz w:val="24"/>
                <w:lang w:val="en-US" w:eastAsia="zh-CN"/>
              </w:rPr>
              <w:t>1</w:t>
            </w:r>
            <w:r>
              <w:rPr>
                <w:rFonts w:hint="eastAsia"/>
                <w:color w:val="auto"/>
                <w:sz w:val="24"/>
                <w:lang w:val="en-US" w:eastAsia="zh-CN"/>
              </w:rPr>
              <w:t>、废气：本项目仅在现有办公楼内进行办公室及检验室装修、设备安装和调试，不进行土建施工，扬尘产生量很少，施工期主要废气污染源为</w:t>
            </w:r>
            <w:r>
              <w:rPr>
                <w:rFonts w:hint="eastAsia"/>
                <w:color w:val="auto"/>
                <w:sz w:val="24"/>
              </w:rPr>
              <w:t>施工机械、车辆废气</w:t>
            </w:r>
            <w:r>
              <w:rPr>
                <w:rFonts w:hint="eastAsia"/>
                <w:color w:val="auto"/>
                <w:sz w:val="24"/>
                <w:lang w:val="en-US" w:eastAsia="zh-CN"/>
              </w:rPr>
              <w:t xml:space="preserve">和装修废气。 </w:t>
            </w:r>
          </w:p>
          <w:p w14:paraId="32389984">
            <w:pPr>
              <w:widowControl/>
              <w:spacing w:line="360" w:lineRule="auto"/>
              <w:ind w:firstLine="480" w:firstLineChars="200"/>
              <w:jc w:val="left"/>
              <w:rPr>
                <w:rFonts w:hint="eastAsia"/>
                <w:color w:val="auto"/>
                <w:sz w:val="24"/>
                <w:lang w:val="en-US" w:eastAsia="zh-CN"/>
              </w:rPr>
            </w:pPr>
            <w:r>
              <w:rPr>
                <w:rFonts w:hint="default"/>
                <w:color w:val="auto"/>
                <w:sz w:val="24"/>
                <w:lang w:val="en-US" w:eastAsia="zh-CN"/>
              </w:rPr>
              <w:t>2</w:t>
            </w:r>
            <w:r>
              <w:rPr>
                <w:rFonts w:hint="eastAsia"/>
                <w:color w:val="auto"/>
                <w:sz w:val="24"/>
                <w:lang w:val="en-US" w:eastAsia="zh-CN"/>
              </w:rPr>
              <w:t>、废水：安装人员产生的生活污水，主要污染物为 COD、SS、NH</w:t>
            </w:r>
            <w:r>
              <w:rPr>
                <w:rFonts w:hint="eastAsia"/>
                <w:color w:val="auto"/>
                <w:sz w:val="24"/>
                <w:vertAlign w:val="subscript"/>
                <w:lang w:val="en-US" w:eastAsia="zh-CN"/>
              </w:rPr>
              <w:t>3</w:t>
            </w:r>
            <w:r>
              <w:rPr>
                <w:rFonts w:hint="eastAsia"/>
                <w:color w:val="auto"/>
                <w:sz w:val="24"/>
                <w:lang w:val="en-US" w:eastAsia="zh-CN"/>
              </w:rPr>
              <w:t xml:space="preserve">-N等。 </w:t>
            </w:r>
          </w:p>
          <w:p w14:paraId="7A0E450F">
            <w:pPr>
              <w:widowControl/>
              <w:spacing w:line="360" w:lineRule="auto"/>
              <w:ind w:firstLine="480" w:firstLineChars="200"/>
              <w:jc w:val="left"/>
              <w:rPr>
                <w:rFonts w:hint="eastAsia"/>
                <w:color w:val="auto"/>
                <w:sz w:val="24"/>
                <w:lang w:val="en-US" w:eastAsia="zh-CN"/>
              </w:rPr>
            </w:pPr>
            <w:r>
              <w:rPr>
                <w:rFonts w:hint="eastAsia"/>
                <w:color w:val="auto"/>
                <w:sz w:val="24"/>
                <w:lang w:val="en-US" w:eastAsia="zh-CN"/>
              </w:rPr>
              <w:t xml:space="preserve">3、噪声：装修、设备安装、调试过程中产生的噪声。 </w:t>
            </w:r>
          </w:p>
          <w:p w14:paraId="21BC4633">
            <w:pPr>
              <w:widowControl/>
              <w:spacing w:line="360" w:lineRule="auto"/>
              <w:ind w:firstLine="480" w:firstLineChars="200"/>
              <w:jc w:val="left"/>
              <w:rPr>
                <w:color w:val="auto"/>
                <w:sz w:val="24"/>
              </w:rPr>
            </w:pPr>
            <w:r>
              <w:rPr>
                <w:rFonts w:hint="eastAsia"/>
                <w:color w:val="auto"/>
                <w:sz w:val="24"/>
                <w:lang w:val="en-US" w:eastAsia="zh-CN"/>
              </w:rPr>
              <w:t>4、固废：主要是装修过程产生的装修垃圾、施工人员产生的生活垃圾等。</w:t>
            </w:r>
          </w:p>
          <w:p w14:paraId="25989CF9">
            <w:pPr>
              <w:spacing w:line="360" w:lineRule="auto"/>
              <w:ind w:left="420" w:leftChars="200"/>
              <w:rPr>
                <w:b/>
                <w:bCs/>
                <w:color w:val="auto"/>
                <w:sz w:val="24"/>
              </w:rPr>
            </w:pPr>
            <w:r>
              <w:rPr>
                <w:b/>
                <w:bCs/>
                <w:color w:val="auto"/>
                <w:sz w:val="24"/>
              </w:rPr>
              <w:t>二、运营期工艺流程</w:t>
            </w:r>
          </w:p>
          <w:p w14:paraId="45BC9791">
            <w:pPr>
              <w:pStyle w:val="37"/>
              <w:snapToGrid w:val="0"/>
              <w:spacing w:line="360" w:lineRule="auto"/>
              <w:ind w:firstLine="470" w:firstLineChars="196"/>
              <w:rPr>
                <w:rFonts w:hint="eastAsia" w:ascii="Times New Roman" w:eastAsia="宋体" w:cs="Times New Roman"/>
                <w:bCs/>
                <w:color w:val="auto"/>
                <w:highlight w:val="none"/>
              </w:rPr>
            </w:pPr>
            <w:r>
              <w:rPr>
                <w:rFonts w:hint="eastAsia" w:ascii="Times New Roman" w:eastAsia="宋体" w:cs="Times New Roman"/>
                <w:bCs/>
                <w:color w:val="auto"/>
                <w:highlight w:val="none"/>
              </w:rPr>
              <w:t>本项目建筑检测</w:t>
            </w:r>
            <w:r>
              <w:rPr>
                <w:rFonts w:hint="eastAsia" w:ascii="Times New Roman" w:eastAsia="宋体" w:cs="Times New Roman"/>
                <w:bCs/>
                <w:color w:val="auto"/>
                <w:highlight w:val="none"/>
                <w:lang w:eastAsia="zh-CN"/>
              </w:rPr>
              <w:t>试验</w:t>
            </w:r>
            <w:r>
              <w:rPr>
                <w:rFonts w:hint="eastAsia" w:ascii="Times New Roman" w:eastAsia="宋体" w:cs="Times New Roman"/>
                <w:bCs/>
                <w:color w:val="auto"/>
                <w:highlight w:val="none"/>
              </w:rPr>
              <w:t>分为客户送样检测和外协工程检测两类，具体工艺流程如下：</w:t>
            </w:r>
          </w:p>
          <w:p w14:paraId="1027FB1A">
            <w:pPr>
              <w:pStyle w:val="37"/>
              <w:snapToGrid w:val="0"/>
              <w:spacing w:line="360" w:lineRule="auto"/>
              <w:ind w:firstLine="472" w:firstLineChars="196"/>
              <w:rPr>
                <w:rFonts w:hint="eastAsia" w:ascii="Times New Roman" w:eastAsia="宋体" w:cs="Times New Roman"/>
                <w:b/>
                <w:color w:val="auto"/>
                <w:highlight w:val="none"/>
              </w:rPr>
            </w:pPr>
            <w:r>
              <w:rPr>
                <w:rFonts w:hint="eastAsia" w:ascii="Times New Roman" w:eastAsia="宋体" w:cs="Times New Roman"/>
                <w:b/>
                <w:color w:val="auto"/>
                <w:highlight w:val="none"/>
              </w:rPr>
              <w:t>外携工程检测：</w:t>
            </w:r>
          </w:p>
          <w:p w14:paraId="4F428B07">
            <w:pPr>
              <w:pStyle w:val="37"/>
              <w:snapToGrid w:val="0"/>
              <w:spacing w:line="360" w:lineRule="auto"/>
              <w:rPr>
                <w:rFonts w:hint="eastAsia" w:ascii="Times New Roman" w:eastAsia="宋体" w:cs="Times New Roman"/>
                <w:bCs/>
                <w:color w:val="auto"/>
                <w:highlight w:val="none"/>
              </w:rPr>
            </w:pPr>
            <w:r>
              <w:rPr>
                <w:rFonts w:ascii="Times New Roman" w:eastAsia="宋体" w:cs="Times New Roman"/>
                <w:bCs/>
                <w:color w:val="auto"/>
                <w:highlight w:val="none"/>
              </w:rPr>
              <mc:AlternateContent>
                <mc:Choice Requires="wpc">
                  <w:drawing>
                    <wp:inline distT="0" distB="0" distL="114300" distR="114300">
                      <wp:extent cx="4826635" cy="910590"/>
                      <wp:effectExtent l="0" t="0" r="0" b="0"/>
                      <wp:docPr id="11" name="画布 1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文本框 1"/>
                              <wps:cNvSpPr txBox="1"/>
                              <wps:spPr>
                                <a:xfrm>
                                  <a:off x="955011" y="137767"/>
                                  <a:ext cx="779631" cy="3057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24AFA9">
                                    <w:pPr>
                                      <w:jc w:val="center"/>
                                    </w:pPr>
                                    <w:r>
                                      <w:rPr>
                                        <w:rFonts w:hint="eastAsia"/>
                                      </w:rPr>
                                      <w:t>客户委托</w:t>
                                    </w:r>
                                  </w:p>
                                </w:txbxContent>
                              </wps:txbx>
                              <wps:bodyPr upright="1"/>
                            </wps:wsp>
                            <wps:wsp>
                              <wps:cNvPr id="4" name="直接箭头连接符 4"/>
                              <wps:cNvCnPr/>
                              <wps:spPr>
                                <a:xfrm>
                                  <a:off x="1734641" y="288796"/>
                                  <a:ext cx="460557" cy="737"/>
                                </a:xfrm>
                                <a:prstGeom prst="straightConnector1">
                                  <a:avLst/>
                                </a:prstGeom>
                                <a:ln w="9525" cap="flat" cmpd="sng">
                                  <a:solidFill>
                                    <a:srgbClr val="000000"/>
                                  </a:solidFill>
                                  <a:prstDash val="solid"/>
                                  <a:headEnd type="none" w="med" len="med"/>
                                  <a:tailEnd type="triangle" w="med" len="med"/>
                                </a:ln>
                              </wps:spPr>
                              <wps:bodyPr/>
                            </wps:wsp>
                            <wps:wsp>
                              <wps:cNvPr id="5" name="文本框 5"/>
                              <wps:cNvSpPr txBox="1"/>
                              <wps:spPr>
                                <a:xfrm>
                                  <a:off x="2195198" y="135557"/>
                                  <a:ext cx="779631" cy="3057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E26A2EB">
                                    <w:pPr>
                                      <w:jc w:val="center"/>
                                    </w:pPr>
                                    <w:r>
                                      <w:rPr>
                                        <w:rFonts w:hint="eastAsia"/>
                                      </w:rPr>
                                      <w:t>外出检测</w:t>
                                    </w:r>
                                  </w:p>
                                </w:txbxContent>
                              </wps:txbx>
                              <wps:bodyPr upright="1"/>
                            </wps:wsp>
                            <wps:wsp>
                              <wps:cNvPr id="6" name="直接箭头连接符 6"/>
                              <wps:cNvCnPr/>
                              <wps:spPr>
                                <a:xfrm>
                                  <a:off x="2974828" y="287322"/>
                                  <a:ext cx="460557" cy="737"/>
                                </a:xfrm>
                                <a:prstGeom prst="straightConnector1">
                                  <a:avLst/>
                                </a:prstGeom>
                                <a:ln w="9525" cap="flat" cmpd="sng">
                                  <a:solidFill>
                                    <a:srgbClr val="000000"/>
                                  </a:solidFill>
                                  <a:prstDash val="solid"/>
                                  <a:headEnd type="none" w="med" len="med"/>
                                  <a:tailEnd type="triangle" w="med" len="med"/>
                                </a:ln>
                              </wps:spPr>
                              <wps:bodyPr/>
                            </wps:wsp>
                            <wps:wsp>
                              <wps:cNvPr id="7" name="文本框 7"/>
                              <wps:cNvSpPr txBox="1"/>
                              <wps:spPr>
                                <a:xfrm>
                                  <a:off x="3435385" y="137767"/>
                                  <a:ext cx="778894" cy="3057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2D7AD8">
                                    <w:pPr>
                                      <w:jc w:val="center"/>
                                    </w:pPr>
                                    <w:r>
                                      <w:rPr>
                                        <w:rFonts w:hint="eastAsia"/>
                                      </w:rPr>
                                      <w:t>出具报告</w:t>
                                    </w:r>
                                  </w:p>
                                </w:txbxContent>
                              </wps:txbx>
                              <wps:bodyPr upright="1"/>
                            </wps:wsp>
                            <wps:wsp>
                              <wps:cNvPr id="10" name="矩形 10"/>
                              <wps:cNvSpPr/>
                              <wps:spPr>
                                <a:xfrm>
                                  <a:off x="1461991" y="550332"/>
                                  <a:ext cx="2124456" cy="302793"/>
                                </a:xfrm>
                                <a:prstGeom prst="rect">
                                  <a:avLst/>
                                </a:prstGeom>
                                <a:solidFill>
                                  <a:srgbClr val="FFFFFF"/>
                                </a:solidFill>
                                <a:ln>
                                  <a:noFill/>
                                </a:ln>
                              </wps:spPr>
                              <wps:txbx>
                                <w:txbxContent>
                                  <w:p w14:paraId="6F117F77">
                                    <w:pPr>
                                      <w:rPr>
                                        <w:b/>
                                        <w:szCs w:val="21"/>
                                      </w:rPr>
                                    </w:pPr>
                                    <w:r>
                                      <w:rPr>
                                        <w:rFonts w:hint="eastAsia"/>
                                        <w:b/>
                                        <w:bCs/>
                                        <w:szCs w:val="21"/>
                                      </w:rPr>
                                      <w:t>图</w:t>
                                    </w:r>
                                    <w:r>
                                      <w:rPr>
                                        <w:b/>
                                        <w:bCs/>
                                        <w:szCs w:val="21"/>
                                      </w:rPr>
                                      <w:t>2-</w:t>
                                    </w:r>
                                    <w:r>
                                      <w:rPr>
                                        <w:rFonts w:hint="eastAsia"/>
                                        <w:b/>
                                        <w:bCs/>
                                        <w:szCs w:val="21"/>
                                      </w:rPr>
                                      <w:t>2</w:t>
                                    </w:r>
                                    <w:r>
                                      <w:rPr>
                                        <w:b/>
                                        <w:bCs/>
                                        <w:szCs w:val="21"/>
                                      </w:rPr>
                                      <w:t xml:space="preserve"> </w:t>
                                    </w:r>
                                    <w:r>
                                      <w:rPr>
                                        <w:rFonts w:hint="eastAsia"/>
                                        <w:b/>
                                        <w:bCs/>
                                        <w:szCs w:val="21"/>
                                      </w:rPr>
                                      <w:t>外携工程检测工艺流程图</w:t>
                                    </w:r>
                                  </w:p>
                                </w:txbxContent>
                              </wps:txbx>
                              <wps:bodyPr upright="1"/>
                            </wps:wsp>
                          </wpc:wpc>
                        </a:graphicData>
                      </a:graphic>
                    </wp:inline>
                  </w:drawing>
                </mc:Choice>
                <mc:Fallback>
                  <w:pict>
                    <v:group id="_x0000_s1026" o:spid="_x0000_s1026" o:spt="203" style="height:71.7pt;width:380.05pt;" coordsize="4826635,910590" editas="canvas" o:gfxdata="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">
                      <o:lock v:ext="edit" aspectratio="f"/>
                      <v:shape id="_x0000_s1026" o:spid="_x0000_s1026" style="position:absolute;left:0;top:0;height:910590;width:4826635;" filled="f" stroked="f" coordsize="21600,21600" o:gfxdata="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">
                        <v:fill on="f" focussize="0,0"/>
                        <v:stroke on="f"/>
                        <v:imagedata o:title=""/>
                        <o:lock v:ext="edit" aspectratio="t"/>
                      </v:shape>
                      <v:shape id="_x0000_s1026" o:spid="_x0000_s1026" o:spt="202" type="#_x0000_t202" style="position:absolute;left:955011;top:137767;height:305740;width:779631;" fillcolor="#FFFFFF" filled="t" stroked="t" coordsize="21600,21600" o:gfxdata="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izumhdUAAAAFAQAADwAAAAAAAAAB&#10;ACAAAAAiAAAAZHJzL2Rvd25yZXYueG1sUEsBAhQAFAAAAAgAh07iQM5JS+4TAgAAPwQAAA4AAAAA&#10;AAAAAQAgAAAAJAEAAGRycy9lMm9Eb2MueG1sUEsFBgAAAAAGAAYAWQEAAKkFAAAAAA==&#10;">
                        <v:fill on="t" focussize="0,0"/>
                        <v:stroke color="#000000" joinstyle="miter"/>
                        <v:imagedata o:title=""/>
                        <o:lock v:ext="edit" aspectratio="f"/>
                        <v:textbox>
                          <w:txbxContent>
                            <w:p w14:paraId="7724AFA9">
                              <w:pPr>
                                <w:jc w:val="center"/>
                              </w:pPr>
                              <w:r>
                                <w:rPr>
                                  <w:rFonts w:hint="eastAsia"/>
                                </w:rPr>
                                <w:t>客户委托</w:t>
                              </w:r>
                            </w:p>
                          </w:txbxContent>
                        </v:textbox>
                      </v:shape>
                      <v:shape id="_x0000_s1026" o:spid="_x0000_s1026" o:spt="32" type="#_x0000_t32" style="position:absolute;left:1734641;top:288796;height:737;width:460557;" filled="f" stroked="t" coordsize="21600,21600" o:gfxdata="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PLZJ/WAAAABQEAAA8AAAAAAAAA&#10;AQAgAAAAIgAAAGRycy9kb3ducmV2LnhtbFBLAQIUABQAAAAIAIdO4kD6+3opEwIAAPwDAAAOAAAA&#10;AAAAAAEAIAAAACUBAABkcnMvZTJvRG9jLnhtbFBLBQYAAAAABgAGAFkBAACqBQAAAAA=&#10;">
                        <v:fill on="f" focussize="0,0"/>
                        <v:stroke color="#000000" joinstyle="round" endarrow="block"/>
                        <v:imagedata o:title=""/>
                        <o:lock v:ext="edit" aspectratio="f"/>
                      </v:shape>
                      <v:shape id="_x0000_s1026" o:spid="_x0000_s1026" o:spt="202" type="#_x0000_t202" style="position:absolute;left:2195198;top:135557;height:305740;width:779631;" fillcolor="#FFFFFF" filled="t" stroked="t" coordsize="21600,21600" o:gfxdata="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s7poXVAAAABQEAAA8AAAAA&#10;AAAAAQAgAAAAIgAAAGRycy9kb3ducmV2LnhtbFBLAQIUABQAAAAIAIdO4kC1FVfyFwIAAEAEAAAO&#10;AAAAAAAAAAEAIAAAACQBAABkcnMvZTJvRG9jLnhtbFBLBQYAAAAABgAGAFkBAACtBQAAAAA=&#10;">
                        <v:fill on="t" focussize="0,0"/>
                        <v:stroke color="#000000" joinstyle="miter"/>
                        <v:imagedata o:title=""/>
                        <o:lock v:ext="edit" aspectratio="f"/>
                        <v:textbox>
                          <w:txbxContent>
                            <w:p w14:paraId="0E26A2EB">
                              <w:pPr>
                                <w:jc w:val="center"/>
                              </w:pPr>
                              <w:r>
                                <w:rPr>
                                  <w:rFonts w:hint="eastAsia"/>
                                </w:rPr>
                                <w:t>外出检测</w:t>
                              </w:r>
                            </w:p>
                          </w:txbxContent>
                        </v:textbox>
                      </v:shape>
                      <v:shape id="_x0000_s1026" o:spid="_x0000_s1026" o:spt="32" type="#_x0000_t32" style="position:absolute;left:2974828;top:287322;height:737;width:460557;" filled="f" stroked="t" coordsize="21600,21600" o:gfxdata="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PLZJ/WAAAABQEAAA8AAAAAAAAA&#10;AQAgAAAAIgAAAGRycy9kb3ducmV2LnhtbFBLAQIUABQAAAAIAIdO4kD91HVvEwIAAPwDAAAOAAAA&#10;AAAAAAEAIAAAACUBAABkcnMvZTJvRG9jLnhtbFBLBQYAAAAABgAGAFkBAACqBQAAAAA=&#10;">
                        <v:fill on="f" focussize="0,0"/>
                        <v:stroke color="#000000" joinstyle="round" endarrow="block"/>
                        <v:imagedata o:title=""/>
                        <o:lock v:ext="edit" aspectratio="f"/>
                      </v:shape>
                      <v:shape id="_x0000_s1026" o:spid="_x0000_s1026" o:spt="202" type="#_x0000_t202" style="position:absolute;left:3435385;top:137767;height:305740;width:778894;" fillcolor="#FFFFFF" filled="t" stroked="t" coordsize="21600,21600" o:gfxdata="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izumhdUAAAAFAQAADwAA&#10;AAAAAAABACAAAAAiAAAAZHJzL2Rvd25yZXYueG1sUEsBAhQAFAAAAAgAh07iQDPkN6YZAgAAQAQA&#10;AA4AAAAAAAAAAQAgAAAAJAEAAGRycy9lMm9Eb2MueG1sUEsFBgAAAAAGAAYAWQEAAK8FAAAAAA==&#10;">
                        <v:fill on="t" focussize="0,0"/>
                        <v:stroke color="#000000" joinstyle="miter"/>
                        <v:imagedata o:title=""/>
                        <o:lock v:ext="edit" aspectratio="f"/>
                        <v:textbox>
                          <w:txbxContent>
                            <w:p w14:paraId="3E2D7AD8">
                              <w:pPr>
                                <w:jc w:val="center"/>
                              </w:pPr>
                              <w:r>
                                <w:rPr>
                                  <w:rFonts w:hint="eastAsia"/>
                                </w:rPr>
                                <w:t>出具报告</w:t>
                              </w:r>
                            </w:p>
                          </w:txbxContent>
                        </v:textbox>
                      </v:shape>
                      <v:rect id="_x0000_s1026" o:spid="_x0000_s1026" o:spt="1" style="position:absolute;left:1461991;top:550332;height:302793;width:2124456;" fillcolor="#FFFFFF" filled="t" stroked="f" coordsize="21600,21600" o:gfxdata="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BtOVnHUAAAABQEAAA8AAAAAAAAAAQAgAAAAIgAAAGRycy9kb3ducmV2Lnht&#10;bFBLAQIUABQAAAAIAIdO4kCoANkbxAEAAHcDAAAOAAAAAAAAAAEAIAAAACMBAABkcnMvZTJvRG9j&#10;LnhtbFBLBQYAAAAABgAGAFkBAABZBQAAAAA=&#10;">
                        <v:fill on="t" focussize="0,0"/>
                        <v:stroke on="f"/>
                        <v:imagedata o:title=""/>
                        <o:lock v:ext="edit" aspectratio="f"/>
                        <v:textbox>
                          <w:txbxContent>
                            <w:p w14:paraId="6F117F77">
                              <w:pPr>
                                <w:rPr>
                                  <w:b/>
                                  <w:szCs w:val="21"/>
                                </w:rPr>
                              </w:pPr>
                              <w:r>
                                <w:rPr>
                                  <w:rFonts w:hint="eastAsia"/>
                                  <w:b/>
                                  <w:bCs/>
                                  <w:szCs w:val="21"/>
                                </w:rPr>
                                <w:t>图</w:t>
                              </w:r>
                              <w:r>
                                <w:rPr>
                                  <w:b/>
                                  <w:bCs/>
                                  <w:szCs w:val="21"/>
                                </w:rPr>
                                <w:t>2-</w:t>
                              </w:r>
                              <w:r>
                                <w:rPr>
                                  <w:rFonts w:hint="eastAsia"/>
                                  <w:b/>
                                  <w:bCs/>
                                  <w:szCs w:val="21"/>
                                </w:rPr>
                                <w:t>2</w:t>
                              </w:r>
                              <w:r>
                                <w:rPr>
                                  <w:b/>
                                  <w:bCs/>
                                  <w:szCs w:val="21"/>
                                </w:rPr>
                                <w:t xml:space="preserve"> </w:t>
                              </w:r>
                              <w:r>
                                <w:rPr>
                                  <w:rFonts w:hint="eastAsia"/>
                                  <w:b/>
                                  <w:bCs/>
                                  <w:szCs w:val="21"/>
                                </w:rPr>
                                <w:t>外携工程检测工艺流程图</w:t>
                              </w:r>
                            </w:p>
                          </w:txbxContent>
                        </v:textbox>
                      </v:rect>
                      <w10:wrap type="none"/>
                      <w10:anchorlock/>
                    </v:group>
                  </w:pict>
                </mc:Fallback>
              </mc:AlternateContent>
            </w:r>
          </w:p>
          <w:p w14:paraId="1D5C05EB">
            <w:pPr>
              <w:pStyle w:val="37"/>
              <w:snapToGrid w:val="0"/>
              <w:spacing w:line="360" w:lineRule="auto"/>
              <w:ind w:firstLine="470" w:firstLineChars="196"/>
              <w:rPr>
                <w:rFonts w:hint="eastAsia" w:ascii="Times New Roman" w:eastAsia="宋体" w:cs="Times New Roman"/>
                <w:bCs/>
                <w:color w:val="auto"/>
                <w:highlight w:val="none"/>
              </w:rPr>
            </w:pPr>
            <w:r>
              <w:rPr>
                <w:rFonts w:hint="eastAsia" w:ascii="Times New Roman" w:eastAsia="宋体" w:cs="Times New Roman"/>
                <w:bCs/>
                <w:color w:val="auto"/>
                <w:highlight w:val="none"/>
              </w:rPr>
              <w:t>接受客户委托后，检测人员根据委托监测项目携带相关设备对市政道路、混凝土结构室、地基基础工程等工程项目进行检测，检测内容全部为物理性能。</w:t>
            </w:r>
          </w:p>
          <w:p w14:paraId="553C14D1">
            <w:pPr>
              <w:pStyle w:val="37"/>
              <w:snapToGrid w:val="0"/>
              <w:spacing w:line="360" w:lineRule="auto"/>
              <w:ind w:firstLine="472" w:firstLineChars="196"/>
              <w:rPr>
                <w:rFonts w:hint="eastAsia" w:ascii="Times New Roman" w:eastAsia="宋体" w:cs="Times New Roman"/>
                <w:b/>
                <w:color w:val="auto"/>
                <w:highlight w:val="none"/>
              </w:rPr>
            </w:pPr>
            <w:r>
              <w:rPr>
                <w:rFonts w:hint="eastAsia" w:ascii="Times New Roman" w:eastAsia="宋体" w:cs="Times New Roman"/>
                <w:b/>
                <w:color w:val="auto"/>
                <w:highlight w:val="none"/>
              </w:rPr>
              <w:t>客户送样检测：</w:t>
            </w:r>
          </w:p>
          <w:p w14:paraId="421BE373">
            <w:pPr>
              <w:pStyle w:val="37"/>
              <w:snapToGrid w:val="0"/>
              <w:spacing w:line="360" w:lineRule="auto"/>
              <w:ind w:left="359" w:leftChars="114" w:hanging="120" w:hangingChars="50"/>
              <w:rPr>
                <w:rFonts w:hint="eastAsia" w:ascii="Times New Roman" w:eastAsia="宋体" w:cs="Times New Roman"/>
                <w:bCs/>
                <w:color w:val="auto"/>
                <w:highlight w:val="none"/>
              </w:rPr>
            </w:pPr>
            <w:r>
              <w:rPr>
                <w:rFonts w:hint="eastAsia" w:ascii="Times New Roman" w:eastAsia="宋体" w:cs="Times New Roman"/>
                <w:b/>
                <w:bCs/>
                <w:color w:val="auto"/>
                <w:highlight w:val="none"/>
              </w:rPr>
              <w:t xml:space="preserve"> </w:t>
            </w:r>
            <w:r>
              <w:rPr>
                <w:rFonts w:hint="eastAsia" w:ascii="Times New Roman" w:eastAsia="宋体" w:cs="Times New Roman"/>
                <w:bCs/>
                <w:color w:val="auto"/>
                <w:highlight w:val="none"/>
              </w:rPr>
              <w:t>（1）送样委托</w:t>
            </w:r>
          </w:p>
          <w:p w14:paraId="4EB67F8D">
            <w:pPr>
              <w:pStyle w:val="37"/>
              <w:snapToGrid w:val="0"/>
              <w:spacing w:line="360" w:lineRule="auto"/>
              <w:ind w:firstLine="117" w:firstLineChars="49"/>
              <w:rPr>
                <w:rFonts w:hint="eastAsia" w:ascii="Times New Roman" w:eastAsia="宋体" w:cs="Times New Roman"/>
                <w:bCs/>
                <w:color w:val="auto"/>
                <w:highlight w:val="none"/>
              </w:rPr>
            </w:pPr>
            <w:r>
              <w:rPr>
                <w:rFonts w:hint="eastAsia" w:ascii="Times New Roman" w:eastAsia="宋体" w:cs="Times New Roman"/>
                <w:bCs/>
                <w:color w:val="auto"/>
                <w:highlight w:val="none"/>
              </w:rPr>
              <w:t xml:space="preserve">    建设单位接受客户送样委托检测，待检测样品主要为水泥、石灰、砂石、混凝土、岩石、土工合成材料、防水材料、钢材</w:t>
            </w:r>
            <w:r>
              <w:rPr>
                <w:rFonts w:hint="eastAsia" w:ascii="Times New Roman" w:cs="Times New Roman"/>
                <w:bCs/>
                <w:color w:val="auto"/>
                <w:highlight w:val="none"/>
                <w:lang w:eastAsia="zh-CN"/>
              </w:rPr>
              <w:t>、</w:t>
            </w:r>
            <w:r>
              <w:rPr>
                <w:rFonts w:hint="eastAsia" w:ascii="Times New Roman" w:cs="Times New Roman"/>
                <w:bCs/>
                <w:color w:val="auto"/>
                <w:highlight w:val="none"/>
                <w:lang w:val="en-US" w:eastAsia="zh-CN"/>
              </w:rPr>
              <w:t>沥青</w:t>
            </w:r>
            <w:r>
              <w:rPr>
                <w:rFonts w:hint="eastAsia" w:ascii="Times New Roman" w:eastAsia="宋体" w:cs="Times New Roman"/>
                <w:bCs/>
                <w:color w:val="auto"/>
                <w:highlight w:val="none"/>
              </w:rPr>
              <w:t>等建材中使用的各类材料。</w:t>
            </w:r>
          </w:p>
          <w:p w14:paraId="5BBA737C">
            <w:pPr>
              <w:pStyle w:val="37"/>
              <w:snapToGrid w:val="0"/>
              <w:spacing w:line="360" w:lineRule="auto"/>
              <w:ind w:firstLine="480" w:firstLineChars="200"/>
              <w:rPr>
                <w:rFonts w:hint="eastAsia" w:ascii="Times New Roman" w:eastAsia="宋体" w:cs="Times New Roman"/>
                <w:bCs/>
                <w:color w:val="auto"/>
                <w:highlight w:val="none"/>
              </w:rPr>
            </w:pPr>
            <w:r>
              <w:rPr>
                <w:rFonts w:hint="eastAsia" w:ascii="Times New Roman" w:eastAsia="宋体" w:cs="Times New Roman"/>
                <w:bCs/>
                <w:color w:val="auto"/>
                <w:highlight w:val="none"/>
              </w:rPr>
              <w:t>（2）样品前处理</w:t>
            </w:r>
          </w:p>
          <w:p w14:paraId="5A5611A8">
            <w:pPr>
              <w:pStyle w:val="37"/>
              <w:snapToGrid w:val="0"/>
              <w:spacing w:line="360" w:lineRule="auto"/>
              <w:ind w:firstLine="480" w:firstLineChars="200"/>
              <w:rPr>
                <w:rFonts w:hint="eastAsia" w:ascii="Times New Roman" w:eastAsia="宋体" w:cs="Times New Roman"/>
                <w:bCs/>
                <w:color w:val="auto"/>
                <w:highlight w:val="none"/>
              </w:rPr>
            </w:pPr>
            <w:r>
              <w:rPr>
                <w:rFonts w:hint="eastAsia" w:ascii="Times New Roman" w:eastAsia="宋体" w:cs="Times New Roman"/>
                <w:bCs/>
                <w:color w:val="auto"/>
                <w:highlight w:val="none"/>
              </w:rPr>
              <w:t>对客户送检样品进行前处理：</w:t>
            </w:r>
          </w:p>
          <w:p w14:paraId="67AAF8C2">
            <w:pPr>
              <w:pStyle w:val="37"/>
              <w:snapToGrid w:val="0"/>
              <w:spacing w:line="360" w:lineRule="auto"/>
              <w:ind w:firstLine="480" w:firstLineChars="200"/>
              <w:rPr>
                <w:rFonts w:ascii="Times New Roman" w:eastAsia="宋体" w:cs="Times New Roman"/>
                <w:bCs/>
                <w:color w:val="auto"/>
                <w:highlight w:val="none"/>
              </w:rPr>
            </w:pPr>
            <w:r>
              <w:rPr>
                <w:rFonts w:ascii="Times New Roman" w:hAnsi="宋体" w:eastAsia="宋体" w:cs="Times New Roman"/>
                <w:bCs/>
                <w:color w:val="auto"/>
                <w:highlight w:val="none"/>
              </w:rPr>
              <w:t>①</w:t>
            </w:r>
            <w:r>
              <w:rPr>
                <w:rFonts w:ascii="Times New Roman" w:eastAsia="宋体" w:cs="Times New Roman"/>
                <w:bCs/>
                <w:color w:val="auto"/>
                <w:highlight w:val="none"/>
              </w:rPr>
              <w:t>对岩石进行湿式加工，如切割、钻、磨光等，所有加工时使用水对加工过程进行冷却和降尘，故此过程不会产生颗粒物，主要污染物为废水</w:t>
            </w:r>
            <w:r>
              <w:rPr>
                <w:rFonts w:hint="eastAsia" w:ascii="Times New Roman" w:eastAsia="宋体" w:cs="Times New Roman"/>
                <w:bCs/>
                <w:color w:val="auto"/>
                <w:highlight w:val="none"/>
              </w:rPr>
              <w:t>和噪声</w:t>
            </w:r>
            <w:r>
              <w:rPr>
                <w:rFonts w:ascii="Times New Roman" w:eastAsia="宋体" w:cs="Times New Roman"/>
                <w:bCs/>
                <w:color w:val="auto"/>
                <w:highlight w:val="none"/>
              </w:rPr>
              <w:t>。</w:t>
            </w:r>
          </w:p>
          <w:p w14:paraId="473E8FDB">
            <w:pPr>
              <w:pStyle w:val="37"/>
              <w:snapToGrid w:val="0"/>
              <w:spacing w:line="360" w:lineRule="auto"/>
              <w:ind w:firstLine="480" w:firstLineChars="200"/>
              <w:rPr>
                <w:rFonts w:ascii="Times New Roman" w:eastAsia="宋体" w:cs="Times New Roman"/>
                <w:bCs/>
                <w:color w:val="auto"/>
                <w:highlight w:val="none"/>
              </w:rPr>
            </w:pPr>
            <w:r>
              <w:rPr>
                <w:rFonts w:ascii="Times New Roman" w:hAnsi="宋体" w:eastAsia="宋体" w:cs="Times New Roman"/>
                <w:bCs/>
                <w:color w:val="auto"/>
                <w:highlight w:val="none"/>
              </w:rPr>
              <w:t>②对混凝土、水泥、沥青等混合石灰、砂石、土、标准水泥、标准砂等一种或几种建材材料后进行振筛、压实、脱模形成模拟建材产品，其中沥青料需进行</w:t>
            </w:r>
            <w:r>
              <w:rPr>
                <w:rFonts w:ascii="Times New Roman" w:eastAsia="宋体" w:cs="Times New Roman"/>
                <w:bCs/>
                <w:color w:val="auto"/>
                <w:highlight w:val="none"/>
              </w:rPr>
              <w:t>1</w:t>
            </w:r>
            <w:r>
              <w:rPr>
                <w:rFonts w:hint="eastAsia" w:ascii="Times New Roman" w:cs="Times New Roman"/>
                <w:bCs/>
                <w:color w:val="auto"/>
                <w:highlight w:val="none"/>
                <w:lang w:val="en-US" w:eastAsia="zh-CN"/>
              </w:rPr>
              <w:t>4</w:t>
            </w:r>
            <w:r>
              <w:rPr>
                <w:rFonts w:ascii="Times New Roman" w:eastAsia="宋体" w:cs="Times New Roman"/>
                <w:bCs/>
                <w:color w:val="auto"/>
                <w:highlight w:val="none"/>
              </w:rPr>
              <w:t>0</w:t>
            </w:r>
            <w:r>
              <w:rPr>
                <w:rFonts w:hint="eastAsia" w:ascii="Times New Roman" w:eastAsia="宋体" w:cs="Times New Roman"/>
                <w:bCs/>
                <w:color w:val="auto"/>
                <w:highlight w:val="none"/>
              </w:rPr>
              <w:t>~</w:t>
            </w:r>
            <w:r>
              <w:rPr>
                <w:rFonts w:ascii="Times New Roman" w:eastAsia="宋体" w:cs="Times New Roman"/>
                <w:bCs/>
                <w:color w:val="auto"/>
                <w:highlight w:val="none"/>
              </w:rPr>
              <w:t>1</w:t>
            </w:r>
            <w:r>
              <w:rPr>
                <w:rFonts w:hint="eastAsia" w:ascii="Times New Roman" w:cs="Times New Roman"/>
                <w:bCs/>
                <w:color w:val="auto"/>
                <w:highlight w:val="none"/>
                <w:lang w:val="en-US" w:eastAsia="zh-CN"/>
              </w:rPr>
              <w:t>8</w:t>
            </w:r>
            <w:r>
              <w:rPr>
                <w:rFonts w:ascii="Times New Roman" w:eastAsia="宋体" w:cs="Times New Roman"/>
                <w:bCs/>
                <w:color w:val="auto"/>
                <w:highlight w:val="none"/>
              </w:rPr>
              <w:t>0</w:t>
            </w:r>
            <w:r>
              <w:rPr>
                <w:rFonts w:ascii="Times New Roman" w:hAnsi="宋体" w:eastAsia="宋体" w:cs="Times New Roman"/>
                <w:bCs/>
                <w:color w:val="auto"/>
                <w:highlight w:val="none"/>
              </w:rPr>
              <w:t>℃电加热后与其他物质混合成型，此过程会产生废水</w:t>
            </w:r>
            <w:r>
              <w:rPr>
                <w:rFonts w:hint="eastAsia" w:ascii="Times New Roman" w:hAnsi="宋体" w:eastAsia="宋体" w:cs="Times New Roman"/>
                <w:bCs/>
                <w:color w:val="auto"/>
                <w:highlight w:val="none"/>
              </w:rPr>
              <w:t>、噪声和</w:t>
            </w:r>
            <w:r>
              <w:rPr>
                <w:rFonts w:ascii="Times New Roman" w:hAnsi="宋体" w:eastAsia="宋体" w:cs="Times New Roman"/>
                <w:bCs/>
                <w:color w:val="auto"/>
                <w:highlight w:val="none"/>
              </w:rPr>
              <w:t>少量的</w:t>
            </w:r>
            <w:r>
              <w:rPr>
                <w:rFonts w:hint="eastAsia" w:ascii="Times New Roman" w:hAnsi="宋体" w:eastAsia="宋体" w:cs="Times New Roman"/>
                <w:bCs/>
                <w:color w:val="auto"/>
                <w:highlight w:val="none"/>
              </w:rPr>
              <w:t>有机废气</w:t>
            </w:r>
            <w:r>
              <w:rPr>
                <w:rFonts w:ascii="Times New Roman" w:hAnsi="宋体" w:eastAsia="宋体" w:cs="Times New Roman"/>
                <w:bCs/>
                <w:color w:val="auto"/>
                <w:highlight w:val="none"/>
              </w:rPr>
              <w:t>。</w:t>
            </w:r>
          </w:p>
          <w:p w14:paraId="7BEF9F37">
            <w:pPr>
              <w:pStyle w:val="37"/>
              <w:snapToGrid w:val="0"/>
              <w:spacing w:line="360" w:lineRule="auto"/>
              <w:ind w:firstLine="480" w:firstLineChars="200"/>
              <w:rPr>
                <w:rFonts w:ascii="Times New Roman" w:eastAsia="宋体" w:cs="Times New Roman"/>
                <w:bCs/>
                <w:color w:val="auto"/>
                <w:highlight w:val="none"/>
              </w:rPr>
            </w:pPr>
            <w:r>
              <w:rPr>
                <w:rFonts w:ascii="Times New Roman" w:hAnsi="宋体" w:eastAsia="宋体" w:cs="Times New Roman"/>
                <w:bCs/>
                <w:color w:val="auto"/>
                <w:highlight w:val="none"/>
              </w:rPr>
              <w:t>（</w:t>
            </w:r>
            <w:r>
              <w:rPr>
                <w:rFonts w:ascii="Times New Roman" w:eastAsia="宋体" w:cs="Times New Roman"/>
                <w:bCs/>
                <w:color w:val="auto"/>
                <w:highlight w:val="none"/>
              </w:rPr>
              <w:t>3</w:t>
            </w:r>
            <w:r>
              <w:rPr>
                <w:rFonts w:ascii="Times New Roman" w:hAnsi="宋体" w:eastAsia="宋体" w:cs="Times New Roman"/>
                <w:bCs/>
                <w:color w:val="auto"/>
                <w:highlight w:val="none"/>
              </w:rPr>
              <w:t>）样品检测</w:t>
            </w:r>
          </w:p>
          <w:p w14:paraId="4E80D048">
            <w:pPr>
              <w:pStyle w:val="9"/>
              <w:adjustRightInd w:val="0"/>
              <w:spacing w:before="0" w:after="0" w:line="360" w:lineRule="auto"/>
              <w:ind w:right="0" w:firstLine="480" w:firstLineChars="200"/>
              <w:rPr>
                <w:color w:val="auto"/>
                <w:kern w:val="2"/>
                <w:sz w:val="24"/>
                <w:szCs w:val="24"/>
                <w:highlight w:val="none"/>
              </w:rPr>
            </w:pPr>
            <w:r>
              <w:rPr>
                <w:color w:val="auto"/>
                <w:kern w:val="2"/>
                <w:sz w:val="24"/>
                <w:szCs w:val="24"/>
                <w:highlight w:val="none"/>
              </w:rPr>
              <w:t>对处理后的样品进行物理性能检测或化学检测：</w:t>
            </w:r>
          </w:p>
          <w:p w14:paraId="236005F9">
            <w:pPr>
              <w:pStyle w:val="9"/>
              <w:adjustRightInd w:val="0"/>
              <w:spacing w:before="0" w:after="0" w:line="360" w:lineRule="auto"/>
              <w:ind w:right="0" w:firstLine="480" w:firstLineChars="200"/>
              <w:rPr>
                <w:rFonts w:hint="eastAsia"/>
                <w:color w:val="auto"/>
                <w:kern w:val="2"/>
                <w:sz w:val="24"/>
                <w:szCs w:val="24"/>
                <w:highlight w:val="none"/>
              </w:rPr>
            </w:pPr>
            <w:r>
              <w:rPr>
                <w:rFonts w:hint="eastAsia" w:ascii="宋体" w:hAnsi="宋体"/>
                <w:color w:val="auto"/>
                <w:kern w:val="2"/>
                <w:sz w:val="24"/>
                <w:szCs w:val="24"/>
                <w:highlight w:val="none"/>
              </w:rPr>
              <w:t>①</w:t>
            </w:r>
            <w:r>
              <w:rPr>
                <w:rFonts w:hint="eastAsia"/>
                <w:color w:val="auto"/>
                <w:kern w:val="2"/>
                <w:sz w:val="24"/>
                <w:szCs w:val="24"/>
                <w:highlight w:val="none"/>
              </w:rPr>
              <w:t>物理性能检测：对各类建筑材料的力学、防冻抗渗、抗冲耐磨、密度、渗透性、微观物理性分布等物理性能进行检测，检测过程中不涉及材料的燃烧，不产生燃烧废气</w:t>
            </w:r>
            <w:r>
              <w:rPr>
                <w:rFonts w:hint="eastAsia"/>
                <w:color w:val="auto"/>
                <w:kern w:val="2"/>
                <w:sz w:val="24"/>
                <w:szCs w:val="24"/>
                <w:highlight w:val="none"/>
                <w:lang w:eastAsia="zh-CN"/>
              </w:rPr>
              <w:t>。</w:t>
            </w:r>
            <w:r>
              <w:rPr>
                <w:rFonts w:hint="eastAsia"/>
                <w:color w:val="auto"/>
                <w:kern w:val="2"/>
                <w:sz w:val="24"/>
                <w:szCs w:val="24"/>
                <w:highlight w:val="none"/>
                <w:lang w:val="en-US" w:eastAsia="zh-CN"/>
              </w:rPr>
              <w:t>在沥青与粗集料的粘附性、车辙试验等沥青试验中，需对沥青进行加热，此过程会产生沥青试验废气。物理性能检测过程</w:t>
            </w:r>
            <w:r>
              <w:rPr>
                <w:rFonts w:hint="eastAsia"/>
                <w:color w:val="auto"/>
                <w:kern w:val="2"/>
                <w:sz w:val="24"/>
                <w:szCs w:val="24"/>
                <w:highlight w:val="none"/>
              </w:rPr>
              <w:t>主要产生沥青试验废气、废水和</w:t>
            </w:r>
            <w:r>
              <w:rPr>
                <w:rFonts w:hint="eastAsia"/>
                <w:color w:val="auto"/>
                <w:kern w:val="2"/>
                <w:sz w:val="24"/>
                <w:szCs w:val="24"/>
                <w:highlight w:val="none"/>
                <w:lang w:eastAsia="zh-CN"/>
              </w:rPr>
              <w:t>试验</w:t>
            </w:r>
            <w:r>
              <w:rPr>
                <w:rFonts w:hint="eastAsia"/>
                <w:color w:val="auto"/>
                <w:kern w:val="2"/>
                <w:sz w:val="24"/>
                <w:szCs w:val="24"/>
                <w:highlight w:val="none"/>
              </w:rPr>
              <w:t>废样。</w:t>
            </w:r>
          </w:p>
          <w:p w14:paraId="277C6B25">
            <w:pPr>
              <w:spacing w:line="360" w:lineRule="auto"/>
              <w:ind w:firstLine="480" w:firstLineChars="200"/>
              <w:jc w:val="both"/>
              <w:rPr>
                <w:color w:val="auto"/>
                <w:highlight w:val="none"/>
              </w:rPr>
            </w:pPr>
            <w:r>
              <w:rPr>
                <w:rFonts w:hint="eastAsia" w:ascii="宋体" w:hAnsi="宋体"/>
                <w:color w:val="auto"/>
                <w:sz w:val="24"/>
                <w:highlight w:val="none"/>
              </w:rPr>
              <w:t>②化学检测：对</w:t>
            </w:r>
            <w:r>
              <w:rPr>
                <w:rFonts w:hint="eastAsia" w:ascii="宋体" w:hAnsi="宋体"/>
                <w:color w:val="auto"/>
                <w:sz w:val="24"/>
                <w:highlight w:val="none"/>
                <w:lang w:val="en-US" w:eastAsia="zh-CN"/>
              </w:rPr>
              <w:t>水泥检测氯离子含量、对石灰检测有效氧化钙、氧化镁含量、</w:t>
            </w:r>
            <w:r>
              <w:rPr>
                <w:rFonts w:hint="eastAsia" w:ascii="宋体" w:hAnsi="宋体"/>
                <w:color w:val="auto"/>
                <w:sz w:val="24"/>
                <w:highlight w:val="none"/>
              </w:rPr>
              <w:t>三氧化硫含量</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对粉煤灰检测</w:t>
            </w:r>
            <w:r>
              <w:rPr>
                <w:rFonts w:hint="eastAsia" w:ascii="宋体" w:hAnsi="宋体"/>
                <w:color w:val="auto"/>
                <w:sz w:val="24"/>
                <w:highlight w:val="none"/>
              </w:rPr>
              <w:t>三氧化硫含量等有害物质</w:t>
            </w:r>
            <w:r>
              <w:rPr>
                <w:rFonts w:hint="eastAsia" w:ascii="宋体" w:hAnsi="宋体"/>
                <w:color w:val="auto"/>
                <w:sz w:val="24"/>
                <w:highlight w:val="none"/>
                <w:lang w:val="en-US" w:eastAsia="zh-CN"/>
              </w:rPr>
              <w:t>含量</w:t>
            </w:r>
            <w:r>
              <w:rPr>
                <w:rFonts w:hint="eastAsia" w:ascii="宋体" w:hAnsi="宋体"/>
                <w:color w:val="auto"/>
                <w:sz w:val="24"/>
                <w:highlight w:val="none"/>
              </w:rPr>
              <w:t>进行检测，主要产生废气</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氯化氢及有机废气</w:t>
            </w:r>
            <w:r>
              <w:rPr>
                <w:rFonts w:hint="eastAsia" w:ascii="宋体" w:hAnsi="宋体"/>
                <w:color w:val="auto"/>
                <w:sz w:val="24"/>
                <w:highlight w:val="none"/>
                <w:lang w:eastAsia="zh-CN"/>
              </w:rPr>
              <w:t>）</w:t>
            </w:r>
            <w:r>
              <w:rPr>
                <w:rFonts w:hint="eastAsia" w:ascii="宋体" w:hAnsi="宋体"/>
                <w:color w:val="auto"/>
                <w:sz w:val="24"/>
                <w:highlight w:val="none"/>
              </w:rPr>
              <w:t>、废水</w:t>
            </w:r>
            <w:r>
              <w:rPr>
                <w:rFonts w:hint="eastAsia" w:ascii="宋体" w:hAnsi="宋体"/>
                <w:color w:val="auto"/>
                <w:sz w:val="24"/>
                <w:highlight w:val="none"/>
                <w:lang w:eastAsia="zh-CN"/>
              </w:rPr>
              <w:t>、</w:t>
            </w:r>
            <w:r>
              <w:rPr>
                <w:rFonts w:hint="eastAsia" w:ascii="宋体" w:hAnsi="宋体"/>
                <w:color w:val="auto"/>
                <w:sz w:val="24"/>
                <w:highlight w:val="none"/>
              </w:rPr>
              <w:t>噪声和</w:t>
            </w:r>
            <w:r>
              <w:rPr>
                <w:rFonts w:hint="eastAsia" w:ascii="宋体" w:hAnsi="宋体"/>
                <w:color w:val="auto"/>
                <w:sz w:val="24"/>
                <w:highlight w:val="none"/>
                <w:lang w:val="en-US" w:eastAsia="zh-CN"/>
              </w:rPr>
              <w:t>废包装材料</w:t>
            </w:r>
            <w:r>
              <w:rPr>
                <w:rFonts w:hint="eastAsia" w:ascii="宋体" w:hAnsi="宋体"/>
                <w:color w:val="auto"/>
                <w:sz w:val="24"/>
                <w:highlight w:val="none"/>
              </w:rPr>
              <w:t>等。</w:t>
            </w:r>
          </w:p>
          <w:p w14:paraId="537DCB07">
            <w:pPr>
              <w:spacing w:line="360" w:lineRule="auto"/>
              <w:ind w:firstLine="420" w:firstLineChars="200"/>
              <w:jc w:val="both"/>
              <w:rPr>
                <w:rFonts w:hint="eastAsia"/>
                <w:color w:val="auto"/>
                <w:highlight w:val="none"/>
              </w:rPr>
            </w:pPr>
            <w:r>
              <w:rPr>
                <w:bCs/>
                <w:color w:val="auto"/>
                <w:highlight w:val="none"/>
              </w:rPr>
              <mc:AlternateContent>
                <mc:Choice Requires="wpc">
                  <w:drawing>
                    <wp:anchor distT="0" distB="0" distL="114300" distR="114300" simplePos="0" relativeHeight="251660288" behindDoc="0" locked="0" layoutInCell="1" allowOverlap="1">
                      <wp:simplePos x="0" y="0"/>
                      <wp:positionH relativeFrom="column">
                        <wp:posOffset>22225</wp:posOffset>
                      </wp:positionH>
                      <wp:positionV relativeFrom="paragraph">
                        <wp:posOffset>100330</wp:posOffset>
                      </wp:positionV>
                      <wp:extent cx="4915535" cy="2647950"/>
                      <wp:effectExtent l="0" t="0" r="0" b="0"/>
                      <wp:wrapNone/>
                      <wp:docPr id="35" name="画布 3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2" name="文本框 12"/>
                              <wps:cNvSpPr txBox="1"/>
                              <wps:spPr>
                                <a:xfrm>
                                  <a:off x="144164" y="1204595"/>
                                  <a:ext cx="880859" cy="46799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9970A7B">
                                    <w:pPr>
                                      <w:jc w:val="center"/>
                                    </w:pPr>
                                    <w:r>
                                      <w:rPr>
                                        <w:rFonts w:hint="eastAsia"/>
                                      </w:rPr>
                                      <w:t>客户委托并接受样品</w:t>
                                    </w:r>
                                  </w:p>
                                </w:txbxContent>
                              </wps:txbx>
                              <wps:bodyPr upright="1"/>
                            </wps:wsp>
                            <wps:wsp>
                              <wps:cNvPr id="15" name="直接箭头连接符 15"/>
                              <wps:cNvCnPr/>
                              <wps:spPr>
                                <a:xfrm>
                                  <a:off x="2237394" y="824230"/>
                                  <a:ext cx="396291" cy="635"/>
                                </a:xfrm>
                                <a:prstGeom prst="straightConnector1">
                                  <a:avLst/>
                                </a:prstGeom>
                                <a:ln w="9525" cap="flat" cmpd="sng">
                                  <a:solidFill>
                                    <a:srgbClr val="000000"/>
                                  </a:solidFill>
                                  <a:prstDash val="solid"/>
                                  <a:headEnd type="none" w="med" len="med"/>
                                  <a:tailEnd type="triangle" w="med" len="med"/>
                                </a:ln>
                              </wps:spPr>
                              <wps:bodyPr/>
                            </wps:wsp>
                            <wps:wsp>
                              <wps:cNvPr id="16" name="文本框 16"/>
                              <wps:cNvSpPr txBox="1"/>
                              <wps:spPr>
                                <a:xfrm>
                                  <a:off x="2632415" y="670560"/>
                                  <a:ext cx="779246" cy="3060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EBAEA08">
                                    <w:pPr>
                                      <w:jc w:val="center"/>
                                    </w:pPr>
                                    <w:r>
                                      <w:rPr>
                                        <w:rFonts w:hint="eastAsia"/>
                                      </w:rPr>
                                      <w:t>化学检测</w:t>
                                    </w:r>
                                  </w:p>
                                </w:txbxContent>
                              </wps:txbx>
                              <wps:bodyPr upright="1"/>
                            </wps:wsp>
                            <wps:wsp>
                              <wps:cNvPr id="17" name="直接箭头连接符 17"/>
                              <wps:cNvCnPr/>
                              <wps:spPr>
                                <a:xfrm>
                                  <a:off x="3644101" y="1437005"/>
                                  <a:ext cx="360092" cy="635"/>
                                </a:xfrm>
                                <a:prstGeom prst="straightConnector1">
                                  <a:avLst/>
                                </a:prstGeom>
                                <a:ln w="9525" cap="flat" cmpd="sng">
                                  <a:solidFill>
                                    <a:srgbClr val="000000"/>
                                  </a:solidFill>
                                  <a:prstDash val="solid"/>
                                  <a:headEnd type="none" w="med" len="med"/>
                                  <a:tailEnd type="triangle" w="med" len="med"/>
                                </a:ln>
                              </wps:spPr>
                              <wps:bodyPr/>
                            </wps:wsp>
                            <wps:wsp>
                              <wps:cNvPr id="18" name="文本框 18"/>
                              <wps:cNvSpPr txBox="1"/>
                              <wps:spPr>
                                <a:xfrm>
                                  <a:off x="4004192" y="1287145"/>
                                  <a:ext cx="778611" cy="3060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34057A">
                                    <w:pPr>
                                      <w:jc w:val="center"/>
                                    </w:pPr>
                                    <w:r>
                                      <w:rPr>
                                        <w:rFonts w:hint="eastAsia"/>
                                      </w:rPr>
                                      <w:t>出具报告</w:t>
                                    </w:r>
                                  </w:p>
                                </w:txbxContent>
                              </wps:txbx>
                              <wps:bodyPr upright="1"/>
                            </wps:wsp>
                            <wps:wsp>
                              <wps:cNvPr id="19" name="矩形 19"/>
                              <wps:cNvSpPr/>
                              <wps:spPr>
                                <a:xfrm>
                                  <a:off x="1318430" y="2347595"/>
                                  <a:ext cx="2965833" cy="300355"/>
                                </a:xfrm>
                                <a:prstGeom prst="rect">
                                  <a:avLst/>
                                </a:prstGeom>
                                <a:solidFill>
                                  <a:srgbClr val="FFFFFF"/>
                                </a:solidFill>
                                <a:ln>
                                  <a:noFill/>
                                </a:ln>
                              </wps:spPr>
                              <wps:txbx>
                                <w:txbxContent>
                                  <w:p w14:paraId="601D03A3">
                                    <w:pPr>
                                      <w:rPr>
                                        <w:b/>
                                        <w:szCs w:val="21"/>
                                      </w:rPr>
                                    </w:pPr>
                                    <w:r>
                                      <w:rPr>
                                        <w:rFonts w:hint="eastAsia"/>
                                        <w:b/>
                                        <w:bCs/>
                                        <w:szCs w:val="21"/>
                                      </w:rPr>
                                      <w:t>图</w:t>
                                    </w:r>
                                    <w:r>
                                      <w:rPr>
                                        <w:b/>
                                        <w:bCs/>
                                        <w:szCs w:val="21"/>
                                      </w:rPr>
                                      <w:t>2-</w:t>
                                    </w:r>
                                    <w:r>
                                      <w:rPr>
                                        <w:rFonts w:hint="eastAsia"/>
                                        <w:b/>
                                        <w:bCs/>
                                        <w:szCs w:val="21"/>
                                      </w:rPr>
                                      <w:t>3</w:t>
                                    </w:r>
                                    <w:r>
                                      <w:rPr>
                                        <w:b/>
                                        <w:bCs/>
                                        <w:szCs w:val="21"/>
                                      </w:rPr>
                                      <w:t xml:space="preserve"> </w:t>
                                    </w:r>
                                    <w:r>
                                      <w:rPr>
                                        <w:rFonts w:hint="eastAsia"/>
                                        <w:b/>
                                        <w:bCs/>
                                        <w:szCs w:val="21"/>
                                      </w:rPr>
                                      <w:t>客户送样检测工艺流程图</w:t>
                                    </w:r>
                                  </w:p>
                                </w:txbxContent>
                              </wps:txbx>
                              <wps:bodyPr upright="1"/>
                            </wps:wsp>
                            <wps:wsp>
                              <wps:cNvPr id="20" name="直接箭头连接符 20"/>
                              <wps:cNvCnPr/>
                              <wps:spPr>
                                <a:xfrm>
                                  <a:off x="2006859" y="1421130"/>
                                  <a:ext cx="230535" cy="635"/>
                                </a:xfrm>
                                <a:prstGeom prst="straightConnector1">
                                  <a:avLst/>
                                </a:prstGeom>
                                <a:ln w="9525" cap="flat" cmpd="sng">
                                  <a:solidFill>
                                    <a:srgbClr val="000000"/>
                                  </a:solidFill>
                                  <a:prstDash val="solid"/>
                                  <a:headEnd type="none" w="med" len="med"/>
                                  <a:tailEnd type="none" w="med" len="med"/>
                                </a:ln>
                              </wps:spPr>
                              <wps:bodyPr/>
                            </wps:wsp>
                            <wps:wsp>
                              <wps:cNvPr id="21" name="直接箭头连接符 21"/>
                              <wps:cNvCnPr/>
                              <wps:spPr>
                                <a:xfrm>
                                  <a:off x="2237394" y="824865"/>
                                  <a:ext cx="635" cy="1181100"/>
                                </a:xfrm>
                                <a:prstGeom prst="straightConnector1">
                                  <a:avLst/>
                                </a:prstGeom>
                                <a:ln w="9525" cap="flat" cmpd="sng">
                                  <a:solidFill>
                                    <a:srgbClr val="000000"/>
                                  </a:solidFill>
                                  <a:prstDash val="solid"/>
                                  <a:headEnd type="none" w="med" len="med"/>
                                  <a:tailEnd type="none" w="med" len="med"/>
                                </a:ln>
                              </wps:spPr>
                              <wps:bodyPr/>
                            </wps:wsp>
                            <wps:wsp>
                              <wps:cNvPr id="22" name="直接箭头连接符 22"/>
                              <wps:cNvCnPr/>
                              <wps:spPr>
                                <a:xfrm>
                                  <a:off x="1025022" y="1437640"/>
                                  <a:ext cx="360092" cy="635"/>
                                </a:xfrm>
                                <a:prstGeom prst="straightConnector1">
                                  <a:avLst/>
                                </a:prstGeom>
                                <a:ln w="9525" cap="flat" cmpd="sng">
                                  <a:solidFill>
                                    <a:srgbClr val="000000"/>
                                  </a:solidFill>
                                  <a:prstDash val="solid"/>
                                  <a:headEnd type="none" w="med" len="med"/>
                                  <a:tailEnd type="triangle" w="med" len="med"/>
                                </a:ln>
                              </wps:spPr>
                              <wps:bodyPr/>
                            </wps:wsp>
                            <wps:wsp>
                              <wps:cNvPr id="23" name="文本框 23"/>
                              <wps:cNvSpPr txBox="1"/>
                              <wps:spPr>
                                <a:xfrm>
                                  <a:off x="1378763" y="1201420"/>
                                  <a:ext cx="628731" cy="46799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401D385">
                                    <w:pPr>
                                      <w:jc w:val="center"/>
                                    </w:pPr>
                                    <w:r>
                                      <w:rPr>
                                        <w:rFonts w:hint="eastAsia"/>
                                      </w:rPr>
                                      <w:t>样品前处理</w:t>
                                    </w:r>
                                  </w:p>
                                </w:txbxContent>
                              </wps:txbx>
                              <wps:bodyPr upright="1"/>
                            </wps:wsp>
                            <wps:wsp>
                              <wps:cNvPr id="24" name="直接箭头连接符 24"/>
                              <wps:cNvCnPr/>
                              <wps:spPr>
                                <a:xfrm>
                                  <a:off x="2238664" y="2016125"/>
                                  <a:ext cx="396291" cy="635"/>
                                </a:xfrm>
                                <a:prstGeom prst="straightConnector1">
                                  <a:avLst/>
                                </a:prstGeom>
                                <a:ln w="9525" cap="flat" cmpd="sng">
                                  <a:solidFill>
                                    <a:srgbClr val="000000"/>
                                  </a:solidFill>
                                  <a:prstDash val="solid"/>
                                  <a:headEnd type="none" w="med" len="med"/>
                                  <a:tailEnd type="triangle" w="med" len="med"/>
                                </a:ln>
                              </wps:spPr>
                              <wps:bodyPr/>
                            </wps:wsp>
                            <wps:wsp>
                              <wps:cNvPr id="25" name="文本框 25"/>
                              <wps:cNvSpPr txBox="1"/>
                              <wps:spPr>
                                <a:xfrm>
                                  <a:off x="2633685" y="1778000"/>
                                  <a:ext cx="779246" cy="46799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27B908">
                                    <w:pPr>
                                      <w:jc w:val="center"/>
                                    </w:pPr>
                                    <w:r>
                                      <w:rPr>
                                        <w:rFonts w:hint="eastAsia"/>
                                      </w:rPr>
                                      <w:t>物理性能检测</w:t>
                                    </w:r>
                                  </w:p>
                                </w:txbxContent>
                              </wps:txbx>
                              <wps:bodyPr upright="1"/>
                            </wps:wsp>
                            <wps:wsp>
                              <wps:cNvPr id="26" name="直接箭头连接符 26"/>
                              <wps:cNvCnPr/>
                              <wps:spPr>
                                <a:xfrm>
                                  <a:off x="3412931" y="823595"/>
                                  <a:ext cx="230535" cy="635"/>
                                </a:xfrm>
                                <a:prstGeom prst="straightConnector1">
                                  <a:avLst/>
                                </a:prstGeom>
                                <a:ln w="9525" cap="flat" cmpd="sng">
                                  <a:solidFill>
                                    <a:srgbClr val="000000"/>
                                  </a:solidFill>
                                  <a:prstDash val="solid"/>
                                  <a:headEnd type="none" w="med" len="med"/>
                                  <a:tailEnd type="none" w="med" len="med"/>
                                </a:ln>
                              </wps:spPr>
                              <wps:bodyPr/>
                            </wps:wsp>
                            <wps:wsp>
                              <wps:cNvPr id="27" name="直接箭头连接符 27"/>
                              <wps:cNvCnPr/>
                              <wps:spPr>
                                <a:xfrm>
                                  <a:off x="3411661" y="2014855"/>
                                  <a:ext cx="230535" cy="635"/>
                                </a:xfrm>
                                <a:prstGeom prst="straightConnector1">
                                  <a:avLst/>
                                </a:prstGeom>
                                <a:ln w="9525" cap="flat" cmpd="sng">
                                  <a:solidFill>
                                    <a:srgbClr val="000000"/>
                                  </a:solidFill>
                                  <a:prstDash val="solid"/>
                                  <a:headEnd type="none" w="med" len="med"/>
                                  <a:tailEnd type="none" w="med" len="med"/>
                                </a:ln>
                              </wps:spPr>
                              <wps:bodyPr/>
                            </wps:wsp>
                            <wps:wsp>
                              <wps:cNvPr id="28" name="直接箭头连接符 28"/>
                              <wps:cNvCnPr/>
                              <wps:spPr>
                                <a:xfrm>
                                  <a:off x="3643466" y="826135"/>
                                  <a:ext cx="635" cy="1181100"/>
                                </a:xfrm>
                                <a:prstGeom prst="straightConnector1">
                                  <a:avLst/>
                                </a:prstGeom>
                                <a:ln w="9525" cap="flat" cmpd="sng">
                                  <a:solidFill>
                                    <a:srgbClr val="000000"/>
                                  </a:solidFill>
                                  <a:prstDash val="solid"/>
                                  <a:headEnd type="none" w="med" len="med"/>
                                  <a:tailEnd type="none" w="med" len="med"/>
                                </a:ln>
                              </wps:spPr>
                              <wps:bodyPr/>
                            </wps:wsp>
                            <wps:wsp>
                              <wps:cNvPr id="29" name="直接箭头连接符 29"/>
                              <wps:cNvCnPr/>
                              <wps:spPr>
                                <a:xfrm flipV="1">
                                  <a:off x="1681697" y="969645"/>
                                  <a:ext cx="635" cy="229870"/>
                                </a:xfrm>
                                <a:prstGeom prst="straightConnector1">
                                  <a:avLst/>
                                </a:prstGeom>
                                <a:ln w="9525" cap="flat" cmpd="sng">
                                  <a:solidFill>
                                    <a:srgbClr val="000000"/>
                                  </a:solidFill>
                                  <a:prstDash val="solid"/>
                                  <a:headEnd type="none" w="med" len="med"/>
                                  <a:tailEnd type="triangle" w="med" len="med"/>
                                </a:ln>
                              </wps:spPr>
                              <wps:bodyPr/>
                            </wps:wsp>
                            <wps:wsp>
                              <wps:cNvPr id="30" name="文本框 30"/>
                              <wps:cNvSpPr txBox="1"/>
                              <wps:spPr>
                                <a:xfrm>
                                  <a:off x="1246666" y="550545"/>
                                  <a:ext cx="859901" cy="501650"/>
                                </a:xfrm>
                                <a:prstGeom prst="rect">
                                  <a:avLst/>
                                </a:prstGeom>
                                <a:noFill/>
                                <a:ln>
                                  <a:noFill/>
                                </a:ln>
                              </wps:spPr>
                              <wps:txbx>
                                <w:txbxContent>
                                  <w:p w14:paraId="15EE4CD4">
                                    <w:r>
                                      <w:rPr>
                                        <w:rFonts w:hint="eastAsia"/>
                                      </w:rPr>
                                      <w:t>废水、沥青废气、噪声</w:t>
                                    </w:r>
                                  </w:p>
                                </w:txbxContent>
                              </wps:txbx>
                              <wps:bodyPr upright="1"/>
                            </wps:wsp>
                            <wps:wsp>
                              <wps:cNvPr id="31" name="直接箭头连接符 31"/>
                              <wps:cNvCnPr/>
                              <wps:spPr>
                                <a:xfrm flipV="1">
                                  <a:off x="2988061" y="440690"/>
                                  <a:ext cx="635" cy="229870"/>
                                </a:xfrm>
                                <a:prstGeom prst="straightConnector1">
                                  <a:avLst/>
                                </a:prstGeom>
                                <a:ln w="9525" cap="flat" cmpd="sng">
                                  <a:solidFill>
                                    <a:srgbClr val="000000"/>
                                  </a:solidFill>
                                  <a:prstDash val="solid"/>
                                  <a:headEnd type="none" w="med" len="med"/>
                                  <a:tailEnd type="triangle" w="med" len="med"/>
                                </a:ln>
                              </wps:spPr>
                              <wps:bodyPr/>
                            </wps:wsp>
                            <wps:wsp>
                              <wps:cNvPr id="32" name="文本框 32"/>
                              <wps:cNvSpPr txBox="1"/>
                              <wps:spPr>
                                <a:xfrm>
                                  <a:off x="2428875" y="0"/>
                                  <a:ext cx="1828800" cy="440690"/>
                                </a:xfrm>
                                <a:prstGeom prst="rect">
                                  <a:avLst/>
                                </a:prstGeom>
                                <a:solidFill>
                                  <a:srgbClr val="FFFFFF"/>
                                </a:solidFill>
                                <a:ln>
                                  <a:noFill/>
                                </a:ln>
                              </wps:spPr>
                              <wps:txbx>
                                <w:txbxContent>
                                  <w:p w14:paraId="6D4B91A9">
                                    <w:pPr>
                                      <w:rPr>
                                        <w:rFonts w:hint="default" w:eastAsia="宋体"/>
                                        <w:lang w:val="en-US" w:eastAsia="zh-CN"/>
                                      </w:rPr>
                                    </w:pPr>
                                    <w:r>
                                      <w:rPr>
                                        <w:rFonts w:hint="eastAsia"/>
                                        <w:lang w:val="en-US" w:eastAsia="zh-CN"/>
                                      </w:rPr>
                                      <w:t>实验废液</w:t>
                                    </w:r>
                                    <w:r>
                                      <w:rPr>
                                        <w:rFonts w:hint="eastAsia"/>
                                      </w:rPr>
                                      <w:t>、试验废气、噪声、危险废物</w:t>
                                    </w:r>
                                    <w:r>
                                      <w:rPr>
                                        <w:rFonts w:hint="eastAsia"/>
                                        <w:lang w:eastAsia="zh-CN"/>
                                      </w:rPr>
                                      <w:t>、</w:t>
                                    </w:r>
                                    <w:r>
                                      <w:rPr>
                                        <w:rFonts w:hint="eastAsia"/>
                                        <w:color w:val="auto"/>
                                        <w:lang w:val="en-US" w:eastAsia="zh-CN"/>
                                      </w:rPr>
                                      <w:t>废包装材料</w:t>
                                    </w:r>
                                  </w:p>
                                </w:txbxContent>
                              </wps:txbx>
                              <wps:bodyPr upright="1"/>
                            </wps:wsp>
                            <wps:wsp>
                              <wps:cNvPr id="33" name="直接箭头连接符 33"/>
                              <wps:cNvCnPr/>
                              <wps:spPr>
                                <a:xfrm flipV="1">
                                  <a:off x="2988061" y="1548130"/>
                                  <a:ext cx="635" cy="229870"/>
                                </a:xfrm>
                                <a:prstGeom prst="straightConnector1">
                                  <a:avLst/>
                                </a:prstGeom>
                                <a:ln w="9525" cap="flat" cmpd="sng">
                                  <a:solidFill>
                                    <a:srgbClr val="000000"/>
                                  </a:solidFill>
                                  <a:prstDash val="solid"/>
                                  <a:headEnd type="none" w="med" len="med"/>
                                  <a:tailEnd type="triangle" w="med" len="med"/>
                                </a:ln>
                              </wps:spPr>
                              <wps:bodyPr/>
                            </wps:wsp>
                            <wps:wsp>
                              <wps:cNvPr id="34" name="文本框 34"/>
                              <wps:cNvSpPr txBox="1"/>
                              <wps:spPr>
                                <a:xfrm>
                                  <a:off x="2404110" y="1097280"/>
                                  <a:ext cx="1149350" cy="589280"/>
                                </a:xfrm>
                                <a:prstGeom prst="rect">
                                  <a:avLst/>
                                </a:prstGeom>
                                <a:noFill/>
                                <a:ln>
                                  <a:noFill/>
                                </a:ln>
                              </wps:spPr>
                              <wps:txbx>
                                <w:txbxContent>
                                  <w:p w14:paraId="5FA09634">
                                    <w:r>
                                      <w:rPr>
                                        <w:rFonts w:hint="eastAsia"/>
                                      </w:rPr>
                                      <w:t>废水、</w:t>
                                    </w:r>
                                    <w:r>
                                      <w:rPr>
                                        <w:rFonts w:hint="eastAsia"/>
                                        <w:lang w:val="en-US" w:eastAsia="zh-CN"/>
                                      </w:rPr>
                                      <w:t>沥青试验</w:t>
                                    </w:r>
                                    <w:r>
                                      <w:rPr>
                                        <w:rFonts w:hint="eastAsia"/>
                                      </w:rPr>
                                      <w:t>废气、噪声、</w:t>
                                    </w:r>
                                    <w:r>
                                      <w:rPr>
                                        <w:rFonts w:hint="eastAsia"/>
                                        <w:lang w:eastAsia="zh-CN"/>
                                      </w:rPr>
                                      <w:t>试验</w:t>
                                    </w:r>
                                    <w:r>
                                      <w:rPr>
                                        <w:rFonts w:hint="eastAsia"/>
                                      </w:rPr>
                                      <w:t>废样</w:t>
                                    </w:r>
                                  </w:p>
                                </w:txbxContent>
                              </wps:txbx>
                              <wps:bodyPr upright="1"/>
                            </wps:wsp>
                          </wpc:wpc>
                        </a:graphicData>
                      </a:graphic>
                    </wp:anchor>
                  </w:drawing>
                </mc:Choice>
                <mc:Fallback>
                  <w:pict>
                    <v:group id="_x0000_s1026" o:spid="_x0000_s1026" o:spt="203" style="position:absolute;left:0pt;margin-left:1.75pt;margin-top:7.9pt;height:208.5pt;width:387.05pt;z-index:251660288;mso-width-relative:page;mso-height-relative:page;" coordsize="4915535,2647950" editas="canvas" o:gfxdata="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">
                      <o:lock v:ext="edit" aspectratio="f"/>
                      <v:shape id="_x0000_s1026" o:spid="_x0000_s1026" style="position:absolute;left:0;top:0;height:2647950;width:4915535;" filled="f" stroked="f" coordsize="21600,21600" o:gfxdata="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">
                        <v:fill on="f" focussize="0,0"/>
                        <v:stroke on="f"/>
                        <v:imagedata o:title=""/>
                        <o:lock v:ext="edit" aspectratio="t"/>
                      </v:shape>
                      <v:shape id="_x0000_s1026" o:spid="_x0000_s1026" o:spt="202" type="#_x0000_t202" style="position:absolute;left:144164;top:1204595;height:467995;width:880859;" fillcolor="#FFFFFF" filled="t" stroked="t" coordsize="21600,21600" o:gfxdata="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6MTi/YAAAACAEAAA8AAAAA&#10;AAAAAQAgAAAAIgAAAGRycy9kb3ducmV2LnhtbFBLAQIUABQAAAAIAIdO4kBx6Wx2FAIAAEIEAAAO&#10;AAAAAAAAAAEAIAAAACcBAABkcnMvZTJvRG9jLnhtbFBLBQYAAAAABgAGAFkBAACtBQAAAAA=&#10;">
                        <v:fill on="t" focussize="0,0"/>
                        <v:stroke color="#000000" joinstyle="miter"/>
                        <v:imagedata o:title=""/>
                        <o:lock v:ext="edit" aspectratio="f"/>
                        <v:textbox>
                          <w:txbxContent>
                            <w:p w14:paraId="69970A7B">
                              <w:pPr>
                                <w:jc w:val="center"/>
                              </w:pPr>
                              <w:r>
                                <w:rPr>
                                  <w:rFonts w:hint="eastAsia"/>
                                </w:rPr>
                                <w:t>客户委托并接受样品</w:t>
                              </w:r>
                            </w:p>
                          </w:txbxContent>
                        </v:textbox>
                      </v:shape>
                      <v:shape id="_x0000_s1026" o:spid="_x0000_s1026" o:spt="32" type="#_x0000_t32" style="position:absolute;left:2237394;top:824230;height:635;width:396291;" filled="f" stroked="t" coordsize="21600,21600" o:gfxdata="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3ZxnjaAAAACAEAAA8A&#10;AAAAAAAAAQAgAAAAIgAAAGRycy9kb3ducmV2LnhtbFBLAQIUABQAAAAIAIdO4kCYMPkJFQIAAP4D&#10;AAAOAAAAAAAAAAEAIAAAACkBAABkcnMvZTJvRG9jLnhtbFBLBQYAAAAABgAGAFkBAACwBQAAAAA=&#10;">
                        <v:fill on="f" focussize="0,0"/>
                        <v:stroke color="#000000" joinstyle="round" endarrow="block"/>
                        <v:imagedata o:title=""/>
                        <o:lock v:ext="edit" aspectratio="f"/>
                      </v:shape>
                      <v:shape id="_x0000_s1026" o:spid="_x0000_s1026" o:spt="202" type="#_x0000_t202" style="position:absolute;left:2632415;top:670560;height:306070;width:779246;" fillcolor="#FFFFFF" filled="t" stroked="t" coordsize="21600,21600" o:gfxdata="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ujE4v2AAAAAgBAAAP&#10;AAAAAAAAAAEAIAAAACIAAABkcnMvZG93bnJldi54bWxQSwECFAAUAAAACACHTuJAihUGyRgCAABC&#10;BAAADgAAAAAAAAABACAAAAAnAQAAZHJzL2Uyb0RvYy54bWxQSwUGAAAAAAYABgBZAQAAsQUAAAAA&#10;">
                        <v:fill on="t" focussize="0,0"/>
                        <v:stroke color="#000000" joinstyle="miter"/>
                        <v:imagedata o:title=""/>
                        <o:lock v:ext="edit" aspectratio="f"/>
                        <v:textbox>
                          <w:txbxContent>
                            <w:p w14:paraId="5EBAEA08">
                              <w:pPr>
                                <w:jc w:val="center"/>
                              </w:pPr>
                              <w:r>
                                <w:rPr>
                                  <w:rFonts w:hint="eastAsia"/>
                                </w:rPr>
                                <w:t>化学检测</w:t>
                              </w:r>
                            </w:p>
                          </w:txbxContent>
                        </v:textbox>
                      </v:shape>
                      <v:shape id="_x0000_s1026" o:spid="_x0000_s1026" o:spt="32" type="#_x0000_t32" style="position:absolute;left:3644101;top:1437005;height:635;width:360092;" filled="f" stroked="t" coordsize="21600,21600" o:gfxdata="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dnGeNoAAAAIAQAADwAA&#10;AAAAAAABACAAAAAiAAAAZHJzL2Rvd25yZXYueG1sUEsBAhQAFAAAAAgAh07iQAxJMHIUAgAA/wMA&#10;AA4AAAAAAAAAAQAgAAAAKQEAAGRycy9lMm9Eb2MueG1sUEsFBgAAAAAGAAYAWQEAAK8FAAAAAA==&#10;">
                        <v:fill on="f" focussize="0,0"/>
                        <v:stroke color="#000000" joinstyle="round" endarrow="block"/>
                        <v:imagedata o:title=""/>
                        <o:lock v:ext="edit" aspectratio="f"/>
                      </v:shape>
                      <v:shape id="_x0000_s1026" o:spid="_x0000_s1026" o:spt="202" type="#_x0000_t202" style="position:absolute;left:4004192;top:1287145;height:306070;width:778611;" fillcolor="#FFFFFF" filled="t" stroked="t" coordsize="21600,21600" o:gfxdata="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ujE4v2AAAAAgBAAAP&#10;AAAAAAAAAAEAIAAAACIAAABkcnMvZG93bnJldi54bWxQSwECFAAUAAAACACHTuJAICZguxgCAABD&#10;BAAADgAAAAAAAAABACAAAAAnAQAAZHJzL2Uyb0RvYy54bWxQSwUGAAAAAAYABgBZAQAAsQUAAAAA&#10;">
                        <v:fill on="t" focussize="0,0"/>
                        <v:stroke color="#000000" joinstyle="miter"/>
                        <v:imagedata o:title=""/>
                        <o:lock v:ext="edit" aspectratio="f"/>
                        <v:textbox>
                          <w:txbxContent>
                            <w:p w14:paraId="6534057A">
                              <w:pPr>
                                <w:jc w:val="center"/>
                              </w:pPr>
                              <w:r>
                                <w:rPr>
                                  <w:rFonts w:hint="eastAsia"/>
                                </w:rPr>
                                <w:t>出具报告</w:t>
                              </w:r>
                            </w:p>
                          </w:txbxContent>
                        </v:textbox>
                      </v:shape>
                      <v:rect id="_x0000_s1026" o:spid="_x0000_s1026" o:spt="1" style="position:absolute;left:1318430;top:2347595;height:300355;width:2965833;" fillcolor="#FFFFFF" filled="t" stroked="f" coordsize="21600,21600" o:gfxdata="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VLqD3XAAAACAEAAA8AAAAAAAAAAQAgAAAAIgAAAGRycy9kb3du&#10;cmV2LnhtbFBLAQIUABQAAAAIAIdO4kAi+E83xwEAAHgDAAAOAAAAAAAAAAEAIAAAACYBAABkcnMv&#10;ZTJvRG9jLnhtbFBLBQYAAAAABgAGAFkBAABfBQAAAAA=&#10;">
                        <v:fill on="t" focussize="0,0"/>
                        <v:stroke on="f"/>
                        <v:imagedata o:title=""/>
                        <o:lock v:ext="edit" aspectratio="f"/>
                        <v:textbox>
                          <w:txbxContent>
                            <w:p w14:paraId="601D03A3">
                              <w:pPr>
                                <w:rPr>
                                  <w:b/>
                                  <w:szCs w:val="21"/>
                                </w:rPr>
                              </w:pPr>
                              <w:r>
                                <w:rPr>
                                  <w:rFonts w:hint="eastAsia"/>
                                  <w:b/>
                                  <w:bCs/>
                                  <w:szCs w:val="21"/>
                                </w:rPr>
                                <w:t>图</w:t>
                              </w:r>
                              <w:r>
                                <w:rPr>
                                  <w:b/>
                                  <w:bCs/>
                                  <w:szCs w:val="21"/>
                                </w:rPr>
                                <w:t>2-</w:t>
                              </w:r>
                              <w:r>
                                <w:rPr>
                                  <w:rFonts w:hint="eastAsia"/>
                                  <w:b/>
                                  <w:bCs/>
                                  <w:szCs w:val="21"/>
                                </w:rPr>
                                <w:t>3</w:t>
                              </w:r>
                              <w:r>
                                <w:rPr>
                                  <w:b/>
                                  <w:bCs/>
                                  <w:szCs w:val="21"/>
                                </w:rPr>
                                <w:t xml:space="preserve"> </w:t>
                              </w:r>
                              <w:r>
                                <w:rPr>
                                  <w:rFonts w:hint="eastAsia"/>
                                  <w:b/>
                                  <w:bCs/>
                                  <w:szCs w:val="21"/>
                                </w:rPr>
                                <w:t>客户送样检测工艺流程图</w:t>
                              </w:r>
                            </w:p>
                          </w:txbxContent>
                        </v:textbox>
                      </v:rect>
                      <v:shape id="_x0000_s1026" o:spid="_x0000_s1026" o:spt="32" type="#_x0000_t32" style="position:absolute;left:2006859;top:1421130;height:635;width:230535;" filled="f" stroked="t" coordsize="21600,21600" o:gfxdata="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HFghHXAAAACAEAAA8AAAAAAAAAAQAgAAAAIgAA&#10;AGRycy9kb3ducmV2LnhtbFBLAQIUABQAAAAIAIdO4kABpviNCQIAAPsDAAAOAAAAAAAAAAEAIAAA&#10;ACYBAABkcnMvZTJvRG9jLnhtbFBLBQYAAAAABgAGAFkBAAChBQAAAAA=&#10;">
                        <v:fill on="f" focussize="0,0"/>
                        <v:stroke color="#000000" joinstyle="round"/>
                        <v:imagedata o:title=""/>
                        <o:lock v:ext="edit" aspectratio="f"/>
                      </v:shape>
                      <v:shape id="_x0000_s1026" o:spid="_x0000_s1026" o:spt="32" type="#_x0000_t32" style="position:absolute;left:2237394;top:824865;height:1181100;width:635;" filled="f" stroked="t" coordsize="21600,21600" o:gfxdata="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HFghHXAAAACAEAAA8AAAAAAAAAAQAg&#10;AAAAIgAAAGRycy9kb3ducmV2LnhtbFBLAQIUABQAAAAIAIdO4kDm5sv4DwIAAPsDAAAOAAAAAAAA&#10;AAEAIAAAACYBAABkcnMvZTJvRG9jLnhtbFBLBQYAAAAABgAGAFkBAACnBQAAAAA=&#10;">
                        <v:fill on="f" focussize="0,0"/>
                        <v:stroke color="#000000" joinstyle="round"/>
                        <v:imagedata o:title=""/>
                        <o:lock v:ext="edit" aspectratio="f"/>
                      </v:shape>
                      <v:shape id="_x0000_s1026" o:spid="_x0000_s1026" o:spt="32" type="#_x0000_t32" style="position:absolute;left:1025022;top:1437640;height:635;width:360092;" filled="f" stroked="t" coordsize="21600,21600" o:gfxdata="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jdnGeNoAAAAIAQAADwAAAAAA&#10;AAABACAAAAAiAAAAZHJzL2Rvd25yZXYueG1sUEsBAhQAFAAAAAgAh07iQAg9YIkRAgAA/wMAAA4A&#10;AAAAAAAAAQAgAAAAKQEAAGRycy9lMm9Eb2MueG1sUEsFBgAAAAAGAAYAWQEAAKwFAAAAAA==&#10;">
                        <v:fill on="f" focussize="0,0"/>
                        <v:stroke color="#000000" joinstyle="round" endarrow="block"/>
                        <v:imagedata o:title=""/>
                        <o:lock v:ext="edit" aspectratio="f"/>
                      </v:shape>
                      <v:shape id="_x0000_s1026" o:spid="_x0000_s1026" o:spt="202" type="#_x0000_t202" style="position:absolute;left:1378763;top:1201420;height:467995;width:628731;" fillcolor="#FFFFFF" filled="t" stroked="t" coordsize="21600,21600" o:gfxdata="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6MTi/YAAAACAEAAA8AAAAA&#10;AAAAAQAgAAAAIgAAAGRycy9kb3ducmV2LnhtbFBLAQIUABQAAAAIAIdO4kAZPF2fFAIAAEMEAAAO&#10;AAAAAAAAAAEAIAAAACcBAABkcnMvZTJvRG9jLnhtbFBLBQYAAAAABgAGAFkBAACtBQAAAAA=&#10;">
                        <v:fill on="t" focussize="0,0"/>
                        <v:stroke color="#000000" joinstyle="miter"/>
                        <v:imagedata o:title=""/>
                        <o:lock v:ext="edit" aspectratio="f"/>
                        <v:textbox>
                          <w:txbxContent>
                            <w:p w14:paraId="1401D385">
                              <w:pPr>
                                <w:jc w:val="center"/>
                              </w:pPr>
                              <w:r>
                                <w:rPr>
                                  <w:rFonts w:hint="eastAsia"/>
                                </w:rPr>
                                <w:t>样品前处理</w:t>
                              </w:r>
                            </w:p>
                          </w:txbxContent>
                        </v:textbox>
                      </v:shape>
                      <v:shape id="_x0000_s1026" o:spid="_x0000_s1026" o:spt="32" type="#_x0000_t32" style="position:absolute;left:2238664;top:2016125;height:635;width:396291;" filled="f" stroked="t" coordsize="21600,21600" o:gfxdata="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dnGeNoAAAAIAQAADwAA&#10;AAAAAAABACAAAAAiAAAAZHJzL2Rvd25yZXYueG1sUEsBAhQAFAAAAAgAh07iQLW+SpUUAgAA/wMA&#10;AA4AAAAAAAAAAQAgAAAAKQEAAGRycy9lMm9Eb2MueG1sUEsFBgAAAAAGAAYAWQEAAK8FAAAAAA==&#10;">
                        <v:fill on="f" focussize="0,0"/>
                        <v:stroke color="#000000" joinstyle="round" endarrow="block"/>
                        <v:imagedata o:title=""/>
                        <o:lock v:ext="edit" aspectratio="f"/>
                      </v:shape>
                      <v:shape id="_x0000_s1026" o:spid="_x0000_s1026" o:spt="202" type="#_x0000_t202" style="position:absolute;left:2633685;top:1778000;height:467995;width:779246;" fillcolor="#FFFFFF" filled="t" stroked="t" coordsize="21600,21600" o:gfxdata="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ujE4v2AAAAAgBAAAP&#10;AAAAAAAAAAEAIAAAACIAAABkcnMvZG93bnJldi54bWxQSwECFAAUAAAACACHTuJAPdpmxhgCAABD&#10;BAAADgAAAAAAAAABACAAAAAnAQAAZHJzL2Uyb0RvYy54bWxQSwUGAAAAAAYABgBZAQAAsQUAAAAA&#10;">
                        <v:fill on="t" focussize="0,0"/>
                        <v:stroke color="#000000" joinstyle="miter"/>
                        <v:imagedata o:title=""/>
                        <o:lock v:ext="edit" aspectratio="f"/>
                        <v:textbox>
                          <w:txbxContent>
                            <w:p w14:paraId="2327B908">
                              <w:pPr>
                                <w:jc w:val="center"/>
                              </w:pPr>
                              <w:r>
                                <w:rPr>
                                  <w:rFonts w:hint="eastAsia"/>
                                </w:rPr>
                                <w:t>物理性能检测</w:t>
                              </w:r>
                            </w:p>
                          </w:txbxContent>
                        </v:textbox>
                      </v:shape>
                      <v:shape id="_x0000_s1026" o:spid="_x0000_s1026" o:spt="32" type="#_x0000_t32" style="position:absolute;left:3412931;top:823595;height:635;width:230535;" filled="f" stroked="t" coordsize="21600,21600" o:gfxdata="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HFghHXAAAACAEAAA8AAAAAAAAAAQAgAAAA&#10;IgAAAGRycy9kb3ducmV2LnhtbFBLAQIUABQAAAAIAIdO4kCyaO2mDAIAAPoDAAAOAAAAAAAAAAEA&#10;IAAAACYBAABkcnMvZTJvRG9jLnhtbFBLBQYAAAAABgAGAFkBAACkBQAAAAA=&#10;">
                        <v:fill on="f" focussize="0,0"/>
                        <v:stroke color="#000000" joinstyle="round"/>
                        <v:imagedata o:title=""/>
                        <o:lock v:ext="edit" aspectratio="f"/>
                      </v:shape>
                      <v:shape id="_x0000_s1026" o:spid="_x0000_s1026" o:spt="32" type="#_x0000_t32" style="position:absolute;left:3411661;top:2014855;height:635;width:230535;" filled="f" stroked="t" coordsize="21600,21600" o:gfxdata="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HFghHXAAAACAEAAA8AAAAAAAAAAQAgAAAA&#10;IgAAAGRycy9kb3ducmV2LnhtbFBLAQIUABQAAAAIAIdO4kARvvr4DAIAAPsDAAAOAAAAAAAAAAEA&#10;IAAAACYBAABkcnMvZTJvRG9jLnhtbFBLBQYAAAAABgAGAFkBAACkBQAAAAA=&#10;">
                        <v:fill on="f" focussize="0,0"/>
                        <v:stroke color="#000000" joinstyle="round"/>
                        <v:imagedata o:title=""/>
                        <o:lock v:ext="edit" aspectratio="f"/>
                      </v:shape>
                      <v:shape id="_x0000_s1026" o:spid="_x0000_s1026" o:spt="32" type="#_x0000_t32" style="position:absolute;left:3643466;top:826135;height:1181100;width:635;" filled="f" stroked="t" coordsize="21600,21600" o:gfxdata="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cWCEdcAAAAIAQAADwAAAAAAAAABACAA&#10;AAAiAAAAZHJzL2Rvd25yZXYueG1sUEsBAhQAFAAAAAgAh07iQNHWhjYOAgAA+wMAAA4AAAAAAAAA&#10;AQAgAAAAJgEAAGRycy9lMm9Eb2MueG1sUEsFBgAAAAAGAAYAWQEAAKYFAAAAAA==&#10;">
                        <v:fill on="f" focussize="0,0"/>
                        <v:stroke color="#000000" joinstyle="round"/>
                        <v:imagedata o:title=""/>
                        <o:lock v:ext="edit" aspectratio="f"/>
                      </v:shape>
                      <v:shape id="_x0000_s1026" o:spid="_x0000_s1026" o:spt="32" type="#_x0000_t32" style="position:absolute;left:1681697;top:969645;flip:y;height:229870;width:635;" filled="f" stroked="t" coordsize="21600,21600" o:gfxdata="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j1HstNgAAAAI&#10;AQAADwAAAAAAAAABACAAAAAiAAAAZHJzL2Rvd25yZXYueG1sUEsBAhQAFAAAAAgAh07iQHvISu0c&#10;AgAACAQAAA4AAAAAAAAAAQAgAAAAJwEAAGRycy9lMm9Eb2MueG1sUEsFBgAAAAAGAAYAWQEAALUF&#10;AAAAAA==&#10;">
                        <v:fill on="f" focussize="0,0"/>
                        <v:stroke color="#000000" joinstyle="round" endarrow="block"/>
                        <v:imagedata o:title=""/>
                        <o:lock v:ext="edit" aspectratio="f"/>
                      </v:shape>
                      <v:shape id="_x0000_s1026" o:spid="_x0000_s1026" o:spt="202" type="#_x0000_t202" style="position:absolute;left:1246666;top:550545;height:501650;width:859901;" filled="f" stroked="f" coordsize="21600,21600" o:gfxdata="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9bTgftcAAAAIAQAADwAAAAAAAAABACAAAAAiAAAAZHJzL2Rvd25yZXYueG1sUEsBAhQAFAAA&#10;AAgAh07iQNZp0lG3AQAAWgMAAA4AAAAAAAAAAQAgAAAAJgEAAGRycy9lMm9Eb2MueG1sUEsFBgAA&#10;AAAGAAYAWQEAAE8FAAAAAA==&#10;">
                        <v:fill on="f" focussize="0,0"/>
                        <v:stroke on="f"/>
                        <v:imagedata o:title=""/>
                        <o:lock v:ext="edit" aspectratio="f"/>
                        <v:textbox>
                          <w:txbxContent>
                            <w:p w14:paraId="15EE4CD4">
                              <w:r>
                                <w:rPr>
                                  <w:rFonts w:hint="eastAsia"/>
                                </w:rPr>
                                <w:t>废水、沥青废气、噪声</w:t>
                              </w:r>
                            </w:p>
                          </w:txbxContent>
                        </v:textbox>
                      </v:shape>
                      <v:shape id="_x0000_s1026" o:spid="_x0000_s1026" o:spt="32" type="#_x0000_t32" style="position:absolute;left:2988061;top:440690;flip:y;height:229870;width:635;" filled="f" stroked="t" coordsize="21600,21600" o:gfxdata="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PUey02AAAAAgB&#10;AAAPAAAAAAAAAAEAIAAAACIAAABkcnMvZG93bnJldi54bWxQSwECFAAUAAAACACHTuJAiMe/bBsC&#10;AAAIBAAADgAAAAAAAAABACAAAAAnAQAAZHJzL2Uyb0RvYy54bWxQSwUGAAAAAAYABgBZAQAAtAUA&#10;AAAA&#10;">
                        <v:fill on="f" focussize="0,0"/>
                        <v:stroke color="#000000" joinstyle="round" endarrow="block"/>
                        <v:imagedata o:title=""/>
                        <o:lock v:ext="edit" aspectratio="f"/>
                      </v:shape>
                      <v:shape id="_x0000_s1026" o:spid="_x0000_s1026" o:spt="202" type="#_x0000_t202" style="position:absolute;left:2428875;top:0;height:440690;width:1828800;" fillcolor="#FFFFFF" filled="t" stroked="f" coordsize="21600,21600" o:gfxdata="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u4+Xe1wAAAAgBAAAPAAAAAAAAAAEAIAAAACIAAABkcnMvZG93&#10;bnJldi54bWxQSwECFAAUAAAACACHTuJATgcpV8gBAAB/AwAADgAAAAAAAAABACAAAAAmAQAAZHJz&#10;L2Uyb0RvYy54bWxQSwUGAAAAAAYABgBZAQAAYAUAAAAA&#10;">
                        <v:fill on="t" focussize="0,0"/>
                        <v:stroke on="f"/>
                        <v:imagedata o:title=""/>
                        <o:lock v:ext="edit" aspectratio="f"/>
                        <v:textbox>
                          <w:txbxContent>
                            <w:p w14:paraId="6D4B91A9">
                              <w:pPr>
                                <w:rPr>
                                  <w:rFonts w:hint="default" w:eastAsia="宋体"/>
                                  <w:lang w:val="en-US" w:eastAsia="zh-CN"/>
                                </w:rPr>
                              </w:pPr>
                              <w:r>
                                <w:rPr>
                                  <w:rFonts w:hint="eastAsia"/>
                                  <w:lang w:val="en-US" w:eastAsia="zh-CN"/>
                                </w:rPr>
                                <w:t>实验废液</w:t>
                              </w:r>
                              <w:r>
                                <w:rPr>
                                  <w:rFonts w:hint="eastAsia"/>
                                </w:rPr>
                                <w:t>、试验废气、噪声、危险废物</w:t>
                              </w:r>
                              <w:r>
                                <w:rPr>
                                  <w:rFonts w:hint="eastAsia"/>
                                  <w:lang w:eastAsia="zh-CN"/>
                                </w:rPr>
                                <w:t>、</w:t>
                              </w:r>
                              <w:r>
                                <w:rPr>
                                  <w:rFonts w:hint="eastAsia"/>
                                  <w:color w:val="auto"/>
                                  <w:lang w:val="en-US" w:eastAsia="zh-CN"/>
                                </w:rPr>
                                <w:t>废包装材料</w:t>
                              </w:r>
                            </w:p>
                          </w:txbxContent>
                        </v:textbox>
                      </v:shape>
                      <v:shape id="_x0000_s1026" o:spid="_x0000_s1026" o:spt="32" type="#_x0000_t32" style="position:absolute;left:2988061;top:1548130;flip:y;height:229870;width:635;" filled="f" stroked="t" coordsize="21600,21600" o:gfxdata="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PUey02AAAAAgB&#10;AAAPAAAAAAAAAAEAIAAAACIAAABkcnMvZG93bnJldi54bWxQSwECFAAUAAAACACHTuJA03Mb6RsC&#10;AAAJBAAADgAAAAAAAAABACAAAAAnAQAAZHJzL2Uyb0RvYy54bWxQSwUGAAAAAAYABgBZAQAAtAUA&#10;AAAA&#10;">
                        <v:fill on="f" focussize="0,0"/>
                        <v:stroke color="#000000" joinstyle="round" endarrow="block"/>
                        <v:imagedata o:title=""/>
                        <o:lock v:ext="edit" aspectratio="f"/>
                      </v:shape>
                      <v:shape id="_x0000_s1026" o:spid="_x0000_s1026" o:spt="202" type="#_x0000_t202" style="position:absolute;left:2404110;top:1097280;height:589280;width:1149350;" filled="f" stroked="f" coordsize="21600,21600" o:gfxdata="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9bTgftcAAAAIAQAADwAAAAAAAAABACAAAAAiAAAAZHJzL2Rvd25yZXYueG1sUEsBAhQAFAAA&#10;AAgAh07iQL0xRcS3AQAAXAMAAA4AAAAAAAAAAQAgAAAAJgEAAGRycy9lMm9Eb2MueG1sUEsFBgAA&#10;AAAGAAYAWQEAAE8FAAAAAA==&#10;">
                        <v:fill on="f" focussize="0,0"/>
                        <v:stroke on="f"/>
                        <v:imagedata o:title=""/>
                        <o:lock v:ext="edit" aspectratio="f"/>
                        <v:textbox>
                          <w:txbxContent>
                            <w:p w14:paraId="5FA09634">
                              <w:r>
                                <w:rPr>
                                  <w:rFonts w:hint="eastAsia"/>
                                </w:rPr>
                                <w:t>废水、</w:t>
                              </w:r>
                              <w:r>
                                <w:rPr>
                                  <w:rFonts w:hint="eastAsia"/>
                                  <w:lang w:val="en-US" w:eastAsia="zh-CN"/>
                                </w:rPr>
                                <w:t>沥青试验</w:t>
                              </w:r>
                              <w:r>
                                <w:rPr>
                                  <w:rFonts w:hint="eastAsia"/>
                                </w:rPr>
                                <w:t>废气、噪声、</w:t>
                              </w:r>
                              <w:r>
                                <w:rPr>
                                  <w:rFonts w:hint="eastAsia"/>
                                  <w:lang w:eastAsia="zh-CN"/>
                                </w:rPr>
                                <w:t>试验</w:t>
                              </w:r>
                              <w:r>
                                <w:rPr>
                                  <w:rFonts w:hint="eastAsia"/>
                                </w:rPr>
                                <w:t>废样</w:t>
                              </w:r>
                            </w:p>
                          </w:txbxContent>
                        </v:textbox>
                      </v:shape>
                    </v:group>
                  </w:pict>
                </mc:Fallback>
              </mc:AlternateContent>
            </w:r>
          </w:p>
          <w:p w14:paraId="4F3C3FDC">
            <w:pPr>
              <w:pStyle w:val="9"/>
              <w:adjustRightInd w:val="0"/>
              <w:spacing w:before="0" w:after="0" w:line="360" w:lineRule="auto"/>
              <w:ind w:right="0" w:firstLine="480" w:firstLineChars="200"/>
              <w:rPr>
                <w:color w:val="auto"/>
                <w:kern w:val="2"/>
                <w:sz w:val="24"/>
                <w:szCs w:val="24"/>
                <w:highlight w:val="none"/>
              </w:rPr>
            </w:pPr>
          </w:p>
          <w:p w14:paraId="58228D7B">
            <w:pPr>
              <w:adjustRightInd w:val="0"/>
              <w:snapToGrid w:val="0"/>
              <w:spacing w:line="360" w:lineRule="auto"/>
              <w:ind w:firstLine="480" w:firstLineChars="200"/>
              <w:rPr>
                <w:color w:val="auto"/>
                <w:sz w:val="24"/>
                <w:highlight w:val="none"/>
              </w:rPr>
            </w:pPr>
          </w:p>
          <w:p w14:paraId="10415764">
            <w:pPr>
              <w:adjustRightInd w:val="0"/>
              <w:snapToGrid w:val="0"/>
              <w:spacing w:line="360" w:lineRule="auto"/>
              <w:ind w:firstLine="480" w:firstLineChars="200"/>
              <w:rPr>
                <w:color w:val="auto"/>
                <w:sz w:val="24"/>
                <w:highlight w:val="none"/>
              </w:rPr>
            </w:pPr>
          </w:p>
          <w:p w14:paraId="435AF2B1">
            <w:pPr>
              <w:adjustRightInd w:val="0"/>
              <w:snapToGrid w:val="0"/>
              <w:spacing w:line="360" w:lineRule="auto"/>
              <w:ind w:firstLine="480" w:firstLineChars="200"/>
              <w:rPr>
                <w:color w:val="auto"/>
                <w:sz w:val="24"/>
                <w:highlight w:val="none"/>
              </w:rPr>
            </w:pPr>
          </w:p>
          <w:p w14:paraId="15505A72">
            <w:pPr>
              <w:adjustRightInd w:val="0"/>
              <w:snapToGrid w:val="0"/>
              <w:spacing w:line="360" w:lineRule="auto"/>
              <w:ind w:firstLine="480" w:firstLineChars="200"/>
              <w:rPr>
                <w:color w:val="auto"/>
                <w:sz w:val="24"/>
                <w:highlight w:val="none"/>
              </w:rPr>
            </w:pPr>
          </w:p>
          <w:p w14:paraId="24B8AE67">
            <w:pPr>
              <w:adjustRightInd w:val="0"/>
              <w:snapToGrid w:val="0"/>
              <w:spacing w:line="360" w:lineRule="auto"/>
              <w:ind w:firstLine="480" w:firstLineChars="200"/>
              <w:rPr>
                <w:color w:val="auto"/>
                <w:sz w:val="24"/>
                <w:highlight w:val="none"/>
              </w:rPr>
            </w:pPr>
          </w:p>
          <w:p w14:paraId="21986F6F">
            <w:pPr>
              <w:adjustRightInd w:val="0"/>
              <w:snapToGrid w:val="0"/>
              <w:spacing w:line="360" w:lineRule="auto"/>
              <w:ind w:firstLine="480" w:firstLineChars="200"/>
              <w:rPr>
                <w:color w:val="auto"/>
                <w:sz w:val="24"/>
                <w:highlight w:val="none"/>
              </w:rPr>
            </w:pPr>
          </w:p>
          <w:p w14:paraId="5C84C6F1">
            <w:pPr>
              <w:adjustRightInd w:val="0"/>
              <w:snapToGrid w:val="0"/>
              <w:spacing w:line="360" w:lineRule="auto"/>
              <w:ind w:firstLine="480" w:firstLineChars="200"/>
              <w:rPr>
                <w:color w:val="auto"/>
                <w:sz w:val="24"/>
                <w:highlight w:val="none"/>
              </w:rPr>
            </w:pPr>
          </w:p>
          <w:p w14:paraId="0EEDB38C">
            <w:pPr>
              <w:adjustRightInd w:val="0"/>
              <w:snapToGrid w:val="0"/>
              <w:spacing w:line="360" w:lineRule="auto"/>
              <w:ind w:firstLine="480" w:firstLineChars="200"/>
              <w:rPr>
                <w:color w:val="auto"/>
                <w:sz w:val="24"/>
                <w:highlight w:val="none"/>
              </w:rPr>
            </w:pPr>
          </w:p>
          <w:p w14:paraId="1CB61B7C">
            <w:pPr>
              <w:adjustRightInd w:val="0"/>
              <w:snapToGrid w:val="0"/>
              <w:spacing w:line="360" w:lineRule="auto"/>
              <w:rPr>
                <w:color w:val="auto"/>
                <w:sz w:val="24"/>
                <w:highlight w:val="none"/>
              </w:rPr>
            </w:pPr>
          </w:p>
          <w:p w14:paraId="7D93B2EB">
            <w:pPr>
              <w:adjustRightInd w:val="0"/>
              <w:snapToGrid w:val="0"/>
              <w:spacing w:line="360" w:lineRule="auto"/>
              <w:ind w:firstLine="480" w:firstLineChars="200"/>
              <w:rPr>
                <w:color w:val="auto"/>
                <w:sz w:val="24"/>
                <w:highlight w:val="none"/>
              </w:rPr>
            </w:pPr>
            <w:r>
              <w:rPr>
                <w:color w:val="auto"/>
                <w:sz w:val="24"/>
                <w:highlight w:val="none"/>
              </w:rPr>
              <w:t>本项目运行期具体产生污染物情况见下表。</w:t>
            </w:r>
          </w:p>
          <w:p w14:paraId="3E30A729">
            <w:pPr>
              <w:pStyle w:val="4"/>
              <w:spacing w:before="0" w:after="0" w:line="240" w:lineRule="auto"/>
              <w:jc w:val="center"/>
              <w:rPr>
                <w:rFonts w:hint="eastAsia" w:ascii="Times New Roman" w:hAnsi="Times New Roman" w:eastAsia="宋体" w:cs="Times New Roman"/>
                <w:b/>
                <w:bCs w:val="0"/>
                <w:color w:val="auto"/>
                <w:kern w:val="2"/>
                <w:sz w:val="24"/>
                <w:szCs w:val="24"/>
                <w:lang w:val="en-US" w:eastAsia="zh-CN" w:bidi="ar-SA"/>
              </w:rPr>
            </w:pPr>
            <w:r>
              <w:rPr>
                <w:rFonts w:hint="eastAsia" w:ascii="Times New Roman" w:hAnsi="Times New Roman" w:eastAsia="宋体" w:cs="Times New Roman"/>
                <w:b/>
                <w:bCs w:val="0"/>
                <w:color w:val="auto"/>
                <w:kern w:val="2"/>
                <w:sz w:val="24"/>
                <w:szCs w:val="24"/>
                <w:lang w:val="en-US" w:eastAsia="zh-CN" w:bidi="ar-SA"/>
              </w:rPr>
              <w:t>表2-6 运营期污染产生情况一览表</w:t>
            </w:r>
          </w:p>
          <w:tbl>
            <w:tblPr>
              <w:tblStyle w:val="28"/>
              <w:tblW w:w="5005"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460"/>
              <w:gridCol w:w="1389"/>
              <w:gridCol w:w="1456"/>
              <w:gridCol w:w="5004"/>
            </w:tblGrid>
            <w:tr w14:paraId="6B74470B">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noWrap w:val="0"/>
                  <w:vAlign w:val="center"/>
                </w:tcPr>
                <w:p w14:paraId="1B7BC359">
                  <w:pPr>
                    <w:pStyle w:val="78"/>
                    <w:adjustRightInd w:val="0"/>
                    <w:snapToGrid w:val="0"/>
                    <w:ind w:left="177" w:right="171"/>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污染类别</w:t>
                  </w:r>
                </w:p>
              </w:tc>
              <w:tc>
                <w:tcPr>
                  <w:tcW w:w="1528" w:type="pct"/>
                  <w:gridSpan w:val="2"/>
                  <w:noWrap w:val="0"/>
                  <w:vAlign w:val="center"/>
                </w:tcPr>
                <w:p w14:paraId="42557FD8">
                  <w:pPr>
                    <w:pStyle w:val="78"/>
                    <w:adjustRightInd w:val="0"/>
                    <w:snapToGrid w:val="0"/>
                    <w:ind w:left="125" w:right="120"/>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产生工序</w:t>
                  </w:r>
                </w:p>
              </w:tc>
              <w:tc>
                <w:tcPr>
                  <w:tcW w:w="2687" w:type="pct"/>
                  <w:noWrap w:val="0"/>
                  <w:vAlign w:val="center"/>
                </w:tcPr>
                <w:p w14:paraId="02D9C166">
                  <w:pPr>
                    <w:pStyle w:val="78"/>
                    <w:adjustRightInd w:val="0"/>
                    <w:snapToGrid w:val="0"/>
                    <w:ind w:right="921"/>
                    <w:jc w:val="center"/>
                    <w:rPr>
                      <w:rFonts w:ascii="Times New Roman" w:hAnsi="Times New Roman" w:cs="Times New Roman"/>
                      <w:b/>
                      <w:bCs/>
                      <w:color w:val="auto"/>
                      <w:sz w:val="21"/>
                      <w:szCs w:val="21"/>
                      <w:highlight w:val="none"/>
                    </w:rPr>
                  </w:pPr>
                  <w:r>
                    <w:rPr>
                      <w:rFonts w:ascii="Times New Roman" w:hAnsi="Times New Roman" w:cs="Times New Roman"/>
                      <w:b/>
                      <w:bCs/>
                      <w:color w:val="auto"/>
                      <w:sz w:val="21"/>
                      <w:szCs w:val="21"/>
                      <w:highlight w:val="none"/>
                    </w:rPr>
                    <w:t>主要污染</w:t>
                  </w:r>
                  <w:r>
                    <w:rPr>
                      <w:rFonts w:ascii="Times New Roman" w:hAnsi="Times New Roman" w:cs="Times New Roman"/>
                      <w:b/>
                      <w:bCs/>
                      <w:color w:val="auto"/>
                      <w:sz w:val="21"/>
                      <w:szCs w:val="21"/>
                      <w:highlight w:val="none"/>
                      <w:lang w:val="en-US"/>
                    </w:rPr>
                    <w:t>因</w:t>
                  </w:r>
                  <w:r>
                    <w:rPr>
                      <w:rFonts w:ascii="Times New Roman" w:hAnsi="Times New Roman" w:cs="Times New Roman"/>
                      <w:b/>
                      <w:bCs/>
                      <w:color w:val="auto"/>
                      <w:sz w:val="21"/>
                      <w:szCs w:val="21"/>
                      <w:highlight w:val="none"/>
                    </w:rPr>
                    <w:t>子</w:t>
                  </w:r>
                </w:p>
              </w:tc>
            </w:tr>
            <w:tr w14:paraId="471F0D51">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restart"/>
                  <w:noWrap w:val="0"/>
                  <w:vAlign w:val="center"/>
                </w:tcPr>
                <w:p w14:paraId="4CD73461">
                  <w:pPr>
                    <w:pStyle w:val="78"/>
                    <w:adjustRightInd w:val="0"/>
                    <w:snapToGrid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废气</w:t>
                  </w:r>
                </w:p>
              </w:tc>
              <w:tc>
                <w:tcPr>
                  <w:tcW w:w="1528" w:type="pct"/>
                  <w:gridSpan w:val="2"/>
                  <w:noWrap w:val="0"/>
                  <w:vAlign w:val="center"/>
                </w:tcPr>
                <w:p w14:paraId="138925A3">
                  <w:pPr>
                    <w:pStyle w:val="78"/>
                    <w:adjustRightInd w:val="0"/>
                    <w:snapToGrid w:val="0"/>
                    <w:ind w:left="125" w:right="12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rPr>
                    <w:t>沥青加热</w:t>
                  </w:r>
                </w:p>
              </w:tc>
              <w:tc>
                <w:tcPr>
                  <w:tcW w:w="2687" w:type="pct"/>
                  <w:noWrap w:val="0"/>
                  <w:vAlign w:val="center"/>
                </w:tcPr>
                <w:p w14:paraId="5B683840">
                  <w:pPr>
                    <w:pStyle w:val="78"/>
                    <w:adjustRightInd w:val="0"/>
                    <w:snapToGrid w:val="0"/>
                    <w:jc w:val="both"/>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rPr>
                    <w:t>沥青烟、非甲烷总烃、</w:t>
                  </w:r>
                  <w:r>
                    <w:rPr>
                      <w:rFonts w:hint="eastAsia" w:ascii="Times New Roman" w:hAnsi="Times New Roman" w:cs="Times New Roman"/>
                      <w:color w:val="auto"/>
                      <w:sz w:val="21"/>
                      <w:szCs w:val="21"/>
                      <w:highlight w:val="none"/>
                      <w:lang w:val="en-US" w:eastAsia="zh-CN"/>
                    </w:rPr>
                    <w:t>苯并[a]芘</w:t>
                  </w:r>
                </w:p>
              </w:tc>
            </w:tr>
            <w:tr w14:paraId="49531C26">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noWrap w:val="0"/>
                  <w:vAlign w:val="center"/>
                </w:tcPr>
                <w:p w14:paraId="54D1F267">
                  <w:pPr>
                    <w:pStyle w:val="78"/>
                    <w:adjustRightInd w:val="0"/>
                    <w:snapToGrid w:val="0"/>
                    <w:jc w:val="center"/>
                    <w:rPr>
                      <w:rFonts w:ascii="Times New Roman" w:hAnsi="Times New Roman" w:cs="Times New Roman"/>
                      <w:color w:val="auto"/>
                      <w:sz w:val="21"/>
                      <w:szCs w:val="21"/>
                      <w:highlight w:val="none"/>
                    </w:rPr>
                  </w:pPr>
                </w:p>
              </w:tc>
              <w:tc>
                <w:tcPr>
                  <w:tcW w:w="1528" w:type="pct"/>
                  <w:gridSpan w:val="2"/>
                  <w:noWrap w:val="0"/>
                  <w:vAlign w:val="center"/>
                </w:tcPr>
                <w:p w14:paraId="68F46801">
                  <w:pPr>
                    <w:pStyle w:val="78"/>
                    <w:adjustRightInd w:val="0"/>
                    <w:snapToGrid w:val="0"/>
                    <w:ind w:left="125" w:right="12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rPr>
                    <w:t>化学</w:t>
                  </w:r>
                  <w:r>
                    <w:rPr>
                      <w:rFonts w:hint="eastAsia" w:ascii="Times New Roman" w:hAnsi="Times New Roman" w:cs="Times New Roman"/>
                      <w:color w:val="auto"/>
                      <w:sz w:val="21"/>
                      <w:szCs w:val="21"/>
                      <w:highlight w:val="none"/>
                      <w:lang w:val="en-US" w:eastAsia="zh-CN"/>
                    </w:rPr>
                    <w:t>试验</w:t>
                  </w:r>
                </w:p>
              </w:tc>
              <w:tc>
                <w:tcPr>
                  <w:tcW w:w="2687" w:type="pct"/>
                  <w:noWrap w:val="0"/>
                  <w:vAlign w:val="center"/>
                </w:tcPr>
                <w:p w14:paraId="248A916B">
                  <w:pPr>
                    <w:pStyle w:val="78"/>
                    <w:adjustRightInd w:val="0"/>
                    <w:snapToGrid w:val="0"/>
                    <w:ind w:right="921"/>
                    <w:jc w:val="both"/>
                    <w:rPr>
                      <w:rFonts w:hint="eastAsia"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rPr>
                    <w:t>氯化氢、非甲烷总烃</w:t>
                  </w:r>
                </w:p>
              </w:tc>
            </w:tr>
            <w:tr w14:paraId="208628AB">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restart"/>
                  <w:noWrap w:val="0"/>
                  <w:vAlign w:val="center"/>
                </w:tcPr>
                <w:p w14:paraId="54E876F1">
                  <w:pPr>
                    <w:pStyle w:val="78"/>
                    <w:adjustRightInd w:val="0"/>
                    <w:snapToGrid w:val="0"/>
                    <w:ind w:left="174" w:right="171"/>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废水</w:t>
                  </w:r>
                </w:p>
              </w:tc>
              <w:tc>
                <w:tcPr>
                  <w:tcW w:w="1528" w:type="pct"/>
                  <w:gridSpan w:val="2"/>
                  <w:noWrap w:val="0"/>
                  <w:vAlign w:val="center"/>
                </w:tcPr>
                <w:p w14:paraId="364242BF">
                  <w:pPr>
                    <w:pStyle w:val="78"/>
                    <w:adjustRightInd w:val="0"/>
                    <w:snapToGrid w:val="0"/>
                    <w:ind w:left="125" w:right="120"/>
                    <w:jc w:val="center"/>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生活污水</w:t>
                  </w:r>
                </w:p>
              </w:tc>
              <w:tc>
                <w:tcPr>
                  <w:tcW w:w="2687" w:type="pct"/>
                  <w:noWrap w:val="0"/>
                  <w:vAlign w:val="center"/>
                </w:tcPr>
                <w:p w14:paraId="0211C4C5">
                  <w:pPr>
                    <w:pStyle w:val="78"/>
                    <w:adjustRightInd w:val="0"/>
                    <w:snapToGrid w:val="0"/>
                    <w:jc w:val="both"/>
                    <w:rPr>
                      <w:rFonts w:hint="default" w:ascii="Times New Roman" w:hAnsi="Times New Roman" w:eastAsia="宋体" w:cs="Times New Roman"/>
                      <w:color w:val="auto"/>
                      <w:position w:val="2"/>
                      <w:sz w:val="21"/>
                      <w:szCs w:val="21"/>
                      <w:highlight w:val="none"/>
                      <w:lang w:val="en-US" w:eastAsia="zh-CN"/>
                    </w:rPr>
                  </w:pPr>
                  <w:r>
                    <w:rPr>
                      <w:rFonts w:hint="eastAsia" w:ascii="Times New Roman" w:hAnsi="Times New Roman" w:cs="Times New Roman"/>
                      <w:color w:val="auto"/>
                      <w:position w:val="2"/>
                      <w:sz w:val="21"/>
                      <w:szCs w:val="21"/>
                      <w:highlight w:val="none"/>
                    </w:rPr>
                    <w:t>COD、BOD</w:t>
                  </w:r>
                  <w:r>
                    <w:rPr>
                      <w:rFonts w:hint="eastAsia" w:ascii="Times New Roman" w:hAnsi="Times New Roman" w:cs="Times New Roman"/>
                      <w:color w:val="auto"/>
                      <w:position w:val="2"/>
                      <w:sz w:val="21"/>
                      <w:szCs w:val="21"/>
                      <w:highlight w:val="none"/>
                      <w:vertAlign w:val="subscript"/>
                    </w:rPr>
                    <w:t>5</w:t>
                  </w:r>
                  <w:r>
                    <w:rPr>
                      <w:rFonts w:hint="eastAsia" w:ascii="Times New Roman" w:hAnsi="Times New Roman" w:cs="Times New Roman"/>
                      <w:color w:val="auto"/>
                      <w:position w:val="2"/>
                      <w:sz w:val="21"/>
                      <w:szCs w:val="21"/>
                      <w:highlight w:val="none"/>
                    </w:rPr>
                    <w:t>、氨氮、SS</w:t>
                  </w:r>
                  <w:r>
                    <w:rPr>
                      <w:rFonts w:hint="eastAsia"/>
                      <w:color w:val="auto"/>
                      <w:sz w:val="21"/>
                      <w:szCs w:val="21"/>
                      <w:lang w:eastAsia="zh-CN"/>
                    </w:rPr>
                    <w:t>、</w:t>
                  </w:r>
                  <w:r>
                    <w:rPr>
                      <w:rFonts w:hint="eastAsia"/>
                      <w:color w:val="auto"/>
                      <w:sz w:val="21"/>
                      <w:szCs w:val="21"/>
                      <w:lang w:val="en-US" w:eastAsia="zh-CN"/>
                    </w:rPr>
                    <w:t>总磷、总氮</w:t>
                  </w:r>
                </w:p>
              </w:tc>
            </w:tr>
            <w:tr w14:paraId="79DB9DF7">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noWrap w:val="0"/>
                  <w:vAlign w:val="center"/>
                </w:tcPr>
                <w:p w14:paraId="3AE521F6">
                  <w:pPr>
                    <w:pStyle w:val="78"/>
                    <w:adjustRightInd w:val="0"/>
                    <w:snapToGrid w:val="0"/>
                    <w:ind w:left="174" w:right="171"/>
                    <w:jc w:val="center"/>
                    <w:rPr>
                      <w:rFonts w:ascii="Times New Roman" w:hAnsi="Times New Roman" w:cs="Times New Roman"/>
                      <w:color w:val="auto"/>
                      <w:sz w:val="21"/>
                      <w:szCs w:val="21"/>
                      <w:highlight w:val="none"/>
                    </w:rPr>
                  </w:pPr>
                </w:p>
              </w:tc>
              <w:tc>
                <w:tcPr>
                  <w:tcW w:w="1528" w:type="pct"/>
                  <w:gridSpan w:val="2"/>
                  <w:noWrap w:val="0"/>
                  <w:vAlign w:val="center"/>
                </w:tcPr>
                <w:p w14:paraId="32945172">
                  <w:pPr>
                    <w:ind w:firstLine="210" w:firstLineChars="100"/>
                    <w:jc w:val="center"/>
                    <w:rPr>
                      <w:rFonts w:hint="eastAsia" w:ascii="Times New Roman" w:hAnsi="Times New Roman" w:cs="Times New Roman"/>
                      <w:color w:val="auto"/>
                      <w:sz w:val="21"/>
                      <w:szCs w:val="21"/>
                      <w:highlight w:val="none"/>
                      <w:lang w:val="en-US" w:eastAsia="zh-CN"/>
                    </w:rPr>
                  </w:pPr>
                  <w:r>
                    <w:rPr>
                      <w:rFonts w:hint="eastAsia"/>
                      <w:color w:val="auto"/>
                      <w:sz w:val="21"/>
                      <w:szCs w:val="21"/>
                      <w:highlight w:val="none"/>
                      <w:lang w:val="en-US" w:eastAsia="zh-CN"/>
                    </w:rPr>
                    <w:t>实验室器皿</w:t>
                  </w:r>
                  <w:r>
                    <w:rPr>
                      <w:rFonts w:hint="eastAsia"/>
                      <w:color w:val="auto"/>
                      <w:sz w:val="21"/>
                      <w:szCs w:val="21"/>
                      <w:highlight w:val="none"/>
                    </w:rPr>
                    <w:t>清洗</w:t>
                  </w:r>
                  <w:r>
                    <w:rPr>
                      <w:rFonts w:hint="eastAsia"/>
                      <w:color w:val="auto"/>
                      <w:sz w:val="21"/>
                      <w:szCs w:val="21"/>
                      <w:highlight w:val="none"/>
                      <w:lang w:val="en-US" w:eastAsia="zh-CN"/>
                    </w:rPr>
                    <w:t>用</w:t>
                  </w:r>
                  <w:r>
                    <w:rPr>
                      <w:rFonts w:hint="eastAsia"/>
                      <w:color w:val="auto"/>
                      <w:sz w:val="21"/>
                      <w:szCs w:val="21"/>
                      <w:highlight w:val="none"/>
                    </w:rPr>
                    <w:t>水</w:t>
                  </w:r>
                </w:p>
              </w:tc>
              <w:tc>
                <w:tcPr>
                  <w:tcW w:w="2687" w:type="pct"/>
                  <w:noWrap w:val="0"/>
                  <w:vAlign w:val="center"/>
                </w:tcPr>
                <w:p w14:paraId="406FF0E2">
                  <w:pPr>
                    <w:pStyle w:val="78"/>
                    <w:adjustRightInd w:val="0"/>
                    <w:snapToGrid w:val="0"/>
                    <w:jc w:val="both"/>
                    <w:rPr>
                      <w:rFonts w:hint="default" w:ascii="Times New Roman" w:hAnsi="Times New Roman" w:eastAsia="宋体" w:cs="Times New Roman"/>
                      <w:color w:val="auto"/>
                      <w:position w:val="2"/>
                      <w:sz w:val="21"/>
                      <w:szCs w:val="21"/>
                      <w:highlight w:val="none"/>
                      <w:lang w:val="en-US" w:eastAsia="zh-CN"/>
                    </w:rPr>
                  </w:pPr>
                  <w:r>
                    <w:rPr>
                      <w:rFonts w:hint="eastAsia" w:ascii="Times New Roman" w:hAnsi="Times New Roman" w:cs="Times New Roman"/>
                      <w:color w:val="auto"/>
                      <w:position w:val="2"/>
                      <w:sz w:val="21"/>
                      <w:szCs w:val="21"/>
                      <w:highlight w:val="none"/>
                      <w:lang w:val="en-US" w:eastAsia="zh-CN"/>
                    </w:rPr>
                    <w:t>pH、</w:t>
                  </w:r>
                  <w:r>
                    <w:rPr>
                      <w:rFonts w:hint="eastAsia" w:ascii="Times New Roman" w:hAnsi="Times New Roman" w:cs="Times New Roman"/>
                      <w:color w:val="auto"/>
                      <w:position w:val="2"/>
                      <w:sz w:val="21"/>
                      <w:szCs w:val="21"/>
                      <w:highlight w:val="none"/>
                    </w:rPr>
                    <w:t>COD、</w:t>
                  </w:r>
                  <w:r>
                    <w:rPr>
                      <w:rFonts w:hint="eastAsia" w:ascii="Times New Roman" w:hAnsi="Times New Roman" w:cs="Times New Roman"/>
                      <w:color w:val="auto"/>
                      <w:position w:val="2"/>
                      <w:sz w:val="21"/>
                      <w:szCs w:val="21"/>
                      <w:highlight w:val="none"/>
                      <w:lang w:val="en-US" w:eastAsia="zh-CN"/>
                    </w:rPr>
                    <w:t>SS</w:t>
                  </w:r>
                </w:p>
              </w:tc>
            </w:tr>
            <w:tr w14:paraId="6F6996E3">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noWrap w:val="0"/>
                  <w:vAlign w:val="center"/>
                </w:tcPr>
                <w:p w14:paraId="677AD454">
                  <w:pPr>
                    <w:pStyle w:val="78"/>
                    <w:adjustRightInd w:val="0"/>
                    <w:snapToGrid w:val="0"/>
                    <w:ind w:left="174" w:right="171"/>
                    <w:jc w:val="center"/>
                    <w:rPr>
                      <w:rFonts w:ascii="Times New Roman" w:hAnsi="Times New Roman" w:cs="Times New Roman"/>
                      <w:color w:val="auto"/>
                      <w:sz w:val="21"/>
                      <w:szCs w:val="21"/>
                      <w:highlight w:val="none"/>
                    </w:rPr>
                  </w:pPr>
                </w:p>
              </w:tc>
              <w:tc>
                <w:tcPr>
                  <w:tcW w:w="1528" w:type="pct"/>
                  <w:gridSpan w:val="2"/>
                  <w:shd w:val="clear" w:color="auto" w:fill="auto"/>
                  <w:noWrap w:val="0"/>
                  <w:vAlign w:val="center"/>
                </w:tcPr>
                <w:p w14:paraId="2B81CA9F">
                  <w:pPr>
                    <w:pStyle w:val="78"/>
                    <w:adjustRightInd w:val="0"/>
                    <w:snapToGrid w:val="0"/>
                    <w:ind w:left="125" w:leftChars="0" w:right="120" w:right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rPr>
                    <w:t>物理</w:t>
                  </w:r>
                  <w:r>
                    <w:rPr>
                      <w:rFonts w:hint="eastAsia" w:ascii="Times New Roman" w:hAnsi="Times New Roman" w:cs="Times New Roman"/>
                      <w:color w:val="auto"/>
                      <w:sz w:val="21"/>
                      <w:szCs w:val="21"/>
                      <w:highlight w:val="none"/>
                      <w:lang w:val="en-US"/>
                    </w:rPr>
                    <w:t>试</w:t>
                  </w:r>
                  <w:r>
                    <w:rPr>
                      <w:rFonts w:hint="eastAsia" w:ascii="Times New Roman" w:hAnsi="Times New Roman" w:cs="Times New Roman"/>
                      <w:color w:val="auto"/>
                      <w:sz w:val="21"/>
                      <w:szCs w:val="21"/>
                      <w:highlight w:val="none"/>
                    </w:rPr>
                    <w:t>验废水</w:t>
                  </w:r>
                </w:p>
              </w:tc>
              <w:tc>
                <w:tcPr>
                  <w:tcW w:w="2687" w:type="pct"/>
                  <w:shd w:val="clear" w:color="auto" w:fill="auto"/>
                  <w:noWrap w:val="0"/>
                  <w:vAlign w:val="center"/>
                </w:tcPr>
                <w:p w14:paraId="260681C1">
                  <w:pPr>
                    <w:pStyle w:val="78"/>
                    <w:adjustRightInd w:val="0"/>
                    <w:snapToGrid w:val="0"/>
                    <w:jc w:val="both"/>
                    <w:rPr>
                      <w:rFonts w:hint="eastAsia" w:ascii="Times New Roman" w:hAnsi="Times New Roman" w:eastAsia="宋体" w:cs="Times New Roman"/>
                      <w:color w:val="auto"/>
                      <w:kern w:val="0"/>
                      <w:position w:val="2"/>
                      <w:sz w:val="21"/>
                      <w:szCs w:val="21"/>
                      <w:highlight w:val="none"/>
                      <w:lang w:val="en-US" w:eastAsia="zh-CN" w:bidi="ar-SA"/>
                    </w:rPr>
                  </w:pPr>
                  <w:r>
                    <w:rPr>
                      <w:rFonts w:hint="eastAsia" w:ascii="Times New Roman" w:hAnsi="Times New Roman" w:cs="Times New Roman"/>
                      <w:color w:val="auto"/>
                      <w:position w:val="2"/>
                      <w:sz w:val="21"/>
                      <w:szCs w:val="21"/>
                      <w:highlight w:val="none"/>
                    </w:rPr>
                    <w:t>SS</w:t>
                  </w:r>
                </w:p>
              </w:tc>
            </w:tr>
            <w:tr w14:paraId="64F41B4C">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noWrap w:val="0"/>
                  <w:vAlign w:val="center"/>
                </w:tcPr>
                <w:p w14:paraId="4F60B808">
                  <w:pPr>
                    <w:pStyle w:val="78"/>
                    <w:adjustRightInd w:val="0"/>
                    <w:snapToGrid w:val="0"/>
                    <w:ind w:left="174" w:right="171"/>
                    <w:jc w:val="center"/>
                    <w:rPr>
                      <w:rFonts w:ascii="Times New Roman" w:hAnsi="Times New Roman" w:cs="Times New Roman"/>
                      <w:color w:val="auto"/>
                      <w:sz w:val="21"/>
                      <w:szCs w:val="21"/>
                      <w:highlight w:val="none"/>
                    </w:rPr>
                  </w:pPr>
                </w:p>
              </w:tc>
              <w:tc>
                <w:tcPr>
                  <w:tcW w:w="1528" w:type="pct"/>
                  <w:gridSpan w:val="2"/>
                  <w:noWrap w:val="0"/>
                  <w:vAlign w:val="center"/>
                </w:tcPr>
                <w:p w14:paraId="47713A60">
                  <w:pPr>
                    <w:pStyle w:val="78"/>
                    <w:adjustRightInd w:val="0"/>
                    <w:snapToGrid w:val="0"/>
                    <w:ind w:left="125" w:right="120"/>
                    <w:jc w:val="center"/>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清洁废水</w:t>
                  </w:r>
                </w:p>
              </w:tc>
              <w:tc>
                <w:tcPr>
                  <w:tcW w:w="2687" w:type="pct"/>
                  <w:noWrap w:val="0"/>
                  <w:vAlign w:val="center"/>
                </w:tcPr>
                <w:p w14:paraId="5386C21C">
                  <w:pPr>
                    <w:pStyle w:val="78"/>
                    <w:adjustRightInd w:val="0"/>
                    <w:snapToGrid w:val="0"/>
                    <w:jc w:val="both"/>
                    <w:rPr>
                      <w:rFonts w:hint="eastAsia" w:ascii="Times New Roman" w:hAnsi="Times New Roman" w:cs="Times New Roman"/>
                      <w:color w:val="auto"/>
                      <w:position w:val="2"/>
                      <w:sz w:val="21"/>
                      <w:szCs w:val="21"/>
                      <w:highlight w:val="none"/>
                    </w:rPr>
                  </w:pPr>
                  <w:r>
                    <w:rPr>
                      <w:rFonts w:hint="eastAsia" w:ascii="Times New Roman" w:hAnsi="Times New Roman" w:cs="Times New Roman"/>
                      <w:color w:val="auto"/>
                      <w:position w:val="2"/>
                      <w:sz w:val="21"/>
                      <w:szCs w:val="21"/>
                      <w:highlight w:val="none"/>
                    </w:rPr>
                    <w:t>COD、SS</w:t>
                  </w:r>
                </w:p>
              </w:tc>
            </w:tr>
            <w:tr w14:paraId="618E1555">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noWrap w:val="0"/>
                  <w:vAlign w:val="center"/>
                </w:tcPr>
                <w:p w14:paraId="7CFF0A91">
                  <w:pPr>
                    <w:pStyle w:val="78"/>
                    <w:adjustRightInd w:val="0"/>
                    <w:snapToGrid w:val="0"/>
                    <w:ind w:left="174" w:right="171"/>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噪声</w:t>
                  </w:r>
                </w:p>
              </w:tc>
              <w:tc>
                <w:tcPr>
                  <w:tcW w:w="1528" w:type="pct"/>
                  <w:gridSpan w:val="2"/>
                  <w:noWrap w:val="0"/>
                  <w:vAlign w:val="center"/>
                </w:tcPr>
                <w:p w14:paraId="6F9EC64F">
                  <w:pPr>
                    <w:pStyle w:val="78"/>
                    <w:adjustRightInd w:val="0"/>
                    <w:snapToGrid w:val="0"/>
                    <w:ind w:left="125" w:right="12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设备运行</w:t>
                  </w:r>
                </w:p>
              </w:tc>
              <w:tc>
                <w:tcPr>
                  <w:tcW w:w="2687" w:type="pct"/>
                  <w:noWrap w:val="0"/>
                  <w:vAlign w:val="center"/>
                </w:tcPr>
                <w:p w14:paraId="1F9B4234">
                  <w:pPr>
                    <w:pStyle w:val="78"/>
                    <w:adjustRightInd w:val="0"/>
                    <w:snapToGrid w:val="0"/>
                    <w:jc w:val="both"/>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机械噪声</w:t>
                  </w:r>
                </w:p>
              </w:tc>
            </w:tr>
            <w:tr w14:paraId="0FD1E2E7">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restart"/>
                  <w:noWrap w:val="0"/>
                  <w:vAlign w:val="center"/>
                </w:tcPr>
                <w:p w14:paraId="5AC50769">
                  <w:pPr>
                    <w:pStyle w:val="78"/>
                    <w:adjustRightInd w:val="0"/>
                    <w:snapToGrid w:val="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固废</w:t>
                  </w:r>
                </w:p>
              </w:tc>
              <w:tc>
                <w:tcPr>
                  <w:tcW w:w="746" w:type="pct"/>
                  <w:vMerge w:val="restart"/>
                  <w:noWrap w:val="0"/>
                  <w:vAlign w:val="center"/>
                </w:tcPr>
                <w:p w14:paraId="06715E4A">
                  <w:pPr>
                    <w:pStyle w:val="78"/>
                    <w:adjustRightInd w:val="0"/>
                    <w:snapToGrid w:val="0"/>
                    <w:ind w:left="125" w:right="117"/>
                    <w:jc w:val="center"/>
                    <w:rPr>
                      <w:rFonts w:ascii="Times New Roman" w:hAnsi="Times New Roman" w:cs="Times New Roman"/>
                      <w:color w:val="auto"/>
                      <w:sz w:val="21"/>
                      <w:szCs w:val="21"/>
                      <w:highlight w:val="none"/>
                      <w:lang w:val="en-US"/>
                    </w:rPr>
                  </w:pPr>
                  <w:r>
                    <w:rPr>
                      <w:rFonts w:ascii="Times New Roman" w:hAnsi="Times New Roman" w:cs="Times New Roman"/>
                      <w:color w:val="auto"/>
                      <w:sz w:val="21"/>
                      <w:szCs w:val="21"/>
                      <w:highlight w:val="none"/>
                      <w:lang w:val="en-US"/>
                    </w:rPr>
                    <w:t>危险废物</w:t>
                  </w:r>
                </w:p>
              </w:tc>
              <w:tc>
                <w:tcPr>
                  <w:tcW w:w="782" w:type="pct"/>
                  <w:noWrap w:val="0"/>
                  <w:vAlign w:val="center"/>
                </w:tcPr>
                <w:p w14:paraId="0FF3E240">
                  <w:pPr>
                    <w:pStyle w:val="78"/>
                    <w:adjustRightInd w:val="0"/>
                    <w:snapToGrid w:val="0"/>
                    <w:ind w:left="125" w:right="12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废气处理</w:t>
                  </w:r>
                </w:p>
              </w:tc>
              <w:tc>
                <w:tcPr>
                  <w:tcW w:w="2687" w:type="pct"/>
                  <w:noWrap w:val="0"/>
                  <w:vAlign w:val="center"/>
                </w:tcPr>
                <w:p w14:paraId="25810460">
                  <w:pPr>
                    <w:pStyle w:val="78"/>
                    <w:adjustRightInd w:val="0"/>
                    <w:snapToGrid w:val="0"/>
                    <w:jc w:val="both"/>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rPr>
                    <w:t>废</w:t>
                  </w:r>
                  <w:r>
                    <w:rPr>
                      <w:rFonts w:hint="eastAsia" w:ascii="Times New Roman" w:hAnsi="Times New Roman" w:cs="Times New Roman"/>
                      <w:color w:val="auto"/>
                      <w:sz w:val="21"/>
                      <w:szCs w:val="21"/>
                      <w:highlight w:val="none"/>
                      <w:lang w:eastAsia="zh-CN"/>
                    </w:rPr>
                    <w:t>活性炭</w:t>
                  </w:r>
                </w:p>
              </w:tc>
            </w:tr>
            <w:tr w14:paraId="186CB1A0">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noWrap w:val="0"/>
                  <w:vAlign w:val="center"/>
                </w:tcPr>
                <w:p w14:paraId="1690390A">
                  <w:pPr>
                    <w:adjustRightInd w:val="0"/>
                    <w:snapToGrid w:val="0"/>
                    <w:jc w:val="center"/>
                    <w:rPr>
                      <w:color w:val="auto"/>
                      <w:sz w:val="21"/>
                      <w:szCs w:val="21"/>
                      <w:highlight w:val="none"/>
                    </w:rPr>
                  </w:pPr>
                </w:p>
              </w:tc>
              <w:tc>
                <w:tcPr>
                  <w:tcW w:w="746" w:type="pct"/>
                  <w:vMerge w:val="continue"/>
                  <w:noWrap w:val="0"/>
                  <w:vAlign w:val="center"/>
                </w:tcPr>
                <w:p w14:paraId="56C6071C">
                  <w:pPr>
                    <w:pStyle w:val="78"/>
                    <w:adjustRightInd w:val="0"/>
                    <w:snapToGrid w:val="0"/>
                    <w:ind w:left="125" w:right="117"/>
                    <w:jc w:val="center"/>
                    <w:rPr>
                      <w:rFonts w:ascii="Times New Roman" w:hAnsi="Times New Roman" w:cs="Times New Roman"/>
                      <w:color w:val="auto"/>
                      <w:sz w:val="21"/>
                      <w:szCs w:val="21"/>
                      <w:highlight w:val="none"/>
                      <w:lang w:val="en-US"/>
                    </w:rPr>
                  </w:pPr>
                </w:p>
              </w:tc>
              <w:tc>
                <w:tcPr>
                  <w:tcW w:w="782" w:type="pct"/>
                  <w:noWrap w:val="0"/>
                  <w:vAlign w:val="center"/>
                </w:tcPr>
                <w:p w14:paraId="71810DD3">
                  <w:pPr>
                    <w:pStyle w:val="78"/>
                    <w:adjustRightInd w:val="0"/>
                    <w:snapToGrid w:val="0"/>
                    <w:ind w:left="125" w:right="117"/>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化学</w:t>
                  </w:r>
                  <w:r>
                    <w:rPr>
                      <w:rFonts w:hint="eastAsia" w:ascii="Times New Roman" w:hAnsi="Times New Roman" w:cs="Times New Roman"/>
                      <w:color w:val="auto"/>
                      <w:sz w:val="21"/>
                      <w:szCs w:val="21"/>
                      <w:highlight w:val="none"/>
                      <w:lang w:val="en-US"/>
                    </w:rPr>
                    <w:t>试</w:t>
                  </w:r>
                  <w:r>
                    <w:rPr>
                      <w:rFonts w:hint="eastAsia" w:ascii="Times New Roman" w:hAnsi="Times New Roman" w:cs="Times New Roman"/>
                      <w:color w:val="auto"/>
                      <w:sz w:val="21"/>
                      <w:szCs w:val="21"/>
                      <w:highlight w:val="none"/>
                    </w:rPr>
                    <w:t>验</w:t>
                  </w:r>
                </w:p>
              </w:tc>
              <w:tc>
                <w:tcPr>
                  <w:tcW w:w="2687" w:type="pct"/>
                  <w:noWrap w:val="0"/>
                  <w:vAlign w:val="center"/>
                </w:tcPr>
                <w:p w14:paraId="3F03A9E9">
                  <w:pPr>
                    <w:pStyle w:val="78"/>
                    <w:adjustRightInd w:val="0"/>
                    <w:snapToGrid w:val="0"/>
                    <w:jc w:val="both"/>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rPr>
                    <w:t>试</w:t>
                  </w:r>
                  <w:r>
                    <w:rPr>
                      <w:rFonts w:hint="eastAsia" w:ascii="Times New Roman" w:hAnsi="Times New Roman" w:cs="Times New Roman"/>
                      <w:color w:val="auto"/>
                      <w:sz w:val="21"/>
                      <w:szCs w:val="21"/>
                      <w:highlight w:val="none"/>
                    </w:rPr>
                    <w:t>验废液</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废试剂瓶</w:t>
                  </w:r>
                </w:p>
              </w:tc>
            </w:tr>
            <w:tr w14:paraId="1FA28C7B">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noWrap w:val="0"/>
                  <w:vAlign w:val="center"/>
                </w:tcPr>
                <w:p w14:paraId="50C7FB53">
                  <w:pPr>
                    <w:adjustRightInd w:val="0"/>
                    <w:snapToGrid w:val="0"/>
                    <w:jc w:val="center"/>
                    <w:rPr>
                      <w:color w:val="auto"/>
                      <w:sz w:val="21"/>
                      <w:szCs w:val="21"/>
                      <w:highlight w:val="none"/>
                    </w:rPr>
                  </w:pPr>
                </w:p>
              </w:tc>
              <w:tc>
                <w:tcPr>
                  <w:tcW w:w="746" w:type="pct"/>
                  <w:vMerge w:val="restart"/>
                  <w:noWrap w:val="0"/>
                  <w:vAlign w:val="center"/>
                </w:tcPr>
                <w:p w14:paraId="335318E2">
                  <w:pPr>
                    <w:pStyle w:val="78"/>
                    <w:adjustRightInd w:val="0"/>
                    <w:snapToGrid w:val="0"/>
                    <w:ind w:left="125" w:right="117"/>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一般固废</w:t>
                  </w:r>
                </w:p>
              </w:tc>
              <w:tc>
                <w:tcPr>
                  <w:tcW w:w="782" w:type="pct"/>
                  <w:noWrap w:val="0"/>
                  <w:vAlign w:val="center"/>
                </w:tcPr>
                <w:p w14:paraId="10A60134">
                  <w:pPr>
                    <w:pStyle w:val="78"/>
                    <w:adjustRightInd w:val="0"/>
                    <w:snapToGrid w:val="0"/>
                    <w:ind w:left="125" w:right="117"/>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耗材包装</w:t>
                  </w:r>
                </w:p>
              </w:tc>
              <w:tc>
                <w:tcPr>
                  <w:tcW w:w="2687" w:type="pct"/>
                  <w:noWrap w:val="0"/>
                  <w:vAlign w:val="center"/>
                </w:tcPr>
                <w:p w14:paraId="5D12F07C">
                  <w:pPr>
                    <w:pStyle w:val="78"/>
                    <w:adjustRightInd w:val="0"/>
                    <w:snapToGrid w:val="0"/>
                    <w:jc w:val="both"/>
                    <w:rPr>
                      <w:rFonts w:ascii="Times New Roman" w:hAnsi="Times New Roman" w:cs="Times New Roman"/>
                      <w:color w:val="auto"/>
                      <w:sz w:val="21"/>
                      <w:szCs w:val="21"/>
                      <w:highlight w:val="none"/>
                      <w:lang w:val="en-US"/>
                    </w:rPr>
                  </w:pPr>
                  <w:r>
                    <w:rPr>
                      <w:rFonts w:hint="eastAsia" w:ascii="Times New Roman" w:hAnsi="Times New Roman" w:cs="Times New Roman"/>
                      <w:color w:val="auto"/>
                      <w:sz w:val="21"/>
                      <w:szCs w:val="21"/>
                      <w:highlight w:val="none"/>
                      <w:lang w:val="en-US"/>
                    </w:rPr>
                    <w:t>废</w:t>
                  </w:r>
                  <w:r>
                    <w:rPr>
                      <w:rFonts w:hint="eastAsia" w:ascii="Times New Roman" w:hAnsi="Times New Roman" w:cs="Times New Roman"/>
                      <w:color w:val="auto"/>
                      <w:sz w:val="21"/>
                      <w:szCs w:val="21"/>
                      <w:highlight w:val="none"/>
                      <w:lang w:val="en-US" w:eastAsia="zh-CN"/>
                    </w:rPr>
                    <w:t>包装材料</w:t>
                  </w:r>
                </w:p>
              </w:tc>
            </w:tr>
            <w:tr w14:paraId="258EA935">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noWrap w:val="0"/>
                  <w:vAlign w:val="center"/>
                </w:tcPr>
                <w:p w14:paraId="21C37120">
                  <w:pPr>
                    <w:adjustRightInd w:val="0"/>
                    <w:snapToGrid w:val="0"/>
                    <w:jc w:val="center"/>
                    <w:rPr>
                      <w:color w:val="auto"/>
                      <w:sz w:val="21"/>
                      <w:szCs w:val="21"/>
                      <w:highlight w:val="none"/>
                    </w:rPr>
                  </w:pPr>
                </w:p>
              </w:tc>
              <w:tc>
                <w:tcPr>
                  <w:tcW w:w="746" w:type="pct"/>
                  <w:vMerge w:val="continue"/>
                  <w:noWrap w:val="0"/>
                  <w:vAlign w:val="center"/>
                </w:tcPr>
                <w:p w14:paraId="785DACA4">
                  <w:pPr>
                    <w:pStyle w:val="78"/>
                    <w:adjustRightInd w:val="0"/>
                    <w:snapToGrid w:val="0"/>
                    <w:ind w:left="125" w:right="117"/>
                    <w:jc w:val="center"/>
                    <w:rPr>
                      <w:rFonts w:ascii="Times New Roman" w:hAnsi="Times New Roman" w:cs="Times New Roman"/>
                      <w:color w:val="auto"/>
                      <w:sz w:val="21"/>
                      <w:szCs w:val="21"/>
                      <w:highlight w:val="none"/>
                    </w:rPr>
                  </w:pPr>
                </w:p>
              </w:tc>
              <w:tc>
                <w:tcPr>
                  <w:tcW w:w="782" w:type="pct"/>
                  <w:noWrap w:val="0"/>
                  <w:vAlign w:val="center"/>
                </w:tcPr>
                <w:p w14:paraId="7216FC89">
                  <w:pPr>
                    <w:pStyle w:val="78"/>
                    <w:adjustRightInd w:val="0"/>
                    <w:snapToGrid w:val="0"/>
                    <w:ind w:left="125" w:right="117"/>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物理</w:t>
                  </w:r>
                  <w:r>
                    <w:rPr>
                      <w:rFonts w:hint="eastAsia" w:ascii="Times New Roman" w:hAnsi="Times New Roman" w:cs="Times New Roman"/>
                      <w:color w:val="auto"/>
                      <w:sz w:val="21"/>
                      <w:szCs w:val="21"/>
                      <w:highlight w:val="none"/>
                      <w:lang w:val="en-US"/>
                    </w:rPr>
                    <w:t>试</w:t>
                  </w:r>
                  <w:r>
                    <w:rPr>
                      <w:rFonts w:hint="eastAsia" w:ascii="Times New Roman" w:hAnsi="Times New Roman" w:cs="Times New Roman"/>
                      <w:color w:val="auto"/>
                      <w:sz w:val="21"/>
                      <w:szCs w:val="21"/>
                      <w:highlight w:val="none"/>
                    </w:rPr>
                    <w:t>验</w:t>
                  </w:r>
                </w:p>
              </w:tc>
              <w:tc>
                <w:tcPr>
                  <w:tcW w:w="2687" w:type="pct"/>
                  <w:noWrap w:val="0"/>
                  <w:vAlign w:val="center"/>
                </w:tcPr>
                <w:p w14:paraId="121AD07E">
                  <w:pPr>
                    <w:pStyle w:val="78"/>
                    <w:adjustRightInd w:val="0"/>
                    <w:snapToGrid w:val="0"/>
                    <w:jc w:val="both"/>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rPr>
                    <w:t>试</w:t>
                  </w:r>
                  <w:r>
                    <w:rPr>
                      <w:rFonts w:hint="eastAsia" w:ascii="Times New Roman" w:hAnsi="Times New Roman" w:cs="Times New Roman"/>
                      <w:color w:val="auto"/>
                      <w:sz w:val="21"/>
                      <w:szCs w:val="21"/>
                      <w:highlight w:val="none"/>
                    </w:rPr>
                    <w:t>验</w:t>
                  </w:r>
                  <w:r>
                    <w:rPr>
                      <w:rFonts w:hint="eastAsia" w:ascii="Times New Roman" w:hAnsi="Times New Roman" w:cs="Times New Roman"/>
                      <w:color w:val="auto"/>
                      <w:sz w:val="21"/>
                      <w:szCs w:val="21"/>
                      <w:highlight w:val="none"/>
                      <w:lang w:val="en-US" w:eastAsia="zh-CN"/>
                    </w:rPr>
                    <w:t>废样</w:t>
                  </w:r>
                </w:p>
              </w:tc>
            </w:tr>
            <w:tr w14:paraId="45A5BE56">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784" w:type="pct"/>
                  <w:vMerge w:val="continue"/>
                  <w:noWrap w:val="0"/>
                  <w:vAlign w:val="center"/>
                </w:tcPr>
                <w:p w14:paraId="0B163AD2">
                  <w:pPr>
                    <w:adjustRightInd w:val="0"/>
                    <w:snapToGrid w:val="0"/>
                    <w:jc w:val="center"/>
                    <w:rPr>
                      <w:color w:val="auto"/>
                      <w:sz w:val="21"/>
                      <w:szCs w:val="21"/>
                      <w:highlight w:val="none"/>
                    </w:rPr>
                  </w:pPr>
                </w:p>
              </w:tc>
              <w:tc>
                <w:tcPr>
                  <w:tcW w:w="746" w:type="pct"/>
                  <w:noWrap w:val="0"/>
                  <w:vAlign w:val="center"/>
                </w:tcPr>
                <w:p w14:paraId="4BE66488">
                  <w:pPr>
                    <w:pStyle w:val="78"/>
                    <w:adjustRightInd w:val="0"/>
                    <w:snapToGrid w:val="0"/>
                    <w:ind w:left="125" w:right="120"/>
                    <w:jc w:val="center"/>
                    <w:rPr>
                      <w:rFonts w:ascii="Times New Roman" w:hAnsi="Times New Roman" w:cs="Times New Roman"/>
                      <w:color w:val="auto"/>
                      <w:sz w:val="21"/>
                      <w:szCs w:val="21"/>
                      <w:highlight w:val="none"/>
                      <w:lang w:val="en-US"/>
                    </w:rPr>
                  </w:pPr>
                  <w:r>
                    <w:rPr>
                      <w:rFonts w:ascii="Times New Roman" w:hAnsi="Times New Roman" w:cs="Times New Roman"/>
                      <w:color w:val="auto"/>
                      <w:sz w:val="21"/>
                      <w:szCs w:val="21"/>
                      <w:highlight w:val="none"/>
                      <w:lang w:val="en-US"/>
                    </w:rPr>
                    <w:t>生活垃圾</w:t>
                  </w:r>
                </w:p>
              </w:tc>
              <w:tc>
                <w:tcPr>
                  <w:tcW w:w="782" w:type="pct"/>
                  <w:noWrap w:val="0"/>
                  <w:vAlign w:val="center"/>
                </w:tcPr>
                <w:p w14:paraId="110725A9">
                  <w:pPr>
                    <w:pStyle w:val="78"/>
                    <w:adjustRightInd w:val="0"/>
                    <w:snapToGrid w:val="0"/>
                    <w:ind w:left="125" w:right="12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职工办公</w:t>
                  </w:r>
                </w:p>
              </w:tc>
              <w:tc>
                <w:tcPr>
                  <w:tcW w:w="2687" w:type="pct"/>
                  <w:noWrap w:val="0"/>
                  <w:vAlign w:val="center"/>
                </w:tcPr>
                <w:p w14:paraId="2BA2E3AC">
                  <w:pPr>
                    <w:pStyle w:val="78"/>
                    <w:adjustRightInd w:val="0"/>
                    <w:snapToGrid w:val="0"/>
                    <w:jc w:val="both"/>
                    <w:rPr>
                      <w:rFonts w:hint="eastAsia"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生活垃圾</w:t>
                  </w:r>
                </w:p>
              </w:tc>
            </w:tr>
          </w:tbl>
          <w:p w14:paraId="299314C3">
            <w:pPr>
              <w:pStyle w:val="9"/>
              <w:rPr>
                <w:color w:val="auto"/>
              </w:rPr>
            </w:pPr>
          </w:p>
        </w:tc>
      </w:tr>
      <w:tr w14:paraId="160C07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0" w:hRule="atLeast"/>
          <w:jc w:val="center"/>
        </w:trPr>
        <w:tc>
          <w:tcPr>
            <w:tcW w:w="436" w:type="dxa"/>
            <w:vAlign w:val="center"/>
          </w:tcPr>
          <w:p w14:paraId="355CC4E5">
            <w:pPr>
              <w:pStyle w:val="25"/>
              <w:adjustRightInd w:val="0"/>
              <w:snapToGrid w:val="0"/>
              <w:spacing w:before="0" w:beforeAutospacing="0" w:after="0" w:afterAutospacing="0"/>
              <w:jc w:val="center"/>
              <w:rPr>
                <w:rFonts w:cs="宋体"/>
                <w:bCs/>
                <w:color w:val="auto"/>
                <w:kern w:val="2"/>
                <w:sz w:val="21"/>
                <w:szCs w:val="21"/>
              </w:rPr>
            </w:pPr>
          </w:p>
          <w:p w14:paraId="1DD338E2">
            <w:pPr>
              <w:pStyle w:val="25"/>
              <w:adjustRightInd w:val="0"/>
              <w:snapToGrid w:val="0"/>
              <w:spacing w:before="0" w:beforeAutospacing="0" w:after="0" w:afterAutospacing="0"/>
              <w:jc w:val="center"/>
              <w:rPr>
                <w:rFonts w:cs="宋体"/>
                <w:color w:val="auto"/>
                <w:sz w:val="21"/>
                <w:szCs w:val="21"/>
              </w:rPr>
            </w:pPr>
            <w:r>
              <w:rPr>
                <w:rFonts w:hint="eastAsia" w:cs="宋体"/>
                <w:bCs/>
                <w:color w:val="auto"/>
                <w:kern w:val="2"/>
                <w:sz w:val="21"/>
                <w:szCs w:val="21"/>
              </w:rPr>
              <w:t>与项目有关的原有环境污染问题</w:t>
            </w:r>
          </w:p>
        </w:tc>
        <w:tc>
          <w:tcPr>
            <w:tcW w:w="8843" w:type="dxa"/>
          </w:tcPr>
          <w:p w14:paraId="7138852D">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color w:val="auto"/>
              </w:rPr>
            </w:pPr>
            <w:r>
              <w:rPr>
                <w:rFonts w:hint="eastAsia" w:ascii="宋体" w:hAnsi="宋体" w:eastAsia="宋体" w:cs="宋体"/>
                <w:color w:val="auto"/>
                <w:kern w:val="0"/>
                <w:sz w:val="24"/>
                <w:szCs w:val="24"/>
                <w:lang w:val="en-US" w:eastAsia="zh-CN" w:bidi="ar"/>
              </w:rPr>
              <w:t>本项目位于</w:t>
            </w:r>
            <w:r>
              <w:rPr>
                <w:rFonts w:hint="eastAsia" w:ascii="宋体" w:hAnsi="宋体" w:eastAsiaTheme="minorEastAsia" w:cstheme="minorBidi"/>
                <w:color w:val="auto"/>
                <w:kern w:val="0"/>
                <w:sz w:val="24"/>
                <w:szCs w:val="24"/>
                <w:lang w:val="en-US" w:eastAsia="zh-CN" w:bidi="ar-SA"/>
              </w:rPr>
              <w:t>沣东新城天章大道与丰安路十字东南角（西安众汇电子科技有限公司办公楼一层）</w:t>
            </w:r>
            <w:r>
              <w:rPr>
                <w:rFonts w:hint="eastAsia" w:ascii="宋体" w:hAnsi="宋体" w:eastAsia="宋体" w:cs="宋体"/>
                <w:color w:val="auto"/>
                <w:kern w:val="0"/>
                <w:sz w:val="24"/>
                <w:szCs w:val="24"/>
                <w:lang w:val="en-US" w:eastAsia="zh-CN" w:bidi="ar"/>
              </w:rPr>
              <w:t>，项目</w:t>
            </w:r>
            <w:r>
              <w:rPr>
                <w:rFonts w:hint="eastAsia"/>
                <w:color w:val="auto"/>
                <w:sz w:val="24"/>
                <w:lang w:val="en-US" w:eastAsia="zh-CN"/>
              </w:rPr>
              <w:t>租赁西安众汇电子科技有限公司院内办公楼一楼</w:t>
            </w:r>
            <w:r>
              <w:rPr>
                <w:rFonts w:hint="eastAsia" w:ascii="宋体" w:hAnsi="宋体" w:eastAsia="宋体" w:cs="宋体"/>
                <w:color w:val="auto"/>
                <w:kern w:val="0"/>
                <w:sz w:val="24"/>
                <w:szCs w:val="24"/>
                <w:lang w:val="en-US" w:eastAsia="zh-CN" w:bidi="ar"/>
              </w:rPr>
              <w:t>，项目为新建项目，</w:t>
            </w:r>
            <w:r>
              <w:rPr>
                <w:rFonts w:hint="eastAsia" w:ascii="宋体" w:hAnsi="宋体" w:cs="宋体"/>
                <w:color w:val="auto"/>
                <w:kern w:val="0"/>
                <w:sz w:val="24"/>
                <w:szCs w:val="24"/>
                <w:lang w:val="en-US" w:eastAsia="zh-CN" w:bidi="ar"/>
              </w:rPr>
              <w:t>在租赁之前为空办公楼，无遗留污染问题，</w:t>
            </w:r>
            <w:r>
              <w:rPr>
                <w:rFonts w:hint="eastAsia" w:ascii="宋体" w:hAnsi="宋体" w:eastAsia="宋体" w:cs="宋体"/>
                <w:color w:val="auto"/>
                <w:kern w:val="0"/>
                <w:sz w:val="24"/>
                <w:szCs w:val="24"/>
                <w:lang w:val="en-US" w:eastAsia="zh-CN" w:bidi="ar"/>
              </w:rPr>
              <w:t>因此，无与本项目有关的原有环境污染问题。</w:t>
            </w:r>
          </w:p>
          <w:p w14:paraId="3ADE38DE">
            <w:pPr>
              <w:adjustRightInd w:val="0"/>
              <w:snapToGrid w:val="0"/>
              <w:rPr>
                <w:rFonts w:ascii="宋体" w:hAnsi="宋体"/>
                <w:bCs/>
                <w:color w:val="auto"/>
                <w:szCs w:val="21"/>
              </w:rPr>
            </w:pPr>
          </w:p>
        </w:tc>
      </w:tr>
    </w:tbl>
    <w:p w14:paraId="56052896">
      <w:pPr>
        <w:pStyle w:val="25"/>
        <w:jc w:val="center"/>
        <w:rPr>
          <w:rFonts w:ascii="黑体" w:hAnsi="黑体" w:eastAsia="黑体"/>
          <w:snapToGrid w:val="0"/>
          <w:color w:val="000000" w:themeColor="text1"/>
          <w:sz w:val="36"/>
          <w:szCs w:val="36"/>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20001AF9">
      <w:pPr>
        <w:pageBreakBefore/>
        <w:widowControl/>
        <w:spacing w:before="100" w:after="100"/>
        <w:jc w:val="center"/>
        <w:outlineLvl w:val="0"/>
        <w:rPr>
          <w:rFonts w:ascii="黑体" w:hAnsi="黑体" w:eastAsia="黑体"/>
          <w:snapToGrid w:val="0"/>
          <w:color w:val="000000" w:themeColor="text1"/>
          <w:kern w:val="0"/>
          <w:sz w:val="30"/>
          <w:szCs w:val="30"/>
          <w14:textFill>
            <w14:solidFill>
              <w14:schemeClr w14:val="tx1"/>
            </w14:solidFill>
          </w14:textFill>
        </w:rPr>
      </w:pPr>
      <w:r>
        <w:rPr>
          <w:rFonts w:hint="eastAsia" w:ascii="黑体" w:hAnsi="黑体" w:eastAsia="黑体"/>
          <w:snapToGrid w:val="0"/>
          <w:color w:val="000000" w:themeColor="text1"/>
          <w:kern w:val="0"/>
          <w:sz w:val="30"/>
          <w:szCs w:val="30"/>
          <w14:textFill>
            <w14:solidFill>
              <w14:schemeClr w14:val="tx1"/>
            </w14:solidFill>
          </w14:textFill>
        </w:rPr>
        <w:t>三、区域环境质量现状、环境保护目标及评价标准</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14:paraId="576F55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800" w:type="dxa"/>
            <w:vAlign w:val="center"/>
          </w:tcPr>
          <w:p w14:paraId="1765F4F3">
            <w:pPr>
              <w:adjustRightInd w:val="0"/>
              <w:snapToGrid w:val="0"/>
              <w:jc w:val="center"/>
              <w:rPr>
                <w:rFonts w:ascii="宋体" w:hAnsi="宋体" w:cs="宋体"/>
                <w:color w:val="auto"/>
                <w:kern w:val="0"/>
                <w:szCs w:val="21"/>
              </w:rPr>
            </w:pPr>
            <w:r>
              <w:rPr>
                <w:rFonts w:hint="eastAsia" w:ascii="宋体" w:hAnsi="宋体" w:cs="宋体"/>
                <w:color w:val="auto"/>
                <w:kern w:val="0"/>
                <w:szCs w:val="21"/>
              </w:rPr>
              <w:t>区域</w:t>
            </w:r>
          </w:p>
          <w:p w14:paraId="6065BDB9">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14:paraId="20D28509">
            <w:pPr>
              <w:adjustRightInd w:val="0"/>
              <w:snapToGrid w:val="0"/>
              <w:jc w:val="center"/>
              <w:rPr>
                <w:rFonts w:ascii="宋体" w:hAnsi="宋体" w:cs="宋体"/>
                <w:color w:val="auto"/>
                <w:kern w:val="0"/>
                <w:szCs w:val="21"/>
              </w:rPr>
            </w:pPr>
            <w:r>
              <w:rPr>
                <w:rFonts w:hint="eastAsia" w:ascii="宋体" w:hAnsi="宋体" w:cs="宋体"/>
                <w:color w:val="auto"/>
                <w:kern w:val="0"/>
                <w:szCs w:val="21"/>
              </w:rPr>
              <w:t>质量</w:t>
            </w:r>
          </w:p>
          <w:p w14:paraId="746F0EA3">
            <w:pPr>
              <w:adjustRightInd w:val="0"/>
              <w:snapToGrid w:val="0"/>
              <w:jc w:val="center"/>
              <w:rPr>
                <w:rFonts w:ascii="宋体" w:hAnsi="宋体" w:cs="宋体"/>
                <w:color w:val="auto"/>
                <w:kern w:val="0"/>
                <w:szCs w:val="21"/>
              </w:rPr>
            </w:pPr>
            <w:r>
              <w:rPr>
                <w:rFonts w:hint="eastAsia" w:ascii="宋体" w:hAnsi="宋体" w:cs="宋体"/>
                <w:color w:val="auto"/>
                <w:kern w:val="0"/>
                <w:szCs w:val="21"/>
              </w:rPr>
              <w:t>现状</w:t>
            </w:r>
          </w:p>
        </w:tc>
        <w:tc>
          <w:tcPr>
            <w:tcW w:w="8190" w:type="dxa"/>
            <w:vAlign w:val="center"/>
          </w:tcPr>
          <w:p w14:paraId="42AFF68D">
            <w:pPr>
              <w:pStyle w:val="18"/>
              <w:adjustRightInd w:val="0"/>
              <w:spacing w:line="360" w:lineRule="auto"/>
              <w:ind w:firstLine="482" w:firstLineChars="200"/>
              <w:rPr>
                <w:b/>
                <w:color w:val="auto"/>
                <w:kern w:val="2"/>
                <w:sz w:val="24"/>
                <w:szCs w:val="24"/>
              </w:rPr>
            </w:pPr>
            <w:r>
              <w:rPr>
                <w:b/>
                <w:color w:val="auto"/>
                <w:kern w:val="2"/>
                <w:sz w:val="24"/>
                <w:szCs w:val="24"/>
              </w:rPr>
              <w:t>1、环境空气质量现状</w:t>
            </w:r>
          </w:p>
          <w:p w14:paraId="7F995DD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color w:val="auto"/>
                <w:sz w:val="24"/>
                <w:szCs w:val="24"/>
                <w:lang w:val="en-US" w:eastAsia="zh-CN"/>
              </w:rPr>
            </w:pPr>
            <w:r>
              <w:rPr>
                <w:rFonts w:hint="eastAsia"/>
                <w:color w:val="auto"/>
                <w:sz w:val="24"/>
                <w:szCs w:val="24"/>
                <w:lang w:eastAsia="zh-CN"/>
              </w:rPr>
              <w:t>（</w:t>
            </w:r>
            <w:r>
              <w:rPr>
                <w:rFonts w:hint="eastAsia"/>
                <w:color w:val="auto"/>
                <w:sz w:val="24"/>
                <w:szCs w:val="24"/>
                <w:lang w:val="en-US" w:eastAsia="zh-CN"/>
              </w:rPr>
              <w:t>1</w:t>
            </w:r>
            <w:r>
              <w:rPr>
                <w:rFonts w:hint="eastAsia"/>
                <w:color w:val="auto"/>
                <w:sz w:val="24"/>
                <w:szCs w:val="24"/>
                <w:lang w:eastAsia="zh-CN"/>
              </w:rPr>
              <w:t>）</w:t>
            </w:r>
            <w:r>
              <w:rPr>
                <w:rFonts w:hint="eastAsia"/>
                <w:color w:val="auto"/>
                <w:sz w:val="24"/>
                <w:szCs w:val="24"/>
                <w:lang w:val="en-US" w:eastAsia="zh-CN"/>
              </w:rPr>
              <w:t>常规污染物环境质量现状</w:t>
            </w:r>
          </w:p>
          <w:p w14:paraId="274FB19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根据陕西省生态环境厅公布的《环保快报202</w:t>
            </w:r>
            <w:r>
              <w:rPr>
                <w:rFonts w:hint="eastAsia"/>
                <w:color w:val="auto"/>
                <w:sz w:val="24"/>
                <w:szCs w:val="24"/>
                <w:lang w:val="en-US" w:eastAsia="zh-CN"/>
              </w:rPr>
              <w:t>4</w:t>
            </w:r>
            <w:r>
              <w:rPr>
                <w:rFonts w:hint="eastAsia"/>
                <w:color w:val="auto"/>
                <w:sz w:val="24"/>
                <w:szCs w:val="24"/>
              </w:rPr>
              <w:t>年12月及1~12月全省环境空气质量状况》进行评价。本评价选用202</w:t>
            </w:r>
            <w:r>
              <w:rPr>
                <w:rFonts w:hint="eastAsia"/>
                <w:color w:val="auto"/>
                <w:sz w:val="24"/>
                <w:szCs w:val="24"/>
                <w:lang w:val="en-US" w:eastAsia="zh-CN"/>
              </w:rPr>
              <w:t>4</w:t>
            </w:r>
            <w:r>
              <w:rPr>
                <w:rFonts w:hint="eastAsia"/>
                <w:color w:val="auto"/>
                <w:sz w:val="24"/>
                <w:szCs w:val="24"/>
              </w:rPr>
              <w:t>年1~12月关中地区6</w:t>
            </w:r>
            <w:r>
              <w:rPr>
                <w:rFonts w:hint="eastAsia"/>
                <w:color w:val="auto"/>
                <w:sz w:val="24"/>
                <w:szCs w:val="24"/>
                <w:lang w:val="en-US" w:eastAsia="zh-CN"/>
              </w:rPr>
              <w:t>3</w:t>
            </w:r>
            <w:r>
              <w:rPr>
                <w:rFonts w:hint="eastAsia"/>
                <w:color w:val="auto"/>
                <w:sz w:val="24"/>
                <w:szCs w:val="24"/>
              </w:rPr>
              <w:t>个县（区）空气质量状况统计表中西咸新区的数据对该区域基本污染物环境质量现状进行评价。</w:t>
            </w:r>
          </w:p>
          <w:p w14:paraId="7DF9ECB1">
            <w:pPr>
              <w:pStyle w:val="92"/>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color w:val="auto"/>
                <w:szCs w:val="24"/>
              </w:rPr>
            </w:pPr>
            <w:r>
              <w:rPr>
                <w:rFonts w:hAnsi="宋体"/>
                <w:color w:val="auto"/>
                <w:szCs w:val="24"/>
              </w:rPr>
              <w:t>表</w:t>
            </w:r>
            <w:r>
              <w:rPr>
                <w:rFonts w:hint="eastAsia"/>
                <w:color w:val="auto"/>
                <w:szCs w:val="24"/>
                <w:lang w:val="en-US" w:eastAsia="zh-CN"/>
              </w:rPr>
              <w:t>3</w:t>
            </w:r>
            <w:r>
              <w:rPr>
                <w:color w:val="auto"/>
                <w:szCs w:val="24"/>
              </w:rPr>
              <w:t xml:space="preserve">-1   </w:t>
            </w:r>
            <w:r>
              <w:rPr>
                <w:rFonts w:hAnsi="宋体"/>
                <w:color w:val="auto"/>
                <w:szCs w:val="24"/>
              </w:rPr>
              <w:t>区域空气环境质量现状评价表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6"/>
              <w:gridCol w:w="2439"/>
              <w:gridCol w:w="1248"/>
              <w:gridCol w:w="1191"/>
              <w:gridCol w:w="1145"/>
              <w:gridCol w:w="1004"/>
            </w:tblGrid>
            <w:tr w14:paraId="3C966D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noWrap w:val="0"/>
                  <w:vAlign w:val="center"/>
                </w:tcPr>
                <w:p w14:paraId="6D7567B9">
                  <w:pPr>
                    <w:keepNext w:val="0"/>
                    <w:keepLines w:val="0"/>
                    <w:pageBreakBefore w:val="0"/>
                    <w:kinsoku/>
                    <w:wordWrap/>
                    <w:overflowPunct/>
                    <w:topLinePunct w:val="0"/>
                    <w:autoSpaceDE/>
                    <w:autoSpaceDN/>
                    <w:bidi w:val="0"/>
                    <w:adjustRightInd/>
                    <w:snapToGrid/>
                    <w:spacing w:line="240" w:lineRule="auto"/>
                    <w:jc w:val="center"/>
                    <w:rPr>
                      <w:b w:val="0"/>
                      <w:bCs w:val="0"/>
                      <w:color w:val="auto"/>
                      <w:sz w:val="21"/>
                      <w:szCs w:val="21"/>
                    </w:rPr>
                  </w:pPr>
                  <w:r>
                    <w:rPr>
                      <w:b w:val="0"/>
                      <w:bCs w:val="0"/>
                      <w:color w:val="auto"/>
                      <w:sz w:val="21"/>
                      <w:szCs w:val="21"/>
                    </w:rPr>
                    <w:t>污染物</w:t>
                  </w:r>
                </w:p>
              </w:tc>
              <w:tc>
                <w:tcPr>
                  <w:tcW w:w="1529" w:type="pct"/>
                  <w:tcBorders>
                    <w:tl2br w:val="nil"/>
                    <w:tr2bl w:val="nil"/>
                  </w:tcBorders>
                  <w:noWrap w:val="0"/>
                  <w:vAlign w:val="center"/>
                </w:tcPr>
                <w:p w14:paraId="784F483E">
                  <w:pPr>
                    <w:keepNext w:val="0"/>
                    <w:keepLines w:val="0"/>
                    <w:pageBreakBefore w:val="0"/>
                    <w:kinsoku/>
                    <w:wordWrap/>
                    <w:overflowPunct/>
                    <w:topLinePunct w:val="0"/>
                    <w:autoSpaceDE/>
                    <w:autoSpaceDN/>
                    <w:bidi w:val="0"/>
                    <w:adjustRightInd/>
                    <w:snapToGrid/>
                    <w:spacing w:line="240" w:lineRule="auto"/>
                    <w:jc w:val="center"/>
                    <w:rPr>
                      <w:b w:val="0"/>
                      <w:bCs w:val="0"/>
                      <w:color w:val="auto"/>
                      <w:sz w:val="21"/>
                      <w:szCs w:val="21"/>
                    </w:rPr>
                  </w:pPr>
                  <w:r>
                    <w:rPr>
                      <w:b w:val="0"/>
                      <w:bCs w:val="0"/>
                      <w:color w:val="auto"/>
                      <w:sz w:val="21"/>
                      <w:szCs w:val="21"/>
                    </w:rPr>
                    <w:t>年评价指标</w:t>
                  </w:r>
                </w:p>
              </w:tc>
              <w:tc>
                <w:tcPr>
                  <w:tcW w:w="782" w:type="pct"/>
                  <w:tcBorders>
                    <w:tl2br w:val="nil"/>
                    <w:tr2bl w:val="nil"/>
                  </w:tcBorders>
                  <w:noWrap w:val="0"/>
                  <w:vAlign w:val="center"/>
                </w:tcPr>
                <w:p w14:paraId="118673DC">
                  <w:pPr>
                    <w:keepNext w:val="0"/>
                    <w:keepLines w:val="0"/>
                    <w:pageBreakBefore w:val="0"/>
                    <w:kinsoku/>
                    <w:wordWrap/>
                    <w:overflowPunct/>
                    <w:topLinePunct w:val="0"/>
                    <w:autoSpaceDE/>
                    <w:autoSpaceDN/>
                    <w:bidi w:val="0"/>
                    <w:adjustRightInd/>
                    <w:snapToGrid/>
                    <w:spacing w:line="240" w:lineRule="auto"/>
                    <w:jc w:val="center"/>
                    <w:rPr>
                      <w:b w:val="0"/>
                      <w:bCs w:val="0"/>
                      <w:color w:val="auto"/>
                      <w:sz w:val="21"/>
                      <w:szCs w:val="21"/>
                    </w:rPr>
                  </w:pPr>
                  <w:r>
                    <w:rPr>
                      <w:b w:val="0"/>
                      <w:bCs w:val="0"/>
                      <w:color w:val="auto"/>
                      <w:sz w:val="21"/>
                      <w:szCs w:val="21"/>
                    </w:rPr>
                    <w:t>现状浓度（μg/m</w:t>
                  </w:r>
                  <w:r>
                    <w:rPr>
                      <w:b w:val="0"/>
                      <w:bCs w:val="0"/>
                      <w:color w:val="auto"/>
                      <w:sz w:val="21"/>
                      <w:szCs w:val="21"/>
                      <w:vertAlign w:val="superscript"/>
                    </w:rPr>
                    <w:t>3</w:t>
                  </w:r>
                  <w:r>
                    <w:rPr>
                      <w:b w:val="0"/>
                      <w:bCs w:val="0"/>
                      <w:color w:val="auto"/>
                      <w:sz w:val="21"/>
                      <w:szCs w:val="21"/>
                    </w:rPr>
                    <w:t>）</w:t>
                  </w:r>
                </w:p>
              </w:tc>
              <w:tc>
                <w:tcPr>
                  <w:tcW w:w="747" w:type="pct"/>
                  <w:tcBorders>
                    <w:tl2br w:val="nil"/>
                    <w:tr2bl w:val="nil"/>
                  </w:tcBorders>
                  <w:noWrap w:val="0"/>
                  <w:vAlign w:val="center"/>
                </w:tcPr>
                <w:p w14:paraId="5C6F5A62">
                  <w:pPr>
                    <w:keepNext w:val="0"/>
                    <w:keepLines w:val="0"/>
                    <w:pageBreakBefore w:val="0"/>
                    <w:kinsoku/>
                    <w:wordWrap/>
                    <w:overflowPunct/>
                    <w:topLinePunct w:val="0"/>
                    <w:autoSpaceDE/>
                    <w:autoSpaceDN/>
                    <w:bidi w:val="0"/>
                    <w:adjustRightInd/>
                    <w:snapToGrid/>
                    <w:spacing w:line="240" w:lineRule="auto"/>
                    <w:jc w:val="center"/>
                    <w:rPr>
                      <w:b w:val="0"/>
                      <w:bCs w:val="0"/>
                      <w:color w:val="auto"/>
                      <w:sz w:val="21"/>
                      <w:szCs w:val="21"/>
                    </w:rPr>
                  </w:pPr>
                  <w:r>
                    <w:rPr>
                      <w:b w:val="0"/>
                      <w:bCs w:val="0"/>
                      <w:color w:val="auto"/>
                      <w:sz w:val="21"/>
                      <w:szCs w:val="21"/>
                    </w:rPr>
                    <w:t>标准值（μg/m</w:t>
                  </w:r>
                  <w:r>
                    <w:rPr>
                      <w:b w:val="0"/>
                      <w:bCs w:val="0"/>
                      <w:color w:val="auto"/>
                      <w:sz w:val="21"/>
                      <w:szCs w:val="21"/>
                      <w:vertAlign w:val="superscript"/>
                    </w:rPr>
                    <w:t>3</w:t>
                  </w:r>
                  <w:r>
                    <w:rPr>
                      <w:b w:val="0"/>
                      <w:bCs w:val="0"/>
                      <w:color w:val="auto"/>
                      <w:sz w:val="21"/>
                      <w:szCs w:val="21"/>
                    </w:rPr>
                    <w:t>）</w:t>
                  </w:r>
                </w:p>
              </w:tc>
              <w:tc>
                <w:tcPr>
                  <w:tcW w:w="718" w:type="pct"/>
                  <w:tcBorders>
                    <w:tl2br w:val="nil"/>
                    <w:tr2bl w:val="nil"/>
                  </w:tcBorders>
                  <w:noWrap w:val="0"/>
                  <w:vAlign w:val="center"/>
                </w:tcPr>
                <w:p w14:paraId="75722CCD">
                  <w:pPr>
                    <w:keepNext w:val="0"/>
                    <w:keepLines w:val="0"/>
                    <w:pageBreakBefore w:val="0"/>
                    <w:kinsoku/>
                    <w:wordWrap/>
                    <w:overflowPunct/>
                    <w:topLinePunct w:val="0"/>
                    <w:autoSpaceDE/>
                    <w:autoSpaceDN/>
                    <w:bidi w:val="0"/>
                    <w:adjustRightInd/>
                    <w:snapToGrid/>
                    <w:spacing w:line="240" w:lineRule="auto"/>
                    <w:jc w:val="center"/>
                    <w:rPr>
                      <w:b w:val="0"/>
                      <w:bCs w:val="0"/>
                      <w:color w:val="auto"/>
                      <w:sz w:val="21"/>
                      <w:szCs w:val="21"/>
                    </w:rPr>
                  </w:pPr>
                  <w:r>
                    <w:rPr>
                      <w:b w:val="0"/>
                      <w:bCs w:val="0"/>
                      <w:color w:val="auto"/>
                      <w:sz w:val="21"/>
                      <w:szCs w:val="21"/>
                    </w:rPr>
                    <w:t>占标率</w:t>
                  </w:r>
                </w:p>
              </w:tc>
              <w:tc>
                <w:tcPr>
                  <w:tcW w:w="629" w:type="pct"/>
                  <w:tcBorders>
                    <w:tl2br w:val="nil"/>
                    <w:tr2bl w:val="nil"/>
                  </w:tcBorders>
                  <w:noWrap w:val="0"/>
                  <w:vAlign w:val="center"/>
                </w:tcPr>
                <w:p w14:paraId="3619894F">
                  <w:pPr>
                    <w:keepNext w:val="0"/>
                    <w:keepLines w:val="0"/>
                    <w:pageBreakBefore w:val="0"/>
                    <w:kinsoku/>
                    <w:wordWrap/>
                    <w:overflowPunct/>
                    <w:topLinePunct w:val="0"/>
                    <w:autoSpaceDE/>
                    <w:autoSpaceDN/>
                    <w:bidi w:val="0"/>
                    <w:adjustRightInd/>
                    <w:snapToGrid/>
                    <w:spacing w:line="240" w:lineRule="auto"/>
                    <w:jc w:val="center"/>
                    <w:rPr>
                      <w:b w:val="0"/>
                      <w:bCs w:val="0"/>
                      <w:color w:val="auto"/>
                      <w:sz w:val="21"/>
                      <w:szCs w:val="21"/>
                    </w:rPr>
                  </w:pPr>
                  <w:r>
                    <w:rPr>
                      <w:b w:val="0"/>
                      <w:bCs w:val="0"/>
                      <w:color w:val="auto"/>
                      <w:sz w:val="21"/>
                      <w:szCs w:val="21"/>
                    </w:rPr>
                    <w:t>达标</w:t>
                  </w:r>
                </w:p>
                <w:p w14:paraId="2C318F47">
                  <w:pPr>
                    <w:keepNext w:val="0"/>
                    <w:keepLines w:val="0"/>
                    <w:pageBreakBefore w:val="0"/>
                    <w:kinsoku/>
                    <w:wordWrap/>
                    <w:overflowPunct/>
                    <w:topLinePunct w:val="0"/>
                    <w:autoSpaceDE/>
                    <w:autoSpaceDN/>
                    <w:bidi w:val="0"/>
                    <w:adjustRightInd/>
                    <w:snapToGrid/>
                    <w:spacing w:line="240" w:lineRule="auto"/>
                    <w:jc w:val="center"/>
                    <w:rPr>
                      <w:b w:val="0"/>
                      <w:bCs w:val="0"/>
                      <w:color w:val="auto"/>
                      <w:sz w:val="21"/>
                      <w:szCs w:val="21"/>
                    </w:rPr>
                  </w:pPr>
                  <w:r>
                    <w:rPr>
                      <w:b w:val="0"/>
                      <w:bCs w:val="0"/>
                      <w:color w:val="auto"/>
                      <w:sz w:val="21"/>
                      <w:szCs w:val="21"/>
                    </w:rPr>
                    <w:t>情况</w:t>
                  </w:r>
                </w:p>
              </w:tc>
            </w:tr>
            <w:tr w14:paraId="1E6303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noWrap w:val="0"/>
                  <w:vAlign w:val="center"/>
                </w:tcPr>
                <w:p w14:paraId="6AAE029B">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SO</w:t>
                  </w:r>
                  <w:r>
                    <w:rPr>
                      <w:color w:val="auto"/>
                      <w:sz w:val="21"/>
                      <w:szCs w:val="21"/>
                      <w:vertAlign w:val="subscript"/>
                    </w:rPr>
                    <w:t>2</w:t>
                  </w:r>
                </w:p>
              </w:tc>
              <w:tc>
                <w:tcPr>
                  <w:tcW w:w="1529" w:type="pct"/>
                  <w:tcBorders>
                    <w:tl2br w:val="nil"/>
                    <w:tr2bl w:val="nil"/>
                  </w:tcBorders>
                  <w:noWrap w:val="0"/>
                  <w:vAlign w:val="center"/>
                </w:tcPr>
                <w:p w14:paraId="7B6787CC">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年平均质量浓度</w:t>
                  </w:r>
                </w:p>
              </w:tc>
              <w:tc>
                <w:tcPr>
                  <w:tcW w:w="782" w:type="pct"/>
                  <w:tcBorders>
                    <w:tl2br w:val="nil"/>
                    <w:tr2bl w:val="nil"/>
                  </w:tcBorders>
                  <w:noWrap w:val="0"/>
                  <w:vAlign w:val="center"/>
                </w:tcPr>
                <w:p w14:paraId="4F7BB23E">
                  <w:pPr>
                    <w:keepNext w:val="0"/>
                    <w:keepLines w:val="0"/>
                    <w:pageBreakBefore w:val="0"/>
                    <w:kinsoku/>
                    <w:wordWrap/>
                    <w:overflowPunct/>
                    <w:topLinePunct w:val="0"/>
                    <w:autoSpaceDE/>
                    <w:autoSpaceDN/>
                    <w:bidi w:val="0"/>
                    <w:adjustRightInd/>
                    <w:snapToGrid/>
                    <w:spacing w:line="240" w:lineRule="auto"/>
                    <w:jc w:val="center"/>
                    <w:rPr>
                      <w:rFonts w:hint="eastAsia" w:eastAsia="宋体"/>
                      <w:color w:val="auto"/>
                      <w:sz w:val="21"/>
                      <w:szCs w:val="21"/>
                      <w:lang w:eastAsia="zh-CN"/>
                    </w:rPr>
                  </w:pPr>
                  <w:r>
                    <w:rPr>
                      <w:rFonts w:hint="eastAsia"/>
                      <w:color w:val="auto"/>
                      <w:sz w:val="21"/>
                      <w:szCs w:val="21"/>
                      <w:lang w:val="en-US" w:eastAsia="zh-CN"/>
                    </w:rPr>
                    <w:t>5</w:t>
                  </w:r>
                </w:p>
              </w:tc>
              <w:tc>
                <w:tcPr>
                  <w:tcW w:w="747" w:type="pct"/>
                  <w:tcBorders>
                    <w:tl2br w:val="nil"/>
                    <w:tr2bl w:val="nil"/>
                  </w:tcBorders>
                  <w:noWrap w:val="0"/>
                  <w:vAlign w:val="center"/>
                </w:tcPr>
                <w:p w14:paraId="216BFBE0">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60</w:t>
                  </w:r>
                </w:p>
              </w:tc>
              <w:tc>
                <w:tcPr>
                  <w:tcW w:w="718" w:type="pct"/>
                  <w:tcBorders>
                    <w:tl2br w:val="nil"/>
                    <w:tr2bl w:val="nil"/>
                  </w:tcBorders>
                  <w:noWrap w:val="0"/>
                  <w:vAlign w:val="center"/>
                </w:tcPr>
                <w:p w14:paraId="71404A36">
                  <w:pPr>
                    <w:keepNext w:val="0"/>
                    <w:keepLines w:val="0"/>
                    <w:pageBreakBefore w:val="0"/>
                    <w:widowControl/>
                    <w:kinsoku/>
                    <w:wordWrap/>
                    <w:overflowPunct/>
                    <w:topLinePunct w:val="0"/>
                    <w:autoSpaceDE/>
                    <w:autoSpaceDN/>
                    <w:bidi w:val="0"/>
                    <w:adjustRightInd/>
                    <w:snapToGrid/>
                    <w:spacing w:line="240" w:lineRule="auto"/>
                    <w:jc w:val="center"/>
                    <w:textAlignment w:val="center"/>
                    <w:rPr>
                      <w:color w:val="auto"/>
                      <w:sz w:val="21"/>
                      <w:szCs w:val="21"/>
                    </w:rPr>
                  </w:pPr>
                  <w:r>
                    <w:rPr>
                      <w:rFonts w:hint="eastAsia"/>
                      <w:color w:val="auto"/>
                      <w:sz w:val="21"/>
                      <w:szCs w:val="21"/>
                      <w:lang w:val="en-US" w:eastAsia="zh-CN"/>
                    </w:rPr>
                    <w:t>8.33</w:t>
                  </w:r>
                  <w:r>
                    <w:rPr>
                      <w:color w:val="auto"/>
                      <w:sz w:val="21"/>
                      <w:szCs w:val="21"/>
                    </w:rPr>
                    <w:t>%</w:t>
                  </w:r>
                </w:p>
              </w:tc>
              <w:tc>
                <w:tcPr>
                  <w:tcW w:w="629" w:type="pct"/>
                  <w:tcBorders>
                    <w:tl2br w:val="nil"/>
                    <w:tr2bl w:val="nil"/>
                  </w:tcBorders>
                  <w:noWrap w:val="0"/>
                  <w:vAlign w:val="center"/>
                </w:tcPr>
                <w:p w14:paraId="734F9872">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达标</w:t>
                  </w:r>
                </w:p>
              </w:tc>
            </w:tr>
            <w:tr w14:paraId="04AE09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noWrap w:val="0"/>
                  <w:vAlign w:val="center"/>
                </w:tcPr>
                <w:p w14:paraId="0CC6D22E">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NO</w:t>
                  </w:r>
                  <w:r>
                    <w:rPr>
                      <w:color w:val="auto"/>
                      <w:sz w:val="21"/>
                      <w:szCs w:val="21"/>
                      <w:vertAlign w:val="subscript"/>
                    </w:rPr>
                    <w:t>2</w:t>
                  </w:r>
                </w:p>
              </w:tc>
              <w:tc>
                <w:tcPr>
                  <w:tcW w:w="1529" w:type="pct"/>
                  <w:tcBorders>
                    <w:tl2br w:val="nil"/>
                    <w:tr2bl w:val="nil"/>
                  </w:tcBorders>
                  <w:noWrap w:val="0"/>
                  <w:vAlign w:val="center"/>
                </w:tcPr>
                <w:p w14:paraId="348E026E">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年平均质量浓度</w:t>
                  </w:r>
                </w:p>
              </w:tc>
              <w:tc>
                <w:tcPr>
                  <w:tcW w:w="782" w:type="pct"/>
                  <w:tcBorders>
                    <w:tl2br w:val="nil"/>
                    <w:tr2bl w:val="nil"/>
                  </w:tcBorders>
                  <w:noWrap w:val="0"/>
                  <w:vAlign w:val="center"/>
                </w:tcPr>
                <w:p w14:paraId="6D71986E">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z w:val="21"/>
                      <w:szCs w:val="21"/>
                      <w:lang w:val="en-US" w:eastAsia="zh-CN"/>
                    </w:rPr>
                  </w:pPr>
                  <w:r>
                    <w:rPr>
                      <w:rFonts w:hint="eastAsia"/>
                      <w:color w:val="auto"/>
                      <w:sz w:val="21"/>
                      <w:szCs w:val="21"/>
                      <w:lang w:val="en-US" w:eastAsia="zh-CN"/>
                    </w:rPr>
                    <w:t>31</w:t>
                  </w:r>
                </w:p>
              </w:tc>
              <w:tc>
                <w:tcPr>
                  <w:tcW w:w="747" w:type="pct"/>
                  <w:tcBorders>
                    <w:tl2br w:val="nil"/>
                    <w:tr2bl w:val="nil"/>
                  </w:tcBorders>
                  <w:noWrap w:val="0"/>
                  <w:vAlign w:val="center"/>
                </w:tcPr>
                <w:p w14:paraId="261772A5">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40</w:t>
                  </w:r>
                </w:p>
              </w:tc>
              <w:tc>
                <w:tcPr>
                  <w:tcW w:w="718" w:type="pct"/>
                  <w:tcBorders>
                    <w:tl2br w:val="nil"/>
                    <w:tr2bl w:val="nil"/>
                  </w:tcBorders>
                  <w:noWrap w:val="0"/>
                  <w:vAlign w:val="center"/>
                </w:tcPr>
                <w:p w14:paraId="352785FC">
                  <w:pPr>
                    <w:keepNext w:val="0"/>
                    <w:keepLines w:val="0"/>
                    <w:pageBreakBefore w:val="0"/>
                    <w:widowControl/>
                    <w:kinsoku/>
                    <w:wordWrap/>
                    <w:overflowPunct/>
                    <w:topLinePunct w:val="0"/>
                    <w:autoSpaceDE/>
                    <w:autoSpaceDN/>
                    <w:bidi w:val="0"/>
                    <w:adjustRightInd/>
                    <w:snapToGrid/>
                    <w:spacing w:line="240" w:lineRule="auto"/>
                    <w:jc w:val="center"/>
                    <w:textAlignment w:val="center"/>
                    <w:rPr>
                      <w:color w:val="auto"/>
                      <w:sz w:val="21"/>
                      <w:szCs w:val="21"/>
                    </w:rPr>
                  </w:pPr>
                  <w:r>
                    <w:rPr>
                      <w:rFonts w:hint="eastAsia"/>
                      <w:color w:val="auto"/>
                      <w:sz w:val="21"/>
                      <w:szCs w:val="21"/>
                      <w:lang w:val="en-US" w:eastAsia="zh-CN"/>
                    </w:rPr>
                    <w:t>77.5</w:t>
                  </w:r>
                  <w:r>
                    <w:rPr>
                      <w:color w:val="auto"/>
                      <w:sz w:val="21"/>
                      <w:szCs w:val="21"/>
                    </w:rPr>
                    <w:t>%</w:t>
                  </w:r>
                </w:p>
              </w:tc>
              <w:tc>
                <w:tcPr>
                  <w:tcW w:w="629" w:type="pct"/>
                  <w:tcBorders>
                    <w:tl2br w:val="nil"/>
                    <w:tr2bl w:val="nil"/>
                  </w:tcBorders>
                  <w:noWrap w:val="0"/>
                  <w:vAlign w:val="center"/>
                </w:tcPr>
                <w:p w14:paraId="49C3C276">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达标</w:t>
                  </w:r>
                </w:p>
              </w:tc>
            </w:tr>
            <w:tr w14:paraId="3AC47F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noWrap w:val="0"/>
                  <w:vAlign w:val="center"/>
                </w:tcPr>
                <w:p w14:paraId="7C711A3B">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CO</w:t>
                  </w:r>
                </w:p>
              </w:tc>
              <w:tc>
                <w:tcPr>
                  <w:tcW w:w="1529" w:type="pct"/>
                  <w:tcBorders>
                    <w:tl2br w:val="nil"/>
                    <w:tr2bl w:val="nil"/>
                  </w:tcBorders>
                  <w:noWrap w:val="0"/>
                  <w:vAlign w:val="center"/>
                </w:tcPr>
                <w:p w14:paraId="0437D11B">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24小时平均第95百分位浓度</w:t>
                  </w:r>
                </w:p>
              </w:tc>
              <w:tc>
                <w:tcPr>
                  <w:tcW w:w="782" w:type="pct"/>
                  <w:tcBorders>
                    <w:tl2br w:val="nil"/>
                    <w:tr2bl w:val="nil"/>
                  </w:tcBorders>
                  <w:noWrap w:val="0"/>
                  <w:vAlign w:val="center"/>
                </w:tcPr>
                <w:p w14:paraId="61862197">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z w:val="21"/>
                      <w:szCs w:val="21"/>
                      <w:lang w:val="en-US" w:eastAsia="zh-CN"/>
                    </w:rPr>
                  </w:pPr>
                  <w:r>
                    <w:rPr>
                      <w:rFonts w:hint="eastAsia"/>
                      <w:color w:val="auto"/>
                      <w:sz w:val="21"/>
                      <w:szCs w:val="21"/>
                      <w:lang w:val="en-US" w:eastAsia="zh-CN"/>
                    </w:rPr>
                    <w:t>1100</w:t>
                  </w:r>
                </w:p>
              </w:tc>
              <w:tc>
                <w:tcPr>
                  <w:tcW w:w="747" w:type="pct"/>
                  <w:tcBorders>
                    <w:tl2br w:val="nil"/>
                    <w:tr2bl w:val="nil"/>
                  </w:tcBorders>
                  <w:noWrap w:val="0"/>
                  <w:vAlign w:val="center"/>
                </w:tcPr>
                <w:p w14:paraId="33E65FED">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4000</w:t>
                  </w:r>
                </w:p>
              </w:tc>
              <w:tc>
                <w:tcPr>
                  <w:tcW w:w="718" w:type="pct"/>
                  <w:tcBorders>
                    <w:tl2br w:val="nil"/>
                    <w:tr2bl w:val="nil"/>
                  </w:tcBorders>
                  <w:noWrap w:val="0"/>
                  <w:vAlign w:val="center"/>
                </w:tcPr>
                <w:p w14:paraId="71CAA013">
                  <w:pPr>
                    <w:keepNext w:val="0"/>
                    <w:keepLines w:val="0"/>
                    <w:pageBreakBefore w:val="0"/>
                    <w:widowControl/>
                    <w:kinsoku/>
                    <w:wordWrap/>
                    <w:overflowPunct/>
                    <w:topLinePunct w:val="0"/>
                    <w:autoSpaceDE/>
                    <w:autoSpaceDN/>
                    <w:bidi w:val="0"/>
                    <w:adjustRightInd/>
                    <w:snapToGrid/>
                    <w:spacing w:line="240" w:lineRule="auto"/>
                    <w:jc w:val="center"/>
                    <w:textAlignment w:val="center"/>
                    <w:rPr>
                      <w:color w:val="auto"/>
                      <w:sz w:val="21"/>
                      <w:szCs w:val="21"/>
                    </w:rPr>
                  </w:pPr>
                  <w:r>
                    <w:rPr>
                      <w:rFonts w:hint="eastAsia"/>
                      <w:color w:val="auto"/>
                      <w:sz w:val="21"/>
                      <w:szCs w:val="21"/>
                      <w:lang w:val="en-US" w:eastAsia="zh-CN"/>
                    </w:rPr>
                    <w:t>27</w:t>
                  </w:r>
                  <w:r>
                    <w:rPr>
                      <w:color w:val="auto"/>
                      <w:sz w:val="21"/>
                      <w:szCs w:val="21"/>
                    </w:rPr>
                    <w:t>.5%</w:t>
                  </w:r>
                </w:p>
              </w:tc>
              <w:tc>
                <w:tcPr>
                  <w:tcW w:w="629" w:type="pct"/>
                  <w:tcBorders>
                    <w:tl2br w:val="nil"/>
                    <w:tr2bl w:val="nil"/>
                  </w:tcBorders>
                  <w:noWrap w:val="0"/>
                  <w:vAlign w:val="center"/>
                </w:tcPr>
                <w:p w14:paraId="6FD15C00">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达标</w:t>
                  </w:r>
                </w:p>
              </w:tc>
            </w:tr>
            <w:tr w14:paraId="5FAD81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noWrap w:val="0"/>
                  <w:vAlign w:val="center"/>
                </w:tcPr>
                <w:p w14:paraId="6F07A153">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O</w:t>
                  </w:r>
                  <w:r>
                    <w:rPr>
                      <w:color w:val="auto"/>
                      <w:sz w:val="21"/>
                      <w:szCs w:val="21"/>
                      <w:vertAlign w:val="subscript"/>
                    </w:rPr>
                    <w:t>3</w:t>
                  </w:r>
                </w:p>
              </w:tc>
              <w:tc>
                <w:tcPr>
                  <w:tcW w:w="1529" w:type="pct"/>
                  <w:tcBorders>
                    <w:tl2br w:val="nil"/>
                    <w:tr2bl w:val="nil"/>
                  </w:tcBorders>
                  <w:noWrap w:val="0"/>
                  <w:vAlign w:val="center"/>
                </w:tcPr>
                <w:p w14:paraId="4DB67797">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日最大8小时平均第90百分位浓度</w:t>
                  </w:r>
                </w:p>
              </w:tc>
              <w:tc>
                <w:tcPr>
                  <w:tcW w:w="782" w:type="pct"/>
                  <w:tcBorders>
                    <w:tl2br w:val="nil"/>
                    <w:tr2bl w:val="nil"/>
                  </w:tcBorders>
                  <w:noWrap w:val="0"/>
                  <w:vAlign w:val="center"/>
                </w:tcPr>
                <w:p w14:paraId="6B092496">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z w:val="21"/>
                      <w:szCs w:val="21"/>
                      <w:lang w:val="en-US" w:eastAsia="zh-CN"/>
                    </w:rPr>
                  </w:pPr>
                  <w:r>
                    <w:rPr>
                      <w:rFonts w:hint="eastAsia"/>
                      <w:color w:val="auto"/>
                      <w:sz w:val="21"/>
                      <w:szCs w:val="21"/>
                      <w:lang w:val="en-US" w:eastAsia="zh-CN"/>
                    </w:rPr>
                    <w:t>168</w:t>
                  </w:r>
                </w:p>
              </w:tc>
              <w:tc>
                <w:tcPr>
                  <w:tcW w:w="747" w:type="pct"/>
                  <w:tcBorders>
                    <w:tl2br w:val="nil"/>
                    <w:tr2bl w:val="nil"/>
                  </w:tcBorders>
                  <w:noWrap w:val="0"/>
                  <w:vAlign w:val="center"/>
                </w:tcPr>
                <w:p w14:paraId="51E0A472">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160</w:t>
                  </w:r>
                </w:p>
              </w:tc>
              <w:tc>
                <w:tcPr>
                  <w:tcW w:w="718" w:type="pct"/>
                  <w:tcBorders>
                    <w:tl2br w:val="nil"/>
                    <w:tr2bl w:val="nil"/>
                  </w:tcBorders>
                  <w:noWrap w:val="0"/>
                  <w:vAlign w:val="center"/>
                </w:tcPr>
                <w:p w14:paraId="4BC3CD13">
                  <w:pPr>
                    <w:keepNext w:val="0"/>
                    <w:keepLines w:val="0"/>
                    <w:pageBreakBefore w:val="0"/>
                    <w:widowControl/>
                    <w:kinsoku/>
                    <w:wordWrap/>
                    <w:overflowPunct/>
                    <w:topLinePunct w:val="0"/>
                    <w:autoSpaceDE/>
                    <w:autoSpaceDN/>
                    <w:bidi w:val="0"/>
                    <w:adjustRightInd/>
                    <w:snapToGrid/>
                    <w:spacing w:line="240" w:lineRule="auto"/>
                    <w:jc w:val="center"/>
                    <w:textAlignment w:val="center"/>
                    <w:rPr>
                      <w:color w:val="auto"/>
                      <w:sz w:val="21"/>
                      <w:szCs w:val="21"/>
                    </w:rPr>
                  </w:pPr>
                  <w:r>
                    <w:rPr>
                      <w:color w:val="auto"/>
                      <w:sz w:val="21"/>
                      <w:szCs w:val="21"/>
                    </w:rPr>
                    <w:t>10</w:t>
                  </w:r>
                  <w:r>
                    <w:rPr>
                      <w:rFonts w:hint="eastAsia"/>
                      <w:color w:val="auto"/>
                      <w:sz w:val="21"/>
                      <w:szCs w:val="21"/>
                      <w:lang w:val="en-US" w:eastAsia="zh-CN"/>
                    </w:rPr>
                    <w:t>5</w:t>
                  </w:r>
                  <w:r>
                    <w:rPr>
                      <w:color w:val="auto"/>
                      <w:sz w:val="21"/>
                      <w:szCs w:val="21"/>
                    </w:rPr>
                    <w:t>%</w:t>
                  </w:r>
                </w:p>
              </w:tc>
              <w:tc>
                <w:tcPr>
                  <w:tcW w:w="629" w:type="pct"/>
                  <w:tcBorders>
                    <w:tl2br w:val="nil"/>
                    <w:tr2bl w:val="nil"/>
                  </w:tcBorders>
                  <w:noWrap w:val="0"/>
                  <w:vAlign w:val="center"/>
                </w:tcPr>
                <w:p w14:paraId="6E75A2AA">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不达标</w:t>
                  </w:r>
                </w:p>
              </w:tc>
            </w:tr>
            <w:tr w14:paraId="022F8B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noWrap w:val="0"/>
                  <w:vAlign w:val="center"/>
                </w:tcPr>
                <w:p w14:paraId="7DF17B72">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PM</w:t>
                  </w:r>
                  <w:r>
                    <w:rPr>
                      <w:color w:val="auto"/>
                      <w:sz w:val="21"/>
                      <w:szCs w:val="21"/>
                      <w:vertAlign w:val="subscript"/>
                    </w:rPr>
                    <w:t>10</w:t>
                  </w:r>
                </w:p>
              </w:tc>
              <w:tc>
                <w:tcPr>
                  <w:tcW w:w="1529" w:type="pct"/>
                  <w:tcBorders>
                    <w:tl2br w:val="nil"/>
                    <w:tr2bl w:val="nil"/>
                  </w:tcBorders>
                  <w:noWrap w:val="0"/>
                  <w:vAlign w:val="center"/>
                </w:tcPr>
                <w:p w14:paraId="6EDAFD71">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年平均质量浓度</w:t>
                  </w:r>
                </w:p>
              </w:tc>
              <w:tc>
                <w:tcPr>
                  <w:tcW w:w="782" w:type="pct"/>
                  <w:tcBorders>
                    <w:tl2br w:val="nil"/>
                    <w:tr2bl w:val="nil"/>
                  </w:tcBorders>
                  <w:noWrap w:val="0"/>
                  <w:vAlign w:val="center"/>
                </w:tcPr>
                <w:p w14:paraId="396DA15C">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z w:val="21"/>
                      <w:szCs w:val="21"/>
                      <w:lang w:val="en-US" w:eastAsia="zh-CN"/>
                    </w:rPr>
                  </w:pPr>
                  <w:r>
                    <w:rPr>
                      <w:rFonts w:hint="eastAsia"/>
                      <w:color w:val="auto"/>
                      <w:sz w:val="21"/>
                      <w:szCs w:val="21"/>
                      <w:lang w:val="en-US" w:eastAsia="zh-CN"/>
                    </w:rPr>
                    <w:t>74</w:t>
                  </w:r>
                </w:p>
              </w:tc>
              <w:tc>
                <w:tcPr>
                  <w:tcW w:w="747" w:type="pct"/>
                  <w:tcBorders>
                    <w:tl2br w:val="nil"/>
                    <w:tr2bl w:val="nil"/>
                  </w:tcBorders>
                  <w:noWrap w:val="0"/>
                  <w:vAlign w:val="center"/>
                </w:tcPr>
                <w:p w14:paraId="4B82958D">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70</w:t>
                  </w:r>
                </w:p>
              </w:tc>
              <w:tc>
                <w:tcPr>
                  <w:tcW w:w="718" w:type="pct"/>
                  <w:tcBorders>
                    <w:tl2br w:val="nil"/>
                    <w:tr2bl w:val="nil"/>
                  </w:tcBorders>
                  <w:noWrap w:val="0"/>
                  <w:vAlign w:val="center"/>
                </w:tcPr>
                <w:p w14:paraId="619BEDFB">
                  <w:pPr>
                    <w:keepNext w:val="0"/>
                    <w:keepLines w:val="0"/>
                    <w:pageBreakBefore w:val="0"/>
                    <w:widowControl/>
                    <w:kinsoku/>
                    <w:wordWrap/>
                    <w:overflowPunct/>
                    <w:topLinePunct w:val="0"/>
                    <w:autoSpaceDE/>
                    <w:autoSpaceDN/>
                    <w:bidi w:val="0"/>
                    <w:adjustRightInd/>
                    <w:snapToGrid/>
                    <w:spacing w:line="240" w:lineRule="auto"/>
                    <w:jc w:val="center"/>
                    <w:textAlignment w:val="center"/>
                    <w:rPr>
                      <w:color w:val="auto"/>
                      <w:sz w:val="21"/>
                      <w:szCs w:val="21"/>
                    </w:rPr>
                  </w:pPr>
                  <w:r>
                    <w:rPr>
                      <w:color w:val="auto"/>
                      <w:sz w:val="21"/>
                      <w:szCs w:val="21"/>
                    </w:rPr>
                    <w:t>1</w:t>
                  </w:r>
                  <w:r>
                    <w:rPr>
                      <w:rFonts w:hint="eastAsia"/>
                      <w:color w:val="auto"/>
                      <w:sz w:val="21"/>
                      <w:szCs w:val="21"/>
                      <w:lang w:val="en-US" w:eastAsia="zh-CN"/>
                    </w:rPr>
                    <w:t>05.71</w:t>
                  </w:r>
                  <w:r>
                    <w:rPr>
                      <w:color w:val="auto"/>
                      <w:sz w:val="21"/>
                      <w:szCs w:val="21"/>
                    </w:rPr>
                    <w:t>%</w:t>
                  </w:r>
                </w:p>
              </w:tc>
              <w:tc>
                <w:tcPr>
                  <w:tcW w:w="629" w:type="pct"/>
                  <w:tcBorders>
                    <w:tl2br w:val="nil"/>
                    <w:tr2bl w:val="nil"/>
                  </w:tcBorders>
                  <w:noWrap w:val="0"/>
                  <w:vAlign w:val="center"/>
                </w:tcPr>
                <w:p w14:paraId="5E09C4E3">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不达标</w:t>
                  </w:r>
                </w:p>
              </w:tc>
            </w:tr>
            <w:tr w14:paraId="5CBC2E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3" w:type="pct"/>
                  <w:tcBorders>
                    <w:tl2br w:val="nil"/>
                    <w:tr2bl w:val="nil"/>
                  </w:tcBorders>
                  <w:noWrap w:val="0"/>
                  <w:vAlign w:val="center"/>
                </w:tcPr>
                <w:p w14:paraId="2CB2F8E4">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PM</w:t>
                  </w:r>
                  <w:r>
                    <w:rPr>
                      <w:color w:val="auto"/>
                      <w:sz w:val="21"/>
                      <w:szCs w:val="21"/>
                      <w:vertAlign w:val="subscript"/>
                    </w:rPr>
                    <w:t>2.5</w:t>
                  </w:r>
                </w:p>
              </w:tc>
              <w:tc>
                <w:tcPr>
                  <w:tcW w:w="1529" w:type="pct"/>
                  <w:tcBorders>
                    <w:tl2br w:val="nil"/>
                    <w:tr2bl w:val="nil"/>
                  </w:tcBorders>
                  <w:noWrap w:val="0"/>
                  <w:vAlign w:val="center"/>
                </w:tcPr>
                <w:p w14:paraId="67397D9D">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年平均质量浓度</w:t>
                  </w:r>
                </w:p>
              </w:tc>
              <w:tc>
                <w:tcPr>
                  <w:tcW w:w="782" w:type="pct"/>
                  <w:tcBorders>
                    <w:tl2br w:val="nil"/>
                    <w:tr2bl w:val="nil"/>
                  </w:tcBorders>
                  <w:noWrap w:val="0"/>
                  <w:vAlign w:val="center"/>
                </w:tcPr>
                <w:p w14:paraId="186A1DE2">
                  <w:pPr>
                    <w:keepNext w:val="0"/>
                    <w:keepLines w:val="0"/>
                    <w:pageBreakBefore w:val="0"/>
                    <w:kinsoku/>
                    <w:wordWrap/>
                    <w:overflowPunct/>
                    <w:topLinePunct w:val="0"/>
                    <w:autoSpaceDE/>
                    <w:autoSpaceDN/>
                    <w:bidi w:val="0"/>
                    <w:adjustRightInd/>
                    <w:snapToGrid/>
                    <w:spacing w:line="240" w:lineRule="auto"/>
                    <w:jc w:val="center"/>
                    <w:rPr>
                      <w:rFonts w:hint="default" w:eastAsia="宋体"/>
                      <w:color w:val="auto"/>
                      <w:sz w:val="21"/>
                      <w:szCs w:val="21"/>
                      <w:lang w:val="en-US" w:eastAsia="zh-CN"/>
                    </w:rPr>
                  </w:pPr>
                  <w:r>
                    <w:rPr>
                      <w:rFonts w:hint="eastAsia"/>
                      <w:color w:val="auto"/>
                      <w:sz w:val="21"/>
                      <w:szCs w:val="21"/>
                      <w:lang w:val="en-US" w:eastAsia="zh-CN"/>
                    </w:rPr>
                    <w:t>43</w:t>
                  </w:r>
                </w:p>
              </w:tc>
              <w:tc>
                <w:tcPr>
                  <w:tcW w:w="747" w:type="pct"/>
                  <w:tcBorders>
                    <w:tl2br w:val="nil"/>
                    <w:tr2bl w:val="nil"/>
                  </w:tcBorders>
                  <w:noWrap w:val="0"/>
                  <w:vAlign w:val="center"/>
                </w:tcPr>
                <w:p w14:paraId="7D114C11">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35</w:t>
                  </w:r>
                </w:p>
              </w:tc>
              <w:tc>
                <w:tcPr>
                  <w:tcW w:w="718" w:type="pct"/>
                  <w:tcBorders>
                    <w:tl2br w:val="nil"/>
                    <w:tr2bl w:val="nil"/>
                  </w:tcBorders>
                  <w:noWrap w:val="0"/>
                  <w:vAlign w:val="center"/>
                </w:tcPr>
                <w:p w14:paraId="746471DE">
                  <w:pPr>
                    <w:keepNext w:val="0"/>
                    <w:keepLines w:val="0"/>
                    <w:pageBreakBefore w:val="0"/>
                    <w:widowControl/>
                    <w:kinsoku/>
                    <w:wordWrap/>
                    <w:overflowPunct/>
                    <w:topLinePunct w:val="0"/>
                    <w:autoSpaceDE/>
                    <w:autoSpaceDN/>
                    <w:bidi w:val="0"/>
                    <w:adjustRightInd/>
                    <w:snapToGrid/>
                    <w:spacing w:line="240" w:lineRule="auto"/>
                    <w:jc w:val="center"/>
                    <w:textAlignment w:val="center"/>
                    <w:rPr>
                      <w:color w:val="auto"/>
                      <w:sz w:val="21"/>
                      <w:szCs w:val="21"/>
                    </w:rPr>
                  </w:pPr>
                  <w:r>
                    <w:rPr>
                      <w:rFonts w:hint="eastAsia"/>
                      <w:color w:val="auto"/>
                      <w:sz w:val="21"/>
                      <w:szCs w:val="21"/>
                      <w:lang w:val="en-US" w:eastAsia="zh-CN"/>
                    </w:rPr>
                    <w:t>122.86</w:t>
                  </w:r>
                  <w:r>
                    <w:rPr>
                      <w:color w:val="auto"/>
                      <w:sz w:val="21"/>
                      <w:szCs w:val="21"/>
                    </w:rPr>
                    <w:t>%</w:t>
                  </w:r>
                </w:p>
              </w:tc>
              <w:tc>
                <w:tcPr>
                  <w:tcW w:w="629" w:type="pct"/>
                  <w:tcBorders>
                    <w:tl2br w:val="nil"/>
                    <w:tr2bl w:val="nil"/>
                  </w:tcBorders>
                  <w:noWrap w:val="0"/>
                  <w:vAlign w:val="center"/>
                </w:tcPr>
                <w:p w14:paraId="1C6A68F5">
                  <w:pPr>
                    <w:keepNext w:val="0"/>
                    <w:keepLines w:val="0"/>
                    <w:pageBreakBefore w:val="0"/>
                    <w:kinsoku/>
                    <w:wordWrap/>
                    <w:overflowPunct/>
                    <w:topLinePunct w:val="0"/>
                    <w:autoSpaceDE/>
                    <w:autoSpaceDN/>
                    <w:bidi w:val="0"/>
                    <w:adjustRightInd/>
                    <w:snapToGrid/>
                    <w:spacing w:line="240" w:lineRule="auto"/>
                    <w:jc w:val="center"/>
                    <w:rPr>
                      <w:color w:val="auto"/>
                      <w:sz w:val="21"/>
                      <w:szCs w:val="21"/>
                    </w:rPr>
                  </w:pPr>
                  <w:r>
                    <w:rPr>
                      <w:color w:val="auto"/>
                      <w:sz w:val="21"/>
                      <w:szCs w:val="21"/>
                    </w:rPr>
                    <w:t>不达标</w:t>
                  </w:r>
                </w:p>
              </w:tc>
            </w:tr>
          </w:tbl>
          <w:p w14:paraId="159CF118">
            <w:pPr>
              <w:adjustRightInd w:val="0"/>
              <w:snapToGrid w:val="0"/>
              <w:spacing w:line="360" w:lineRule="auto"/>
              <w:ind w:firstLine="480" w:firstLineChars="200"/>
              <w:rPr>
                <w:rFonts w:hAnsi="宋体"/>
                <w:color w:val="auto"/>
                <w:sz w:val="24"/>
                <w:szCs w:val="24"/>
              </w:rPr>
            </w:pPr>
            <w:r>
              <w:rPr>
                <w:color w:val="auto"/>
                <w:sz w:val="24"/>
                <w:szCs w:val="24"/>
              </w:rPr>
              <w:t>由</w:t>
            </w:r>
            <w:r>
              <w:rPr>
                <w:rFonts w:hint="eastAsia"/>
                <w:color w:val="auto"/>
                <w:sz w:val="24"/>
                <w:szCs w:val="24"/>
              </w:rPr>
              <w:t>表中数据可知</w:t>
            </w:r>
            <w:r>
              <w:rPr>
                <w:color w:val="auto"/>
                <w:sz w:val="24"/>
                <w:szCs w:val="24"/>
              </w:rPr>
              <w:t>，项目所在区域SO</w:t>
            </w:r>
            <w:r>
              <w:rPr>
                <w:color w:val="auto"/>
                <w:sz w:val="24"/>
                <w:szCs w:val="24"/>
                <w:vertAlign w:val="subscript"/>
              </w:rPr>
              <w:t>2</w:t>
            </w:r>
            <w:r>
              <w:rPr>
                <w:color w:val="auto"/>
                <w:sz w:val="24"/>
                <w:szCs w:val="24"/>
              </w:rPr>
              <w:t>年平均质量浓度</w:t>
            </w:r>
            <w:r>
              <w:rPr>
                <w:rFonts w:hint="eastAsia"/>
                <w:color w:val="auto"/>
                <w:sz w:val="24"/>
                <w:szCs w:val="24"/>
              </w:rPr>
              <w:t>、N</w:t>
            </w:r>
            <w:r>
              <w:rPr>
                <w:color w:val="auto"/>
                <w:sz w:val="24"/>
                <w:szCs w:val="24"/>
              </w:rPr>
              <w:t>O</w:t>
            </w:r>
            <w:r>
              <w:rPr>
                <w:color w:val="auto"/>
                <w:sz w:val="24"/>
                <w:szCs w:val="24"/>
                <w:vertAlign w:val="subscript"/>
              </w:rPr>
              <w:t>2</w:t>
            </w:r>
            <w:r>
              <w:rPr>
                <w:color w:val="auto"/>
                <w:sz w:val="24"/>
                <w:szCs w:val="24"/>
              </w:rPr>
              <w:t>年平均质量浓度</w:t>
            </w:r>
            <w:r>
              <w:rPr>
                <w:rFonts w:hint="eastAsia"/>
                <w:color w:val="auto"/>
                <w:sz w:val="24"/>
                <w:szCs w:val="24"/>
              </w:rPr>
              <w:t>以及</w:t>
            </w:r>
            <w:r>
              <w:rPr>
                <w:color w:val="auto"/>
                <w:sz w:val="24"/>
                <w:szCs w:val="24"/>
              </w:rPr>
              <w:t>CO</w:t>
            </w:r>
            <w:r>
              <w:rPr>
                <w:rFonts w:hint="eastAsia"/>
                <w:color w:val="auto"/>
                <w:sz w:val="24"/>
                <w:szCs w:val="24"/>
              </w:rPr>
              <w:t>24小时平均第95百分位浓度均</w:t>
            </w:r>
            <w:r>
              <w:rPr>
                <w:color w:val="auto"/>
                <w:sz w:val="24"/>
                <w:szCs w:val="24"/>
              </w:rPr>
              <w:t>满足《环境空气质量标准》（GB3095-2012）中二级标准，O</w:t>
            </w:r>
            <w:r>
              <w:rPr>
                <w:rFonts w:hint="eastAsia"/>
                <w:color w:val="auto"/>
                <w:sz w:val="24"/>
                <w:szCs w:val="24"/>
                <w:vertAlign w:val="subscript"/>
              </w:rPr>
              <w:t>3</w:t>
            </w:r>
            <w:r>
              <w:rPr>
                <w:rFonts w:hint="eastAsia"/>
                <w:color w:val="auto"/>
                <w:sz w:val="24"/>
                <w:szCs w:val="24"/>
              </w:rPr>
              <w:t>日最大8小时平均第90百分位浓度、PM</w:t>
            </w:r>
            <w:r>
              <w:rPr>
                <w:rFonts w:hint="eastAsia"/>
                <w:color w:val="auto"/>
                <w:sz w:val="24"/>
                <w:szCs w:val="24"/>
                <w:vertAlign w:val="subscript"/>
              </w:rPr>
              <w:t>2.5</w:t>
            </w:r>
            <w:r>
              <w:rPr>
                <w:rFonts w:hint="eastAsia"/>
                <w:color w:val="auto"/>
                <w:sz w:val="24"/>
                <w:szCs w:val="24"/>
              </w:rPr>
              <w:t>和PM</w:t>
            </w:r>
            <w:r>
              <w:rPr>
                <w:rFonts w:hint="eastAsia"/>
                <w:color w:val="auto"/>
                <w:sz w:val="24"/>
                <w:szCs w:val="24"/>
                <w:vertAlign w:val="subscript"/>
              </w:rPr>
              <w:t>10</w:t>
            </w:r>
            <w:r>
              <w:rPr>
                <w:color w:val="auto"/>
                <w:sz w:val="24"/>
                <w:szCs w:val="24"/>
              </w:rPr>
              <w:t>年平均质量浓度</w:t>
            </w:r>
            <w:r>
              <w:rPr>
                <w:rFonts w:hint="eastAsia"/>
                <w:color w:val="auto"/>
                <w:sz w:val="24"/>
                <w:szCs w:val="24"/>
              </w:rPr>
              <w:t>均不</w:t>
            </w:r>
            <w:r>
              <w:rPr>
                <w:color w:val="auto"/>
                <w:sz w:val="24"/>
                <w:szCs w:val="24"/>
              </w:rPr>
              <w:t>满足《环境空气质量标准》（GB3095-2012）中二级标准</w:t>
            </w:r>
            <w:r>
              <w:rPr>
                <w:rFonts w:hint="eastAsia"/>
                <w:color w:val="auto"/>
                <w:sz w:val="24"/>
                <w:szCs w:val="24"/>
              </w:rPr>
              <w:t>，所以</w:t>
            </w:r>
            <w:r>
              <w:rPr>
                <w:color w:val="auto"/>
                <w:sz w:val="24"/>
                <w:szCs w:val="24"/>
              </w:rPr>
              <w:t>本项目所在地属于环境空气</w:t>
            </w:r>
            <w:r>
              <w:rPr>
                <w:rFonts w:hint="eastAsia"/>
                <w:color w:val="auto"/>
                <w:sz w:val="24"/>
                <w:szCs w:val="24"/>
              </w:rPr>
              <w:t>不</w:t>
            </w:r>
            <w:r>
              <w:rPr>
                <w:color w:val="auto"/>
                <w:sz w:val="24"/>
                <w:szCs w:val="24"/>
              </w:rPr>
              <w:t>达标区</w:t>
            </w:r>
            <w:r>
              <w:rPr>
                <w:rFonts w:hAnsi="宋体"/>
                <w:color w:val="auto"/>
                <w:sz w:val="24"/>
                <w:szCs w:val="24"/>
              </w:rPr>
              <w:t>。</w:t>
            </w:r>
          </w:p>
          <w:p w14:paraId="02C60C4A">
            <w:pPr>
              <w:spacing w:line="360" w:lineRule="auto"/>
              <w:ind w:firstLine="480" w:firstLineChars="200"/>
              <w:rPr>
                <w:rFonts w:hint="eastAsia" w:eastAsia="宋体"/>
                <w:color w:val="auto"/>
                <w:sz w:val="24"/>
                <w:szCs w:val="32"/>
                <w:lang w:eastAsia="zh-CN"/>
              </w:rPr>
            </w:pPr>
            <w:r>
              <w:rPr>
                <w:rFonts w:hint="eastAsia"/>
                <w:color w:val="auto"/>
                <w:sz w:val="24"/>
                <w:szCs w:val="32"/>
                <w:lang w:eastAsia="zh-CN"/>
              </w:rPr>
              <w:t>（</w:t>
            </w:r>
            <w:r>
              <w:rPr>
                <w:rFonts w:hint="eastAsia"/>
                <w:color w:val="auto"/>
                <w:sz w:val="24"/>
                <w:szCs w:val="32"/>
                <w:lang w:val="en-US" w:eastAsia="zh-CN"/>
              </w:rPr>
              <w:t>2</w:t>
            </w:r>
            <w:r>
              <w:rPr>
                <w:rFonts w:hint="eastAsia"/>
                <w:color w:val="auto"/>
                <w:sz w:val="24"/>
                <w:szCs w:val="32"/>
                <w:lang w:eastAsia="zh-CN"/>
              </w:rPr>
              <w:t>）</w:t>
            </w:r>
            <w:r>
              <w:rPr>
                <w:bCs/>
                <w:color w:val="auto"/>
                <w:kern w:val="2"/>
                <w:sz w:val="24"/>
                <w:szCs w:val="24"/>
              </w:rPr>
              <w:t>特征污染物环境质量现状</w:t>
            </w:r>
          </w:p>
          <w:p w14:paraId="6E6DD0CF">
            <w:pPr>
              <w:spacing w:line="360" w:lineRule="auto"/>
              <w:ind w:firstLine="480" w:firstLineChars="200"/>
              <w:rPr>
                <w:rFonts w:hint="default" w:eastAsia="宋体"/>
                <w:bCs/>
                <w:color w:val="auto"/>
                <w:kern w:val="2"/>
                <w:sz w:val="24"/>
                <w:szCs w:val="24"/>
                <w:lang w:val="en-US" w:eastAsia="zh-CN"/>
              </w:rPr>
            </w:pPr>
            <w:r>
              <w:rPr>
                <w:color w:val="auto"/>
                <w:sz w:val="24"/>
                <w:szCs w:val="32"/>
              </w:rPr>
              <w:t>本项目产生的特征污染物主要为</w:t>
            </w:r>
            <w:r>
              <w:rPr>
                <w:rFonts w:hint="eastAsia"/>
                <w:color w:val="auto"/>
                <w:sz w:val="24"/>
                <w:szCs w:val="32"/>
              </w:rPr>
              <w:t>非甲烷总烃</w:t>
            </w:r>
            <w:r>
              <w:rPr>
                <w:rFonts w:hint="eastAsia"/>
                <w:color w:val="auto"/>
                <w:sz w:val="24"/>
                <w:szCs w:val="32"/>
                <w:lang w:eastAsia="zh-CN"/>
              </w:rPr>
              <w:t>、</w:t>
            </w:r>
            <w:r>
              <w:rPr>
                <w:rFonts w:hint="eastAsia"/>
                <w:color w:val="auto"/>
                <w:sz w:val="24"/>
                <w:szCs w:val="32"/>
                <w:lang w:val="en-US" w:eastAsia="zh-CN"/>
              </w:rPr>
              <w:t>沥青烟、苯并[a]芘和氯化氢。</w:t>
            </w:r>
            <w:r>
              <w:rPr>
                <w:rFonts w:hint="eastAsia"/>
                <w:bCs/>
                <w:color w:val="auto"/>
                <w:kern w:val="2"/>
                <w:sz w:val="24"/>
                <w:szCs w:val="24"/>
                <w:lang w:val="en-US" w:eastAsia="zh-CN"/>
              </w:rPr>
              <w:t>根据《环境影响评价技术导则 大气环境》（HJ2.2-2018）分级判据，确定本项目大气环境影响评价工作等级为三级，只调查项目所在区域环境质量达标情况。</w:t>
            </w:r>
            <w:r>
              <w:rPr>
                <w:rFonts w:hint="eastAsia"/>
                <w:color w:val="auto"/>
                <w:sz w:val="24"/>
                <w:szCs w:val="32"/>
              </w:rPr>
              <w:t>根据《建设项目环境影响报告表编制技术指南（污染影响类）（试行）》中</w:t>
            </w:r>
            <w:r>
              <w:rPr>
                <w:rFonts w:hint="eastAsia"/>
                <w:bCs/>
                <w:color w:val="auto"/>
                <w:kern w:val="2"/>
                <w:sz w:val="24"/>
                <w:szCs w:val="24"/>
                <w:lang w:val="en-US" w:eastAsia="zh-CN"/>
              </w:rPr>
              <w:t>“</w:t>
            </w:r>
            <w:r>
              <w:rPr>
                <w:rFonts w:ascii="宋体" w:hAnsi="宋体" w:eastAsia="宋体" w:cs="宋体"/>
                <w:color w:val="auto"/>
                <w:sz w:val="24"/>
                <w:szCs w:val="24"/>
              </w:rPr>
              <w:t>排放国家、地方环境空气质量标准中有标准限值要求的特征污染物时， 引用建设项目周边5千米范围内近3年的现有监测数据，无相关数据的选择当季主导风向下风向1个点位补充不少于3天的监测数据</w:t>
            </w:r>
            <w:r>
              <w:rPr>
                <w:rFonts w:hint="eastAsia"/>
                <w:bCs/>
                <w:color w:val="auto"/>
                <w:kern w:val="2"/>
                <w:sz w:val="24"/>
                <w:szCs w:val="24"/>
                <w:lang w:val="en-US" w:eastAsia="zh-CN"/>
              </w:rPr>
              <w:t>”。故本项目</w:t>
            </w:r>
            <w:r>
              <w:rPr>
                <w:rFonts w:hint="eastAsia"/>
                <w:color w:val="auto"/>
                <w:sz w:val="24"/>
                <w:szCs w:val="32"/>
              </w:rPr>
              <w:t>非甲烷总烃</w:t>
            </w:r>
            <w:r>
              <w:rPr>
                <w:rFonts w:hint="eastAsia"/>
                <w:color w:val="auto"/>
                <w:sz w:val="24"/>
                <w:szCs w:val="32"/>
                <w:lang w:val="en-US" w:eastAsia="zh-CN"/>
              </w:rPr>
              <w:t>和氯化氢</w:t>
            </w:r>
            <w:r>
              <w:rPr>
                <w:rFonts w:hint="eastAsia"/>
                <w:color w:val="auto"/>
                <w:sz w:val="24"/>
                <w:szCs w:val="32"/>
              </w:rPr>
              <w:t>引用</w:t>
            </w:r>
            <w:r>
              <w:rPr>
                <w:rFonts w:hint="eastAsia"/>
                <w:color w:val="auto"/>
                <w:sz w:val="24"/>
                <w:szCs w:val="32"/>
                <w:lang w:val="en-US" w:eastAsia="zh-CN"/>
              </w:rPr>
              <w:t>现有监测数据，对</w:t>
            </w:r>
            <w:r>
              <w:rPr>
                <w:rFonts w:hint="eastAsia" w:cs="Times New Roman"/>
                <w:color w:val="auto"/>
                <w:sz w:val="24"/>
                <w:szCs w:val="32"/>
                <w:lang w:val="en-US" w:eastAsia="zh-CN"/>
              </w:rPr>
              <w:t>苯并[a]芘</w:t>
            </w:r>
            <w:r>
              <w:rPr>
                <w:rFonts w:hint="eastAsia" w:ascii="Times New Roman" w:hAnsi="Times New Roman" w:eastAsia="宋体" w:cs="Times New Roman"/>
                <w:color w:val="auto"/>
                <w:sz w:val="24"/>
                <w:szCs w:val="32"/>
                <w:lang w:val="en-US" w:eastAsia="zh-CN"/>
              </w:rPr>
              <w:t>进行三天现状监测。</w:t>
            </w:r>
          </w:p>
          <w:p w14:paraId="06F99137">
            <w:pPr>
              <w:spacing w:line="360" w:lineRule="auto"/>
              <w:ind w:firstLine="480" w:firstLineChars="200"/>
              <w:rPr>
                <w:rFonts w:hint="default" w:ascii="Times New Roman" w:hAnsi="Times New Roman" w:eastAsia="宋体" w:cs="Times New Roman"/>
                <w:color w:val="auto"/>
                <w:sz w:val="24"/>
                <w:szCs w:val="32"/>
                <w:lang w:val="en-US" w:eastAsia="zh-CN"/>
              </w:rPr>
            </w:pPr>
            <w:r>
              <w:rPr>
                <w:rFonts w:hint="eastAsia"/>
                <w:bCs/>
                <w:color w:val="auto"/>
                <w:kern w:val="2"/>
                <w:sz w:val="24"/>
                <w:szCs w:val="24"/>
                <w:lang w:val="en-US" w:eastAsia="zh-CN"/>
              </w:rPr>
              <w:t>本项目</w:t>
            </w:r>
            <w:r>
              <w:rPr>
                <w:rFonts w:hint="eastAsia"/>
                <w:color w:val="auto"/>
                <w:sz w:val="24"/>
                <w:szCs w:val="32"/>
              </w:rPr>
              <w:t>非甲烷总烃</w:t>
            </w:r>
            <w:r>
              <w:rPr>
                <w:rFonts w:hint="eastAsia"/>
                <w:color w:val="auto"/>
                <w:sz w:val="24"/>
                <w:szCs w:val="32"/>
                <w:lang w:val="en-US" w:eastAsia="zh-CN"/>
              </w:rPr>
              <w:t>和氯化氢</w:t>
            </w:r>
            <w:r>
              <w:rPr>
                <w:rFonts w:hint="eastAsia"/>
                <w:color w:val="auto"/>
                <w:sz w:val="24"/>
                <w:szCs w:val="32"/>
              </w:rPr>
              <w:t>引用《</w:t>
            </w:r>
            <w:r>
              <w:rPr>
                <w:rFonts w:hint="eastAsia"/>
                <w:color w:val="auto"/>
                <w:sz w:val="24"/>
                <w:szCs w:val="32"/>
                <w:lang w:val="en-US" w:eastAsia="zh-CN"/>
              </w:rPr>
              <w:t>陕西晨杰环保科技有限公司实验室建设</w:t>
            </w:r>
            <w:r>
              <w:rPr>
                <w:rFonts w:hint="eastAsia"/>
                <w:color w:val="auto"/>
                <w:sz w:val="24"/>
                <w:szCs w:val="32"/>
              </w:rPr>
              <w:t>项目环境质量现状监测》</w:t>
            </w:r>
            <w:r>
              <w:rPr>
                <w:rFonts w:hint="eastAsia"/>
                <w:color w:val="auto"/>
                <w:sz w:val="24"/>
                <w:szCs w:val="32"/>
                <w:lang w:eastAsia="zh-CN"/>
              </w:rPr>
              <w:t>（</w:t>
            </w:r>
            <w:r>
              <w:rPr>
                <w:rFonts w:hint="eastAsia"/>
                <w:color w:val="auto"/>
                <w:sz w:val="24"/>
                <w:szCs w:val="32"/>
                <w:lang w:val="en-US" w:eastAsia="zh-CN"/>
              </w:rPr>
              <w:t>报告编号：KC2024HB04063</w:t>
            </w:r>
            <w:r>
              <w:rPr>
                <w:rFonts w:hint="eastAsia"/>
                <w:color w:val="auto"/>
                <w:sz w:val="24"/>
                <w:szCs w:val="32"/>
                <w:lang w:eastAsia="zh-CN"/>
              </w:rPr>
              <w:t>）</w:t>
            </w:r>
            <w:r>
              <w:rPr>
                <w:rFonts w:hint="eastAsia"/>
                <w:color w:val="auto"/>
                <w:sz w:val="24"/>
                <w:szCs w:val="32"/>
              </w:rPr>
              <w:t>数据（</w:t>
            </w:r>
            <w:r>
              <w:rPr>
                <w:color w:val="auto"/>
                <w:sz w:val="24"/>
                <w:szCs w:val="32"/>
              </w:rPr>
              <w:t>具体见附件</w:t>
            </w:r>
            <w:r>
              <w:rPr>
                <w:rFonts w:hint="eastAsia"/>
                <w:color w:val="auto"/>
                <w:sz w:val="24"/>
                <w:szCs w:val="32"/>
                <w:lang w:val="en-US" w:eastAsia="zh-CN"/>
              </w:rPr>
              <w:t>7</w:t>
            </w:r>
            <w:r>
              <w:rPr>
                <w:rFonts w:hint="eastAsia"/>
                <w:color w:val="auto"/>
                <w:sz w:val="24"/>
                <w:szCs w:val="32"/>
              </w:rPr>
              <w:t>），根据《建设项目环境影响报告表编制技术指南（污染影响类）（试行）》中“排放国家、地方环境空气质量标准中有标准限值要求的特征污染物时，引用建设项目周边5千米范围内近3年的现有监测数据”要求，</w:t>
            </w:r>
            <w:r>
              <w:rPr>
                <w:rFonts w:hint="eastAsia"/>
                <w:color w:val="auto"/>
                <w:sz w:val="24"/>
                <w:szCs w:val="32"/>
                <w:lang w:val="en-US" w:eastAsia="zh-CN"/>
              </w:rPr>
              <w:t>陕西晨杰环保科技有限公司实验室建设</w:t>
            </w:r>
            <w:r>
              <w:rPr>
                <w:rFonts w:hint="eastAsia"/>
                <w:color w:val="auto"/>
                <w:sz w:val="24"/>
                <w:szCs w:val="32"/>
              </w:rPr>
              <w:t>项目位于本项目西南方向</w:t>
            </w:r>
            <w:r>
              <w:rPr>
                <w:rFonts w:hint="eastAsia"/>
                <w:color w:val="auto"/>
                <w:sz w:val="24"/>
                <w:szCs w:val="32"/>
                <w:lang w:val="en-US" w:eastAsia="zh-CN"/>
              </w:rPr>
              <w:t>1.4</w:t>
            </w:r>
            <w:r>
              <w:rPr>
                <w:rFonts w:hint="eastAsia"/>
                <w:color w:val="auto"/>
                <w:sz w:val="24"/>
                <w:szCs w:val="32"/>
              </w:rPr>
              <w:t>km处，环境质量现状监测时间为202</w:t>
            </w:r>
            <w:r>
              <w:rPr>
                <w:rFonts w:hint="eastAsia"/>
                <w:color w:val="auto"/>
                <w:sz w:val="24"/>
                <w:szCs w:val="32"/>
                <w:lang w:val="en-US" w:eastAsia="zh-CN"/>
              </w:rPr>
              <w:t>4</w:t>
            </w:r>
            <w:r>
              <w:rPr>
                <w:rFonts w:hint="eastAsia"/>
                <w:color w:val="auto"/>
                <w:sz w:val="24"/>
                <w:szCs w:val="32"/>
              </w:rPr>
              <w:t>年</w:t>
            </w:r>
            <w:r>
              <w:rPr>
                <w:rFonts w:hint="eastAsia"/>
                <w:color w:val="auto"/>
                <w:sz w:val="24"/>
                <w:szCs w:val="32"/>
                <w:lang w:val="en-US" w:eastAsia="zh-CN"/>
              </w:rPr>
              <w:t>3</w:t>
            </w:r>
            <w:r>
              <w:rPr>
                <w:rFonts w:hint="eastAsia"/>
                <w:color w:val="auto"/>
                <w:sz w:val="24"/>
                <w:szCs w:val="32"/>
              </w:rPr>
              <w:t>月，符合引用监测数据要求。</w:t>
            </w:r>
            <w:r>
              <w:rPr>
                <w:rFonts w:hint="eastAsia" w:ascii="Times New Roman" w:hAnsi="Times New Roman" w:eastAsia="宋体" w:cs="Times New Roman"/>
                <w:color w:val="auto"/>
                <w:sz w:val="24"/>
                <w:szCs w:val="32"/>
                <w:lang w:val="en-US" w:eastAsia="zh-CN"/>
              </w:rPr>
              <w:t>因沥青烟</w:t>
            </w:r>
            <w:r>
              <w:rPr>
                <w:rFonts w:hint="eastAsia" w:ascii="Times New Roman" w:hAnsi="Times New Roman" w:eastAsia="宋体" w:cs="Times New Roman"/>
                <w:color w:val="auto"/>
                <w:sz w:val="24"/>
                <w:szCs w:val="32"/>
              </w:rPr>
              <w:t>无</w:t>
            </w:r>
            <w:r>
              <w:rPr>
                <w:rFonts w:hint="eastAsia" w:cs="Times New Roman"/>
                <w:color w:val="auto"/>
                <w:sz w:val="24"/>
                <w:szCs w:val="32"/>
                <w:lang w:val="en-US" w:eastAsia="zh-CN"/>
              </w:rPr>
              <w:t>环境空气质量标准</w:t>
            </w:r>
            <w:r>
              <w:rPr>
                <w:rFonts w:hint="eastAsia" w:ascii="Times New Roman" w:hAnsi="Times New Roman" w:eastAsia="宋体" w:cs="Times New Roman"/>
                <w:color w:val="auto"/>
                <w:sz w:val="24"/>
                <w:szCs w:val="32"/>
                <w:lang w:val="en-US" w:eastAsia="zh-CN"/>
              </w:rPr>
              <w:t>，故未进行监测。</w:t>
            </w:r>
          </w:p>
          <w:p w14:paraId="6782C77B">
            <w:pPr>
              <w:spacing w:line="360" w:lineRule="auto"/>
              <w:ind w:firstLine="480" w:firstLineChars="200"/>
              <w:rPr>
                <w:color w:val="auto"/>
                <w:sz w:val="24"/>
              </w:rPr>
            </w:pPr>
            <w:r>
              <w:rPr>
                <w:rFonts w:hint="eastAsia"/>
                <w:color w:val="auto"/>
                <w:sz w:val="24"/>
                <w:szCs w:val="32"/>
              </w:rPr>
              <w:t>①</w:t>
            </w:r>
            <w:r>
              <w:rPr>
                <w:color w:val="auto"/>
                <w:sz w:val="24"/>
              </w:rPr>
              <w:t>监测频次和监测点位</w:t>
            </w:r>
          </w:p>
          <w:p w14:paraId="53A29B4C">
            <w:pPr>
              <w:spacing w:line="360" w:lineRule="auto"/>
              <w:ind w:firstLine="480" w:firstLineChars="200"/>
              <w:rPr>
                <w:color w:val="auto"/>
                <w:sz w:val="24"/>
              </w:rPr>
            </w:pPr>
            <w:r>
              <w:rPr>
                <w:color w:val="auto"/>
                <w:sz w:val="24"/>
              </w:rPr>
              <w:t>监测频次：</w:t>
            </w:r>
            <w:r>
              <w:rPr>
                <w:rFonts w:hint="eastAsia"/>
                <w:color w:val="auto"/>
                <w:sz w:val="24"/>
                <w:szCs w:val="32"/>
              </w:rPr>
              <w:t>监测时间为</w:t>
            </w:r>
            <w:r>
              <w:rPr>
                <w:color w:val="auto"/>
                <w:sz w:val="24"/>
                <w:szCs w:val="32"/>
              </w:rPr>
              <w:t>202</w:t>
            </w:r>
            <w:r>
              <w:rPr>
                <w:rFonts w:hint="eastAsia"/>
                <w:color w:val="auto"/>
                <w:sz w:val="24"/>
                <w:szCs w:val="32"/>
                <w:lang w:val="en-US" w:eastAsia="zh-CN"/>
              </w:rPr>
              <w:t>4</w:t>
            </w:r>
            <w:r>
              <w:rPr>
                <w:rFonts w:hint="eastAsia"/>
                <w:color w:val="auto"/>
                <w:sz w:val="24"/>
                <w:szCs w:val="32"/>
              </w:rPr>
              <w:t>年</w:t>
            </w:r>
            <w:r>
              <w:rPr>
                <w:rFonts w:hint="eastAsia"/>
                <w:color w:val="auto"/>
                <w:sz w:val="24"/>
                <w:szCs w:val="32"/>
                <w:lang w:val="en-US" w:eastAsia="zh-CN"/>
              </w:rPr>
              <w:t>3</w:t>
            </w:r>
            <w:r>
              <w:rPr>
                <w:rFonts w:hint="eastAsia"/>
                <w:color w:val="auto"/>
                <w:sz w:val="24"/>
                <w:szCs w:val="32"/>
              </w:rPr>
              <w:t>月</w:t>
            </w:r>
            <w:r>
              <w:rPr>
                <w:rFonts w:hint="eastAsia"/>
                <w:color w:val="auto"/>
                <w:sz w:val="24"/>
                <w:szCs w:val="32"/>
                <w:lang w:val="en-US" w:eastAsia="zh-CN"/>
              </w:rPr>
              <w:t>27</w:t>
            </w:r>
            <w:r>
              <w:rPr>
                <w:rFonts w:hint="eastAsia"/>
                <w:color w:val="auto"/>
                <w:sz w:val="24"/>
                <w:szCs w:val="32"/>
              </w:rPr>
              <w:t>日至</w:t>
            </w:r>
            <w:r>
              <w:rPr>
                <w:rFonts w:hint="eastAsia"/>
                <w:color w:val="auto"/>
                <w:sz w:val="24"/>
                <w:szCs w:val="32"/>
                <w:lang w:val="en-US" w:eastAsia="zh-CN"/>
              </w:rPr>
              <w:t>3</w:t>
            </w:r>
            <w:r>
              <w:rPr>
                <w:rFonts w:hint="eastAsia"/>
                <w:color w:val="auto"/>
                <w:sz w:val="24"/>
                <w:szCs w:val="32"/>
              </w:rPr>
              <w:t>月</w:t>
            </w:r>
            <w:r>
              <w:rPr>
                <w:rFonts w:hint="eastAsia"/>
                <w:color w:val="auto"/>
                <w:sz w:val="24"/>
                <w:szCs w:val="32"/>
                <w:lang w:val="en-US" w:eastAsia="zh-CN"/>
              </w:rPr>
              <w:t>29</w:t>
            </w:r>
            <w:r>
              <w:rPr>
                <w:rFonts w:hint="eastAsia"/>
                <w:color w:val="auto"/>
                <w:sz w:val="24"/>
                <w:szCs w:val="32"/>
              </w:rPr>
              <w:t>日，连续监测</w:t>
            </w:r>
            <w:r>
              <w:rPr>
                <w:color w:val="auto"/>
                <w:sz w:val="24"/>
                <w:szCs w:val="32"/>
              </w:rPr>
              <w:t>3</w:t>
            </w:r>
            <w:r>
              <w:rPr>
                <w:rFonts w:hint="eastAsia"/>
                <w:color w:val="auto"/>
                <w:sz w:val="24"/>
                <w:szCs w:val="32"/>
              </w:rPr>
              <w:t>天</w:t>
            </w:r>
            <w:r>
              <w:rPr>
                <w:color w:val="auto"/>
                <w:sz w:val="24"/>
              </w:rPr>
              <w:t>。</w:t>
            </w:r>
          </w:p>
          <w:p w14:paraId="24DCEFC1">
            <w:pPr>
              <w:adjustRightInd w:val="0"/>
              <w:snapToGrid w:val="0"/>
              <w:spacing w:line="360" w:lineRule="auto"/>
              <w:ind w:firstLine="480" w:firstLineChars="200"/>
              <w:jc w:val="left"/>
              <w:rPr>
                <w:color w:val="auto"/>
                <w:sz w:val="24"/>
              </w:rPr>
            </w:pPr>
            <w:r>
              <w:rPr>
                <w:color w:val="auto"/>
                <w:sz w:val="24"/>
              </w:rPr>
              <w:t>监测点位：</w:t>
            </w:r>
            <w:r>
              <w:rPr>
                <w:rFonts w:hint="eastAsia"/>
                <w:color w:val="auto"/>
                <w:sz w:val="24"/>
                <w:szCs w:val="32"/>
                <w:lang w:val="en-US" w:eastAsia="zh-CN"/>
              </w:rPr>
              <w:t>陕西晨杰环保科技有限公司实验室建设</w:t>
            </w:r>
            <w:r>
              <w:rPr>
                <w:rFonts w:hint="eastAsia"/>
                <w:color w:val="auto"/>
                <w:sz w:val="24"/>
                <w:szCs w:val="32"/>
              </w:rPr>
              <w:t>项目</w:t>
            </w:r>
            <w:r>
              <w:rPr>
                <w:rFonts w:hint="eastAsia"/>
                <w:color w:val="auto"/>
                <w:sz w:val="24"/>
                <w:szCs w:val="32"/>
                <w:lang w:val="en-US" w:eastAsia="zh-CN"/>
              </w:rPr>
              <w:t>下风向</w:t>
            </w:r>
            <w:r>
              <w:rPr>
                <w:color w:val="auto"/>
                <w:sz w:val="24"/>
              </w:rPr>
              <w:t>。</w:t>
            </w:r>
          </w:p>
          <w:p w14:paraId="42409AFA">
            <w:pPr>
              <w:spacing w:line="360" w:lineRule="auto"/>
              <w:ind w:firstLine="480" w:firstLineChars="200"/>
              <w:rPr>
                <w:color w:val="auto"/>
                <w:sz w:val="24"/>
              </w:rPr>
            </w:pPr>
            <w:r>
              <w:rPr>
                <w:rFonts w:hint="eastAsia"/>
                <w:color w:val="auto"/>
                <w:sz w:val="24"/>
              </w:rPr>
              <w:t>②</w:t>
            </w:r>
            <w:r>
              <w:rPr>
                <w:color w:val="auto"/>
                <w:sz w:val="24"/>
              </w:rPr>
              <w:t>监测结果</w:t>
            </w:r>
          </w:p>
          <w:p w14:paraId="53FFBF52">
            <w:pPr>
              <w:spacing w:line="360" w:lineRule="auto"/>
              <w:ind w:firstLine="480" w:firstLineChars="200"/>
              <w:rPr>
                <w:color w:val="auto"/>
                <w:sz w:val="24"/>
              </w:rPr>
            </w:pPr>
            <w:r>
              <w:rPr>
                <w:color w:val="auto"/>
                <w:sz w:val="24"/>
              </w:rPr>
              <w:t>项目监测结果</w:t>
            </w:r>
            <w:r>
              <w:rPr>
                <w:rFonts w:hint="eastAsia"/>
                <w:color w:val="auto"/>
                <w:sz w:val="24"/>
              </w:rPr>
              <w:t>见</w:t>
            </w:r>
            <w:r>
              <w:rPr>
                <w:color w:val="auto"/>
                <w:sz w:val="24"/>
              </w:rPr>
              <w:t>表3-</w:t>
            </w:r>
            <w:r>
              <w:rPr>
                <w:rFonts w:hint="eastAsia"/>
                <w:color w:val="auto"/>
                <w:sz w:val="24"/>
              </w:rPr>
              <w:t>2</w:t>
            </w:r>
            <w:r>
              <w:rPr>
                <w:color w:val="auto"/>
                <w:sz w:val="24"/>
              </w:rPr>
              <w:t>。</w:t>
            </w:r>
          </w:p>
          <w:p w14:paraId="679F0ED4">
            <w:pPr>
              <w:widowControl/>
              <w:jc w:val="center"/>
              <w:rPr>
                <w:color w:val="auto"/>
                <w:sz w:val="24"/>
              </w:rPr>
            </w:pPr>
            <w:r>
              <w:rPr>
                <w:b/>
                <w:color w:val="auto"/>
                <w:sz w:val="24"/>
              </w:rPr>
              <w:t>表3-2  特征污染物监测结果一览表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1386"/>
              <w:gridCol w:w="1782"/>
              <w:gridCol w:w="785"/>
              <w:gridCol w:w="1723"/>
              <w:gridCol w:w="1217"/>
              <w:gridCol w:w="1078"/>
            </w:tblGrid>
            <w:tr w14:paraId="4A958D8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Align w:val="center"/>
                </w:tcPr>
                <w:p w14:paraId="1E99FD05">
                  <w:pPr>
                    <w:widowControl/>
                    <w:jc w:val="center"/>
                    <w:rPr>
                      <w:b/>
                      <w:bCs/>
                      <w:color w:val="auto"/>
                      <w:szCs w:val="21"/>
                    </w:rPr>
                  </w:pPr>
                  <w:r>
                    <w:rPr>
                      <w:b/>
                      <w:bCs/>
                      <w:color w:val="auto"/>
                      <w:szCs w:val="21"/>
                    </w:rPr>
                    <w:t>污染物</w:t>
                  </w:r>
                </w:p>
              </w:tc>
              <w:tc>
                <w:tcPr>
                  <w:tcW w:w="1117" w:type="pct"/>
                  <w:vAlign w:val="center"/>
                </w:tcPr>
                <w:p w14:paraId="6BE30120">
                  <w:pPr>
                    <w:widowControl/>
                    <w:jc w:val="center"/>
                    <w:rPr>
                      <w:b/>
                      <w:bCs/>
                      <w:color w:val="auto"/>
                      <w:szCs w:val="21"/>
                    </w:rPr>
                  </w:pPr>
                  <w:r>
                    <w:rPr>
                      <w:b/>
                      <w:bCs/>
                      <w:color w:val="auto"/>
                      <w:szCs w:val="21"/>
                    </w:rPr>
                    <w:t>采样日期</w:t>
                  </w:r>
                </w:p>
              </w:tc>
              <w:tc>
                <w:tcPr>
                  <w:tcW w:w="492" w:type="pct"/>
                  <w:vAlign w:val="center"/>
                </w:tcPr>
                <w:p w14:paraId="64978C0E">
                  <w:pPr>
                    <w:widowControl/>
                    <w:jc w:val="center"/>
                    <w:rPr>
                      <w:b/>
                      <w:bCs/>
                      <w:color w:val="auto"/>
                      <w:szCs w:val="21"/>
                    </w:rPr>
                  </w:pPr>
                  <w:r>
                    <w:rPr>
                      <w:b/>
                      <w:bCs/>
                      <w:color w:val="auto"/>
                      <w:szCs w:val="21"/>
                    </w:rPr>
                    <w:t>单位</w:t>
                  </w:r>
                </w:p>
              </w:tc>
              <w:tc>
                <w:tcPr>
                  <w:tcW w:w="1080" w:type="pct"/>
                  <w:vAlign w:val="center"/>
                </w:tcPr>
                <w:p w14:paraId="136ED18C">
                  <w:pPr>
                    <w:widowControl/>
                    <w:jc w:val="center"/>
                    <w:rPr>
                      <w:b/>
                      <w:bCs/>
                      <w:color w:val="auto"/>
                      <w:szCs w:val="21"/>
                    </w:rPr>
                  </w:pPr>
                  <w:r>
                    <w:rPr>
                      <w:rFonts w:hint="eastAsia"/>
                      <w:b/>
                      <w:bCs/>
                      <w:color w:val="auto"/>
                      <w:szCs w:val="21"/>
                    </w:rPr>
                    <w:t>监测</w:t>
                  </w:r>
                  <w:r>
                    <w:rPr>
                      <w:b/>
                      <w:bCs/>
                      <w:color w:val="auto"/>
                      <w:szCs w:val="21"/>
                    </w:rPr>
                    <w:t>结果</w:t>
                  </w:r>
                  <w:r>
                    <w:rPr>
                      <w:rFonts w:hint="eastAsia"/>
                      <w:b/>
                      <w:bCs/>
                      <w:color w:val="auto"/>
                      <w:szCs w:val="21"/>
                    </w:rPr>
                    <w:t>平均值</w:t>
                  </w:r>
                </w:p>
              </w:tc>
              <w:tc>
                <w:tcPr>
                  <w:tcW w:w="763" w:type="pct"/>
                  <w:vAlign w:val="center"/>
                </w:tcPr>
                <w:p w14:paraId="485F3444">
                  <w:pPr>
                    <w:widowControl/>
                    <w:jc w:val="center"/>
                    <w:rPr>
                      <w:b/>
                      <w:bCs/>
                      <w:color w:val="auto"/>
                      <w:szCs w:val="21"/>
                    </w:rPr>
                  </w:pPr>
                  <w:r>
                    <w:rPr>
                      <w:b/>
                      <w:bCs/>
                      <w:color w:val="auto"/>
                      <w:szCs w:val="21"/>
                    </w:rPr>
                    <w:t>标准</w:t>
                  </w:r>
                  <w:r>
                    <w:rPr>
                      <w:rFonts w:hint="eastAsia"/>
                      <w:b/>
                      <w:bCs/>
                      <w:color w:val="auto"/>
                      <w:szCs w:val="21"/>
                    </w:rPr>
                    <w:t>限</w:t>
                  </w:r>
                  <w:r>
                    <w:rPr>
                      <w:b/>
                      <w:bCs/>
                      <w:color w:val="auto"/>
                      <w:szCs w:val="21"/>
                    </w:rPr>
                    <w:t>值</w:t>
                  </w:r>
                </w:p>
              </w:tc>
              <w:tc>
                <w:tcPr>
                  <w:tcW w:w="676" w:type="pct"/>
                  <w:vAlign w:val="center"/>
                </w:tcPr>
                <w:p w14:paraId="51309AD9">
                  <w:pPr>
                    <w:widowControl/>
                    <w:jc w:val="center"/>
                    <w:rPr>
                      <w:b/>
                      <w:bCs/>
                      <w:color w:val="auto"/>
                      <w:szCs w:val="21"/>
                    </w:rPr>
                  </w:pPr>
                  <w:r>
                    <w:rPr>
                      <w:b/>
                      <w:bCs/>
                      <w:color w:val="auto"/>
                      <w:szCs w:val="21"/>
                    </w:rPr>
                    <w:t>达标情况</w:t>
                  </w:r>
                </w:p>
              </w:tc>
            </w:tr>
            <w:tr w14:paraId="7512067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restart"/>
                  <w:vAlign w:val="center"/>
                </w:tcPr>
                <w:p w14:paraId="6331543B">
                  <w:pPr>
                    <w:widowControl/>
                    <w:jc w:val="center"/>
                    <w:rPr>
                      <w:color w:val="auto"/>
                      <w:szCs w:val="21"/>
                    </w:rPr>
                  </w:pPr>
                  <w:r>
                    <w:rPr>
                      <w:rFonts w:hint="eastAsia"/>
                      <w:color w:val="auto"/>
                      <w:szCs w:val="21"/>
                    </w:rPr>
                    <w:t>非甲烷总烃</w:t>
                  </w:r>
                </w:p>
              </w:tc>
              <w:tc>
                <w:tcPr>
                  <w:tcW w:w="1117" w:type="pct"/>
                  <w:vAlign w:val="center"/>
                </w:tcPr>
                <w:p w14:paraId="7EE1152F">
                  <w:pPr>
                    <w:widowControl/>
                    <w:jc w:val="center"/>
                    <w:textAlignment w:val="center"/>
                    <w:rPr>
                      <w:rFonts w:hint="default" w:eastAsia="宋体"/>
                      <w:color w:val="auto"/>
                      <w:szCs w:val="21"/>
                      <w:lang w:val="en-US" w:eastAsia="zh-CN"/>
                    </w:rPr>
                  </w:pPr>
                  <w:r>
                    <w:rPr>
                      <w:rFonts w:hint="eastAsia"/>
                      <w:color w:val="auto"/>
                      <w:szCs w:val="21"/>
                      <w:lang w:val="en-US" w:eastAsia="zh-CN"/>
                    </w:rPr>
                    <w:t>3.27</w:t>
                  </w:r>
                </w:p>
              </w:tc>
              <w:tc>
                <w:tcPr>
                  <w:tcW w:w="492" w:type="pct"/>
                  <w:vMerge w:val="restart"/>
                  <w:vAlign w:val="center"/>
                </w:tcPr>
                <w:p w14:paraId="1908BB51">
                  <w:pPr>
                    <w:widowControl/>
                    <w:jc w:val="center"/>
                    <w:textAlignment w:val="center"/>
                    <w:rPr>
                      <w:color w:val="auto"/>
                      <w:szCs w:val="21"/>
                    </w:rPr>
                  </w:pPr>
                  <w:r>
                    <w:rPr>
                      <w:color w:val="auto"/>
                      <w:szCs w:val="21"/>
                    </w:rPr>
                    <w:t>mg/m³</w:t>
                  </w:r>
                </w:p>
              </w:tc>
              <w:tc>
                <w:tcPr>
                  <w:tcW w:w="1080" w:type="pct"/>
                  <w:vAlign w:val="center"/>
                </w:tcPr>
                <w:p w14:paraId="595F2D91">
                  <w:pPr>
                    <w:widowControl/>
                    <w:jc w:val="center"/>
                    <w:rPr>
                      <w:rFonts w:hint="default" w:eastAsia="宋体"/>
                      <w:color w:val="auto"/>
                      <w:szCs w:val="21"/>
                      <w:lang w:val="en-US" w:eastAsia="zh-CN"/>
                    </w:rPr>
                  </w:pPr>
                  <w:r>
                    <w:rPr>
                      <w:rFonts w:hint="eastAsia"/>
                      <w:color w:val="auto"/>
                      <w:szCs w:val="21"/>
                      <w:lang w:val="en-US" w:eastAsia="zh-CN"/>
                    </w:rPr>
                    <w:t>1.35</w:t>
                  </w:r>
                </w:p>
              </w:tc>
              <w:tc>
                <w:tcPr>
                  <w:tcW w:w="763" w:type="pct"/>
                  <w:vMerge w:val="restart"/>
                  <w:vAlign w:val="center"/>
                </w:tcPr>
                <w:p w14:paraId="211C6FF9">
                  <w:pPr>
                    <w:widowControl/>
                    <w:jc w:val="center"/>
                    <w:rPr>
                      <w:color w:val="auto"/>
                      <w:szCs w:val="21"/>
                    </w:rPr>
                  </w:pPr>
                  <w:r>
                    <w:rPr>
                      <w:rFonts w:hint="eastAsia"/>
                      <w:color w:val="auto"/>
                      <w:szCs w:val="21"/>
                    </w:rPr>
                    <w:t>2.0</w:t>
                  </w:r>
                </w:p>
              </w:tc>
              <w:tc>
                <w:tcPr>
                  <w:tcW w:w="676" w:type="pct"/>
                  <w:vMerge w:val="restart"/>
                  <w:vAlign w:val="center"/>
                </w:tcPr>
                <w:p w14:paraId="4516C683">
                  <w:pPr>
                    <w:widowControl/>
                    <w:jc w:val="center"/>
                    <w:rPr>
                      <w:color w:val="auto"/>
                      <w:szCs w:val="21"/>
                    </w:rPr>
                  </w:pPr>
                  <w:r>
                    <w:rPr>
                      <w:color w:val="auto"/>
                      <w:szCs w:val="21"/>
                    </w:rPr>
                    <w:t>达标</w:t>
                  </w:r>
                </w:p>
              </w:tc>
            </w:tr>
            <w:tr w14:paraId="698F84C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53009D3B">
                  <w:pPr>
                    <w:widowControl/>
                    <w:jc w:val="center"/>
                    <w:rPr>
                      <w:color w:val="auto"/>
                      <w:szCs w:val="21"/>
                    </w:rPr>
                  </w:pPr>
                </w:p>
              </w:tc>
              <w:tc>
                <w:tcPr>
                  <w:tcW w:w="1117" w:type="pct"/>
                  <w:vAlign w:val="center"/>
                </w:tcPr>
                <w:p w14:paraId="512AEEBE">
                  <w:pPr>
                    <w:widowControl/>
                    <w:jc w:val="center"/>
                    <w:textAlignment w:val="center"/>
                    <w:rPr>
                      <w:rFonts w:hint="default" w:eastAsia="宋体"/>
                      <w:color w:val="auto"/>
                      <w:szCs w:val="21"/>
                      <w:lang w:val="en-US" w:eastAsia="zh-CN"/>
                    </w:rPr>
                  </w:pPr>
                  <w:r>
                    <w:rPr>
                      <w:rFonts w:hint="eastAsia"/>
                      <w:color w:val="auto"/>
                      <w:szCs w:val="21"/>
                      <w:lang w:val="en-US" w:eastAsia="zh-CN"/>
                    </w:rPr>
                    <w:t>3.28</w:t>
                  </w:r>
                </w:p>
              </w:tc>
              <w:tc>
                <w:tcPr>
                  <w:tcW w:w="492" w:type="pct"/>
                  <w:vMerge w:val="continue"/>
                  <w:vAlign w:val="center"/>
                </w:tcPr>
                <w:p w14:paraId="208EDED5">
                  <w:pPr>
                    <w:widowControl/>
                    <w:jc w:val="center"/>
                    <w:textAlignment w:val="center"/>
                    <w:rPr>
                      <w:color w:val="auto"/>
                      <w:szCs w:val="21"/>
                    </w:rPr>
                  </w:pPr>
                </w:p>
              </w:tc>
              <w:tc>
                <w:tcPr>
                  <w:tcW w:w="1080" w:type="pct"/>
                  <w:vAlign w:val="center"/>
                </w:tcPr>
                <w:p w14:paraId="40F567A4">
                  <w:pPr>
                    <w:widowControl/>
                    <w:jc w:val="center"/>
                    <w:rPr>
                      <w:rFonts w:hint="default" w:eastAsia="宋体"/>
                      <w:color w:val="auto"/>
                      <w:szCs w:val="21"/>
                      <w:lang w:val="en-US" w:eastAsia="zh-CN"/>
                    </w:rPr>
                  </w:pPr>
                  <w:r>
                    <w:rPr>
                      <w:rFonts w:hint="eastAsia"/>
                      <w:color w:val="auto"/>
                      <w:szCs w:val="21"/>
                      <w:lang w:val="en-US" w:eastAsia="zh-CN"/>
                    </w:rPr>
                    <w:t>1.32</w:t>
                  </w:r>
                </w:p>
              </w:tc>
              <w:tc>
                <w:tcPr>
                  <w:tcW w:w="763" w:type="pct"/>
                  <w:vMerge w:val="continue"/>
                  <w:vAlign w:val="center"/>
                </w:tcPr>
                <w:p w14:paraId="6A2902F2">
                  <w:pPr>
                    <w:widowControl/>
                    <w:jc w:val="center"/>
                    <w:rPr>
                      <w:color w:val="auto"/>
                      <w:szCs w:val="21"/>
                    </w:rPr>
                  </w:pPr>
                </w:p>
              </w:tc>
              <w:tc>
                <w:tcPr>
                  <w:tcW w:w="676" w:type="pct"/>
                  <w:vMerge w:val="continue"/>
                  <w:vAlign w:val="center"/>
                </w:tcPr>
                <w:p w14:paraId="759E9BAB">
                  <w:pPr>
                    <w:widowControl/>
                    <w:jc w:val="center"/>
                    <w:rPr>
                      <w:color w:val="auto"/>
                      <w:szCs w:val="21"/>
                    </w:rPr>
                  </w:pPr>
                </w:p>
              </w:tc>
            </w:tr>
            <w:tr w14:paraId="2A1BA96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2F9CB7EA">
                  <w:pPr>
                    <w:widowControl/>
                    <w:jc w:val="center"/>
                    <w:rPr>
                      <w:color w:val="auto"/>
                      <w:szCs w:val="21"/>
                    </w:rPr>
                  </w:pPr>
                </w:p>
              </w:tc>
              <w:tc>
                <w:tcPr>
                  <w:tcW w:w="1117" w:type="pct"/>
                  <w:vAlign w:val="center"/>
                </w:tcPr>
                <w:p w14:paraId="0C9F1A3E">
                  <w:pPr>
                    <w:widowControl/>
                    <w:jc w:val="center"/>
                    <w:textAlignment w:val="center"/>
                    <w:rPr>
                      <w:rFonts w:hint="default" w:eastAsia="宋体"/>
                      <w:color w:val="auto"/>
                      <w:szCs w:val="21"/>
                      <w:lang w:val="en-US" w:eastAsia="zh-CN"/>
                    </w:rPr>
                  </w:pPr>
                  <w:r>
                    <w:rPr>
                      <w:rFonts w:hint="eastAsia"/>
                      <w:color w:val="auto"/>
                      <w:szCs w:val="21"/>
                      <w:lang w:val="en-US" w:eastAsia="zh-CN"/>
                    </w:rPr>
                    <w:t>3.29</w:t>
                  </w:r>
                </w:p>
              </w:tc>
              <w:tc>
                <w:tcPr>
                  <w:tcW w:w="492" w:type="pct"/>
                  <w:vMerge w:val="continue"/>
                  <w:vAlign w:val="center"/>
                </w:tcPr>
                <w:p w14:paraId="30D7BE85">
                  <w:pPr>
                    <w:widowControl/>
                    <w:jc w:val="center"/>
                    <w:textAlignment w:val="center"/>
                    <w:rPr>
                      <w:color w:val="auto"/>
                      <w:szCs w:val="21"/>
                    </w:rPr>
                  </w:pPr>
                </w:p>
              </w:tc>
              <w:tc>
                <w:tcPr>
                  <w:tcW w:w="1080" w:type="pct"/>
                  <w:vAlign w:val="center"/>
                </w:tcPr>
                <w:p w14:paraId="54006524">
                  <w:pPr>
                    <w:widowControl/>
                    <w:jc w:val="center"/>
                    <w:rPr>
                      <w:rFonts w:hint="default" w:eastAsia="宋体"/>
                      <w:color w:val="auto"/>
                      <w:szCs w:val="21"/>
                      <w:lang w:val="en-US" w:eastAsia="zh-CN"/>
                    </w:rPr>
                  </w:pPr>
                  <w:r>
                    <w:rPr>
                      <w:rFonts w:hint="eastAsia"/>
                      <w:color w:val="auto"/>
                      <w:szCs w:val="21"/>
                      <w:lang w:val="en-US" w:eastAsia="zh-CN"/>
                    </w:rPr>
                    <w:t>1.29</w:t>
                  </w:r>
                </w:p>
              </w:tc>
              <w:tc>
                <w:tcPr>
                  <w:tcW w:w="763" w:type="pct"/>
                  <w:vMerge w:val="continue"/>
                  <w:vAlign w:val="center"/>
                </w:tcPr>
                <w:p w14:paraId="5ED2BE33">
                  <w:pPr>
                    <w:widowControl/>
                    <w:jc w:val="center"/>
                    <w:rPr>
                      <w:color w:val="auto"/>
                      <w:szCs w:val="21"/>
                    </w:rPr>
                  </w:pPr>
                </w:p>
              </w:tc>
              <w:tc>
                <w:tcPr>
                  <w:tcW w:w="676" w:type="pct"/>
                  <w:vMerge w:val="continue"/>
                  <w:vAlign w:val="center"/>
                </w:tcPr>
                <w:p w14:paraId="7C5CC6DA">
                  <w:pPr>
                    <w:widowControl/>
                    <w:jc w:val="center"/>
                    <w:rPr>
                      <w:color w:val="auto"/>
                      <w:szCs w:val="21"/>
                    </w:rPr>
                  </w:pPr>
                </w:p>
              </w:tc>
            </w:tr>
            <w:tr w14:paraId="63BBC7A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PrEx>
              <w:trPr>
                <w:trHeight w:val="340" w:hRule="atLeast"/>
                <w:jc w:val="center"/>
              </w:trPr>
              <w:tc>
                <w:tcPr>
                  <w:tcW w:w="869" w:type="pct"/>
                  <w:vMerge w:val="restart"/>
                  <w:vAlign w:val="center"/>
                </w:tcPr>
                <w:p w14:paraId="69B13DF5">
                  <w:pPr>
                    <w:widowControl/>
                    <w:jc w:val="center"/>
                    <w:rPr>
                      <w:rFonts w:hint="eastAsia" w:eastAsia="宋体"/>
                      <w:color w:val="auto"/>
                      <w:szCs w:val="21"/>
                      <w:lang w:val="en-US" w:eastAsia="zh-CN"/>
                    </w:rPr>
                  </w:pPr>
                  <w:r>
                    <w:rPr>
                      <w:rFonts w:hint="eastAsia"/>
                      <w:color w:val="auto"/>
                      <w:szCs w:val="21"/>
                      <w:lang w:val="en-US" w:eastAsia="zh-CN"/>
                    </w:rPr>
                    <w:t>氯化氢</w:t>
                  </w:r>
                </w:p>
              </w:tc>
              <w:tc>
                <w:tcPr>
                  <w:tcW w:w="1117" w:type="pct"/>
                  <w:shd w:val="clear" w:color="auto" w:fill="auto"/>
                  <w:vAlign w:val="center"/>
                </w:tcPr>
                <w:p w14:paraId="01CCC856">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3.27</w:t>
                  </w:r>
                </w:p>
              </w:tc>
              <w:tc>
                <w:tcPr>
                  <w:tcW w:w="492" w:type="pct"/>
                  <w:vMerge w:val="continue"/>
                  <w:vAlign w:val="center"/>
                </w:tcPr>
                <w:p w14:paraId="04BBDEC2">
                  <w:pPr>
                    <w:widowControl/>
                    <w:jc w:val="center"/>
                    <w:textAlignment w:val="center"/>
                    <w:rPr>
                      <w:color w:val="auto"/>
                      <w:szCs w:val="21"/>
                    </w:rPr>
                  </w:pPr>
                </w:p>
              </w:tc>
              <w:tc>
                <w:tcPr>
                  <w:tcW w:w="1080" w:type="pct"/>
                  <w:vAlign w:val="center"/>
                </w:tcPr>
                <w:p w14:paraId="01AFAB1B">
                  <w:pPr>
                    <w:widowControl/>
                    <w:jc w:val="center"/>
                    <w:rPr>
                      <w:rFonts w:hint="default"/>
                      <w:color w:val="auto"/>
                      <w:szCs w:val="21"/>
                      <w:lang w:val="en-US" w:eastAsia="zh-CN"/>
                    </w:rPr>
                  </w:pPr>
                  <w:r>
                    <w:rPr>
                      <w:rFonts w:hint="eastAsia"/>
                      <w:color w:val="auto"/>
                      <w:szCs w:val="21"/>
                      <w:lang w:val="en-US" w:eastAsia="zh-CN"/>
                    </w:rPr>
                    <w:t>ND</w:t>
                  </w:r>
                </w:p>
              </w:tc>
              <w:tc>
                <w:tcPr>
                  <w:tcW w:w="763" w:type="pct"/>
                  <w:vMerge w:val="restart"/>
                  <w:vAlign w:val="center"/>
                </w:tcPr>
                <w:p w14:paraId="2B8853B7">
                  <w:pPr>
                    <w:widowControl/>
                    <w:jc w:val="center"/>
                    <w:rPr>
                      <w:rFonts w:hint="default" w:eastAsia="宋体"/>
                      <w:color w:val="auto"/>
                      <w:szCs w:val="21"/>
                      <w:lang w:val="en-US" w:eastAsia="zh-CN"/>
                    </w:rPr>
                  </w:pPr>
                  <w:r>
                    <w:rPr>
                      <w:rFonts w:hint="eastAsia"/>
                      <w:color w:val="auto"/>
                      <w:szCs w:val="21"/>
                      <w:lang w:val="en-US" w:eastAsia="zh-CN"/>
                    </w:rPr>
                    <w:t>50</w:t>
                  </w:r>
                </w:p>
              </w:tc>
              <w:tc>
                <w:tcPr>
                  <w:tcW w:w="676" w:type="pct"/>
                  <w:vMerge w:val="restart"/>
                  <w:vAlign w:val="center"/>
                </w:tcPr>
                <w:p w14:paraId="4A605558">
                  <w:pPr>
                    <w:widowControl/>
                    <w:jc w:val="center"/>
                    <w:rPr>
                      <w:rFonts w:hint="eastAsia" w:eastAsia="宋体"/>
                      <w:color w:val="auto"/>
                      <w:szCs w:val="21"/>
                      <w:lang w:val="en-US" w:eastAsia="zh-CN"/>
                    </w:rPr>
                  </w:pPr>
                  <w:r>
                    <w:rPr>
                      <w:rFonts w:hint="eastAsia"/>
                      <w:color w:val="auto"/>
                      <w:szCs w:val="21"/>
                      <w:lang w:val="en-US" w:eastAsia="zh-CN"/>
                    </w:rPr>
                    <w:t>达标</w:t>
                  </w:r>
                </w:p>
              </w:tc>
            </w:tr>
            <w:tr w14:paraId="141A498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50CD02D5">
                  <w:pPr>
                    <w:widowControl/>
                    <w:jc w:val="center"/>
                    <w:rPr>
                      <w:color w:val="auto"/>
                      <w:szCs w:val="21"/>
                    </w:rPr>
                  </w:pPr>
                </w:p>
              </w:tc>
              <w:tc>
                <w:tcPr>
                  <w:tcW w:w="1117" w:type="pct"/>
                  <w:shd w:val="clear" w:color="auto" w:fill="auto"/>
                  <w:vAlign w:val="center"/>
                </w:tcPr>
                <w:p w14:paraId="59570E06">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3.28</w:t>
                  </w:r>
                </w:p>
              </w:tc>
              <w:tc>
                <w:tcPr>
                  <w:tcW w:w="492" w:type="pct"/>
                  <w:vMerge w:val="continue"/>
                  <w:vAlign w:val="center"/>
                </w:tcPr>
                <w:p w14:paraId="092FAF9E">
                  <w:pPr>
                    <w:widowControl/>
                    <w:jc w:val="center"/>
                    <w:textAlignment w:val="center"/>
                    <w:rPr>
                      <w:color w:val="auto"/>
                      <w:szCs w:val="21"/>
                    </w:rPr>
                  </w:pPr>
                </w:p>
              </w:tc>
              <w:tc>
                <w:tcPr>
                  <w:tcW w:w="1080" w:type="pct"/>
                  <w:vAlign w:val="center"/>
                </w:tcPr>
                <w:p w14:paraId="3A893936">
                  <w:pPr>
                    <w:widowControl/>
                    <w:jc w:val="center"/>
                    <w:rPr>
                      <w:rFonts w:hint="eastAsia"/>
                      <w:color w:val="auto"/>
                      <w:szCs w:val="21"/>
                      <w:lang w:val="en-US" w:eastAsia="zh-CN"/>
                    </w:rPr>
                  </w:pPr>
                  <w:r>
                    <w:rPr>
                      <w:rFonts w:hint="eastAsia"/>
                      <w:color w:val="auto"/>
                      <w:szCs w:val="21"/>
                      <w:lang w:val="en-US" w:eastAsia="zh-CN"/>
                    </w:rPr>
                    <w:t>ND</w:t>
                  </w:r>
                </w:p>
              </w:tc>
              <w:tc>
                <w:tcPr>
                  <w:tcW w:w="763" w:type="pct"/>
                  <w:vMerge w:val="continue"/>
                  <w:vAlign w:val="center"/>
                </w:tcPr>
                <w:p w14:paraId="5692A2E4">
                  <w:pPr>
                    <w:widowControl/>
                    <w:jc w:val="center"/>
                    <w:rPr>
                      <w:color w:val="auto"/>
                      <w:szCs w:val="21"/>
                    </w:rPr>
                  </w:pPr>
                </w:p>
              </w:tc>
              <w:tc>
                <w:tcPr>
                  <w:tcW w:w="676" w:type="pct"/>
                  <w:vMerge w:val="continue"/>
                  <w:vAlign w:val="center"/>
                </w:tcPr>
                <w:p w14:paraId="1C168DFA">
                  <w:pPr>
                    <w:widowControl/>
                    <w:jc w:val="center"/>
                    <w:rPr>
                      <w:color w:val="auto"/>
                      <w:szCs w:val="21"/>
                    </w:rPr>
                  </w:pPr>
                </w:p>
              </w:tc>
            </w:tr>
            <w:tr w14:paraId="32720B7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15811B8E">
                  <w:pPr>
                    <w:widowControl/>
                    <w:jc w:val="center"/>
                    <w:rPr>
                      <w:color w:val="auto"/>
                      <w:szCs w:val="21"/>
                    </w:rPr>
                  </w:pPr>
                </w:p>
              </w:tc>
              <w:tc>
                <w:tcPr>
                  <w:tcW w:w="1117" w:type="pct"/>
                  <w:shd w:val="clear" w:color="auto" w:fill="auto"/>
                  <w:vAlign w:val="center"/>
                </w:tcPr>
                <w:p w14:paraId="05B03D9A">
                  <w:pPr>
                    <w:widowControl/>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3.29</w:t>
                  </w:r>
                </w:p>
              </w:tc>
              <w:tc>
                <w:tcPr>
                  <w:tcW w:w="492" w:type="pct"/>
                  <w:vMerge w:val="continue"/>
                  <w:vAlign w:val="center"/>
                </w:tcPr>
                <w:p w14:paraId="7EE315A5">
                  <w:pPr>
                    <w:widowControl/>
                    <w:jc w:val="center"/>
                    <w:textAlignment w:val="center"/>
                    <w:rPr>
                      <w:color w:val="auto"/>
                      <w:szCs w:val="21"/>
                    </w:rPr>
                  </w:pPr>
                </w:p>
              </w:tc>
              <w:tc>
                <w:tcPr>
                  <w:tcW w:w="1080" w:type="pct"/>
                  <w:vAlign w:val="center"/>
                </w:tcPr>
                <w:p w14:paraId="540C00D0">
                  <w:pPr>
                    <w:widowControl/>
                    <w:jc w:val="center"/>
                    <w:rPr>
                      <w:rFonts w:hint="eastAsia"/>
                      <w:color w:val="auto"/>
                      <w:szCs w:val="21"/>
                      <w:lang w:val="en-US" w:eastAsia="zh-CN"/>
                    </w:rPr>
                  </w:pPr>
                  <w:r>
                    <w:rPr>
                      <w:rFonts w:hint="eastAsia"/>
                      <w:color w:val="auto"/>
                      <w:szCs w:val="21"/>
                      <w:lang w:val="en-US" w:eastAsia="zh-CN"/>
                    </w:rPr>
                    <w:t>ND</w:t>
                  </w:r>
                </w:p>
              </w:tc>
              <w:tc>
                <w:tcPr>
                  <w:tcW w:w="763" w:type="pct"/>
                  <w:vMerge w:val="continue"/>
                  <w:vAlign w:val="center"/>
                </w:tcPr>
                <w:p w14:paraId="155172C3">
                  <w:pPr>
                    <w:widowControl/>
                    <w:jc w:val="center"/>
                    <w:rPr>
                      <w:color w:val="auto"/>
                      <w:szCs w:val="21"/>
                    </w:rPr>
                  </w:pPr>
                </w:p>
              </w:tc>
              <w:tc>
                <w:tcPr>
                  <w:tcW w:w="676" w:type="pct"/>
                  <w:vMerge w:val="continue"/>
                  <w:vAlign w:val="center"/>
                </w:tcPr>
                <w:p w14:paraId="6017EE85">
                  <w:pPr>
                    <w:widowControl/>
                    <w:jc w:val="center"/>
                    <w:rPr>
                      <w:color w:val="auto"/>
                      <w:szCs w:val="21"/>
                    </w:rPr>
                  </w:pPr>
                </w:p>
              </w:tc>
            </w:tr>
          </w:tbl>
          <w:p w14:paraId="43A4EAA8">
            <w:pPr>
              <w:spacing w:line="360" w:lineRule="auto"/>
              <w:ind w:firstLine="480" w:firstLineChars="200"/>
              <w:rPr>
                <w:rFonts w:hint="eastAsia" w:ascii="Times New Roman" w:hAnsi="Times New Roman" w:eastAsia="宋体" w:cs="Times New Roman"/>
                <w:color w:val="auto"/>
                <w:sz w:val="24"/>
                <w:szCs w:val="32"/>
              </w:rPr>
            </w:pPr>
            <w:r>
              <w:rPr>
                <w:rFonts w:hint="eastAsia" w:ascii="Times New Roman" w:hAnsi="Times New Roman" w:eastAsia="宋体" w:cs="Times New Roman"/>
                <w:color w:val="auto"/>
                <w:sz w:val="24"/>
                <w:szCs w:val="32"/>
              </w:rPr>
              <w:t>由引用监测结果可知，项目所在区域非甲烷总烃满足《大气污染物综合排放标准详解》</w:t>
            </w:r>
            <w:r>
              <w:rPr>
                <w:rFonts w:hint="eastAsia" w:ascii="Times New Roman" w:hAnsi="Times New Roman" w:eastAsia="宋体" w:cs="Times New Roman"/>
                <w:color w:val="auto"/>
                <w:sz w:val="24"/>
                <w:szCs w:val="32"/>
                <w:lang w:val="en-US" w:eastAsia="zh-CN"/>
              </w:rPr>
              <w:t>限值</w:t>
            </w:r>
            <w:r>
              <w:rPr>
                <w:rFonts w:hint="eastAsia" w:ascii="Times New Roman" w:hAnsi="Times New Roman" w:eastAsia="宋体" w:cs="Times New Roman"/>
                <w:color w:val="auto"/>
                <w:sz w:val="24"/>
                <w:szCs w:val="32"/>
              </w:rPr>
              <w:t>要求</w:t>
            </w:r>
            <w:r>
              <w:rPr>
                <w:rFonts w:hint="eastAsia" w:ascii="Times New Roman" w:hAnsi="Times New Roman" w:eastAsia="宋体" w:cs="Times New Roman"/>
                <w:color w:val="auto"/>
                <w:sz w:val="24"/>
                <w:szCs w:val="32"/>
                <w:lang w:eastAsia="zh-CN"/>
              </w:rPr>
              <w:t>，</w:t>
            </w:r>
            <w:r>
              <w:rPr>
                <w:rFonts w:hint="eastAsia" w:ascii="Times New Roman" w:hAnsi="Times New Roman" w:eastAsia="宋体" w:cs="Times New Roman"/>
                <w:color w:val="auto"/>
                <w:sz w:val="24"/>
                <w:szCs w:val="32"/>
                <w:lang w:val="en-US" w:eastAsia="zh-CN"/>
              </w:rPr>
              <w:t>氯化氢满足《环境影响评价技术导则 大气环境》附录D标准限值要求</w:t>
            </w:r>
            <w:r>
              <w:rPr>
                <w:rFonts w:hint="eastAsia" w:ascii="Times New Roman" w:hAnsi="Times New Roman" w:eastAsia="宋体" w:cs="Times New Roman"/>
                <w:color w:val="auto"/>
                <w:sz w:val="24"/>
                <w:szCs w:val="32"/>
              </w:rPr>
              <w:t>。</w:t>
            </w:r>
          </w:p>
          <w:p w14:paraId="469A8AB5">
            <w:pPr>
              <w:spacing w:line="360" w:lineRule="auto"/>
              <w:ind w:firstLine="480" w:firstLineChars="200"/>
              <w:rPr>
                <w:rFonts w:hint="eastAsia" w:ascii="Times New Roman" w:hAnsi="Times New Roman" w:eastAsia="宋体" w:cs="Times New Roman"/>
                <w:color w:val="auto"/>
                <w:sz w:val="24"/>
                <w:szCs w:val="32"/>
              </w:rPr>
            </w:pPr>
            <w:r>
              <w:rPr>
                <w:rFonts w:hint="eastAsia" w:ascii="Times New Roman" w:hAnsi="Times New Roman" w:eastAsia="宋体" w:cs="Times New Roman"/>
                <w:color w:val="auto"/>
                <w:sz w:val="24"/>
                <w:szCs w:val="32"/>
              </w:rPr>
              <w:t>本项目</w:t>
            </w:r>
            <w:r>
              <w:rPr>
                <w:rFonts w:hint="eastAsia" w:ascii="Times New Roman" w:hAnsi="Times New Roman" w:eastAsia="宋体" w:cs="Times New Roman"/>
                <w:color w:val="auto"/>
                <w:sz w:val="24"/>
                <w:szCs w:val="32"/>
                <w:lang w:val="en-US" w:eastAsia="zh-CN"/>
              </w:rPr>
              <w:t>委托</w:t>
            </w:r>
            <w:r>
              <w:rPr>
                <w:rFonts w:hint="eastAsia" w:ascii="Times New Roman" w:hAnsi="Times New Roman" w:eastAsia="宋体" w:cs="Times New Roman"/>
                <w:color w:val="auto"/>
                <w:sz w:val="24"/>
                <w:szCs w:val="32"/>
              </w:rPr>
              <w:t>陕西秦研检测技术有限公司</w:t>
            </w:r>
            <w:r>
              <w:rPr>
                <w:rFonts w:hint="eastAsia" w:ascii="Times New Roman" w:hAnsi="Times New Roman" w:eastAsia="宋体" w:cs="Times New Roman"/>
                <w:color w:val="auto"/>
                <w:sz w:val="24"/>
                <w:szCs w:val="32"/>
                <w:lang w:val="en-US" w:eastAsia="zh-CN"/>
              </w:rPr>
              <w:t>于2025年4月11日~13日进行了</w:t>
            </w:r>
            <w:r>
              <w:rPr>
                <w:rFonts w:hint="eastAsia" w:cs="Times New Roman"/>
                <w:color w:val="auto"/>
                <w:sz w:val="24"/>
                <w:szCs w:val="32"/>
                <w:lang w:val="en-US" w:eastAsia="zh-CN"/>
              </w:rPr>
              <w:t>苯并[a]芘</w:t>
            </w:r>
            <w:r>
              <w:rPr>
                <w:rFonts w:hint="eastAsia" w:ascii="Times New Roman" w:hAnsi="Times New Roman" w:eastAsia="宋体" w:cs="Times New Roman"/>
                <w:color w:val="auto"/>
                <w:sz w:val="24"/>
                <w:szCs w:val="32"/>
                <w:lang w:val="en-US" w:eastAsia="zh-CN"/>
              </w:rPr>
              <w:t>现状监测（秦研（综）2502211号，详见附件</w:t>
            </w:r>
            <w:r>
              <w:rPr>
                <w:rFonts w:hint="eastAsia" w:cs="Times New Roman"/>
                <w:color w:val="auto"/>
                <w:sz w:val="24"/>
                <w:szCs w:val="32"/>
                <w:lang w:val="en-US" w:eastAsia="zh-CN"/>
              </w:rPr>
              <w:t>6</w:t>
            </w:r>
            <w:r>
              <w:rPr>
                <w:rFonts w:hint="eastAsia" w:ascii="Times New Roman" w:hAnsi="Times New Roman" w:eastAsia="宋体" w:cs="Times New Roman"/>
                <w:color w:val="auto"/>
                <w:sz w:val="24"/>
                <w:szCs w:val="32"/>
                <w:lang w:val="en-US" w:eastAsia="zh-CN"/>
              </w:rPr>
              <w:t>）。</w:t>
            </w:r>
            <w:r>
              <w:rPr>
                <w:rFonts w:hint="default" w:ascii="Times New Roman" w:hAnsi="Times New Roman" w:eastAsia="宋体" w:cs="Times New Roman"/>
                <w:color w:val="auto"/>
                <w:sz w:val="24"/>
                <w:szCs w:val="32"/>
              </w:rPr>
              <w:t>具体如下：</w:t>
            </w:r>
          </w:p>
          <w:p w14:paraId="2185FBD7">
            <w:pPr>
              <w:spacing w:line="360" w:lineRule="auto"/>
              <w:ind w:firstLine="480" w:firstLineChars="200"/>
              <w:rPr>
                <w:rFonts w:hint="eastAsia" w:ascii="Times New Roman" w:hAnsi="Times New Roman" w:eastAsia="宋体" w:cs="Times New Roman"/>
                <w:color w:val="auto"/>
                <w:sz w:val="24"/>
                <w:szCs w:val="32"/>
              </w:rPr>
            </w:pPr>
            <w:r>
              <w:rPr>
                <w:rFonts w:hint="eastAsia" w:ascii="Times New Roman" w:hAnsi="Times New Roman" w:eastAsia="宋体" w:cs="Times New Roman"/>
                <w:color w:val="auto"/>
                <w:sz w:val="24"/>
                <w:szCs w:val="32"/>
              </w:rPr>
              <w:t>①监测频次和监测点位</w:t>
            </w:r>
          </w:p>
          <w:p w14:paraId="1F2B6F85">
            <w:pPr>
              <w:spacing w:line="360" w:lineRule="auto"/>
              <w:ind w:firstLine="480" w:firstLineChars="200"/>
              <w:rPr>
                <w:rFonts w:hint="eastAsia" w:ascii="Times New Roman" w:hAnsi="Times New Roman" w:eastAsia="宋体" w:cs="Times New Roman"/>
                <w:color w:val="auto"/>
                <w:sz w:val="24"/>
                <w:szCs w:val="32"/>
              </w:rPr>
            </w:pPr>
            <w:r>
              <w:rPr>
                <w:rFonts w:hint="eastAsia" w:ascii="Times New Roman" w:hAnsi="Times New Roman" w:eastAsia="宋体" w:cs="Times New Roman"/>
                <w:color w:val="auto"/>
                <w:sz w:val="24"/>
                <w:szCs w:val="32"/>
              </w:rPr>
              <w:t>监测频次：监测时间为202</w:t>
            </w:r>
            <w:r>
              <w:rPr>
                <w:rFonts w:hint="eastAsia" w:ascii="Times New Roman" w:hAnsi="Times New Roman" w:eastAsia="宋体" w:cs="Times New Roman"/>
                <w:color w:val="auto"/>
                <w:sz w:val="24"/>
                <w:szCs w:val="32"/>
                <w:lang w:val="en-US" w:eastAsia="zh-CN"/>
              </w:rPr>
              <w:t>5</w:t>
            </w:r>
            <w:r>
              <w:rPr>
                <w:rFonts w:hint="eastAsia" w:ascii="Times New Roman" w:hAnsi="Times New Roman" w:eastAsia="宋体" w:cs="Times New Roman"/>
                <w:color w:val="auto"/>
                <w:sz w:val="24"/>
                <w:szCs w:val="32"/>
              </w:rPr>
              <w:t>年4月1</w:t>
            </w:r>
            <w:r>
              <w:rPr>
                <w:rFonts w:hint="eastAsia" w:ascii="Times New Roman" w:hAnsi="Times New Roman" w:eastAsia="宋体" w:cs="Times New Roman"/>
                <w:color w:val="auto"/>
                <w:sz w:val="24"/>
                <w:szCs w:val="32"/>
                <w:lang w:val="en-US" w:eastAsia="zh-CN"/>
              </w:rPr>
              <w:t>1</w:t>
            </w:r>
            <w:r>
              <w:rPr>
                <w:rFonts w:hint="eastAsia" w:ascii="Times New Roman" w:hAnsi="Times New Roman" w:eastAsia="宋体" w:cs="Times New Roman"/>
                <w:color w:val="auto"/>
                <w:sz w:val="24"/>
                <w:szCs w:val="32"/>
              </w:rPr>
              <w:t>日至4月1</w:t>
            </w:r>
            <w:r>
              <w:rPr>
                <w:rFonts w:hint="eastAsia" w:ascii="Times New Roman" w:hAnsi="Times New Roman" w:eastAsia="宋体" w:cs="Times New Roman"/>
                <w:color w:val="auto"/>
                <w:sz w:val="24"/>
                <w:szCs w:val="32"/>
                <w:lang w:val="en-US" w:eastAsia="zh-CN"/>
              </w:rPr>
              <w:t>3</w:t>
            </w:r>
            <w:r>
              <w:rPr>
                <w:rFonts w:hint="eastAsia" w:ascii="Times New Roman" w:hAnsi="Times New Roman" w:eastAsia="宋体" w:cs="Times New Roman"/>
                <w:color w:val="auto"/>
                <w:sz w:val="24"/>
                <w:szCs w:val="32"/>
              </w:rPr>
              <w:t>日，连续监测3天。</w:t>
            </w:r>
          </w:p>
          <w:p w14:paraId="454B7142">
            <w:pPr>
              <w:spacing w:line="360" w:lineRule="auto"/>
              <w:ind w:firstLine="480" w:firstLineChars="200"/>
              <w:rPr>
                <w:rFonts w:hint="eastAsia" w:ascii="Times New Roman" w:hAnsi="Times New Roman" w:eastAsia="宋体" w:cs="Times New Roman"/>
                <w:color w:val="auto"/>
                <w:sz w:val="24"/>
                <w:szCs w:val="32"/>
              </w:rPr>
            </w:pPr>
            <w:r>
              <w:rPr>
                <w:rFonts w:hint="eastAsia" w:ascii="Times New Roman" w:hAnsi="Times New Roman" w:eastAsia="宋体" w:cs="Times New Roman"/>
                <w:color w:val="auto"/>
                <w:sz w:val="24"/>
                <w:szCs w:val="32"/>
              </w:rPr>
              <w:t>监测点位：</w:t>
            </w:r>
            <w:r>
              <w:rPr>
                <w:rFonts w:hint="eastAsia" w:ascii="Times New Roman" w:hAnsi="Times New Roman" w:eastAsia="宋体" w:cs="Times New Roman"/>
                <w:color w:val="auto"/>
                <w:sz w:val="24"/>
                <w:szCs w:val="32"/>
                <w:lang w:val="en-US" w:eastAsia="zh-CN"/>
              </w:rPr>
              <w:t>项目下风向陕西宏基药业有限公司门口</w:t>
            </w:r>
            <w:r>
              <w:rPr>
                <w:rFonts w:hint="eastAsia" w:ascii="Times New Roman" w:hAnsi="Times New Roman" w:eastAsia="宋体" w:cs="Times New Roman"/>
                <w:color w:val="auto"/>
                <w:sz w:val="24"/>
                <w:szCs w:val="32"/>
              </w:rPr>
              <w:t>。</w:t>
            </w:r>
          </w:p>
          <w:p w14:paraId="56A5BA2D">
            <w:pPr>
              <w:spacing w:line="360" w:lineRule="auto"/>
              <w:ind w:firstLine="480" w:firstLineChars="200"/>
              <w:rPr>
                <w:rFonts w:hint="eastAsia" w:ascii="Times New Roman" w:hAnsi="Times New Roman" w:eastAsia="宋体" w:cs="Times New Roman"/>
                <w:color w:val="auto"/>
                <w:sz w:val="24"/>
                <w:szCs w:val="32"/>
              </w:rPr>
            </w:pPr>
            <w:r>
              <w:rPr>
                <w:rFonts w:hint="eastAsia" w:ascii="Times New Roman" w:hAnsi="Times New Roman" w:eastAsia="宋体" w:cs="Times New Roman"/>
                <w:color w:val="auto"/>
                <w:sz w:val="24"/>
                <w:szCs w:val="32"/>
              </w:rPr>
              <w:t>②监测结果</w:t>
            </w:r>
          </w:p>
          <w:p w14:paraId="27F6DC71">
            <w:pPr>
              <w:spacing w:line="360" w:lineRule="auto"/>
              <w:ind w:firstLine="480" w:firstLineChars="200"/>
              <w:rPr>
                <w:rFonts w:hint="eastAsia" w:ascii="Times New Roman" w:hAnsi="Times New Roman" w:eastAsia="宋体" w:cs="Times New Roman"/>
                <w:color w:val="auto"/>
                <w:sz w:val="24"/>
                <w:szCs w:val="32"/>
              </w:rPr>
            </w:pPr>
            <w:r>
              <w:rPr>
                <w:rFonts w:hint="eastAsia" w:ascii="Times New Roman" w:hAnsi="Times New Roman" w:eastAsia="宋体" w:cs="Times New Roman"/>
                <w:color w:val="auto"/>
                <w:sz w:val="24"/>
                <w:szCs w:val="32"/>
              </w:rPr>
              <w:t>项目监测结果见表3-</w:t>
            </w:r>
            <w:r>
              <w:rPr>
                <w:rFonts w:hint="eastAsia" w:ascii="Times New Roman" w:hAnsi="Times New Roman" w:eastAsia="宋体" w:cs="Times New Roman"/>
                <w:color w:val="auto"/>
                <w:sz w:val="24"/>
                <w:szCs w:val="32"/>
                <w:lang w:val="en-US" w:eastAsia="zh-CN"/>
              </w:rPr>
              <w:t>3</w:t>
            </w:r>
            <w:r>
              <w:rPr>
                <w:rFonts w:hint="eastAsia" w:ascii="Times New Roman" w:hAnsi="Times New Roman" w:eastAsia="宋体" w:cs="Times New Roman"/>
                <w:color w:val="auto"/>
                <w:sz w:val="24"/>
                <w:szCs w:val="32"/>
              </w:rPr>
              <w:t>。</w:t>
            </w:r>
          </w:p>
          <w:p w14:paraId="759813BA">
            <w:pPr>
              <w:widowControl/>
              <w:jc w:val="center"/>
              <w:rPr>
                <w:color w:val="auto"/>
                <w:sz w:val="24"/>
              </w:rPr>
            </w:pPr>
            <w:r>
              <w:rPr>
                <w:b/>
                <w:color w:val="auto"/>
                <w:sz w:val="24"/>
              </w:rPr>
              <w:t>表3-</w:t>
            </w:r>
            <w:r>
              <w:rPr>
                <w:rFonts w:hint="eastAsia"/>
                <w:b/>
                <w:color w:val="auto"/>
                <w:sz w:val="24"/>
                <w:lang w:val="en-US" w:eastAsia="zh-CN"/>
              </w:rPr>
              <w:t>3</w:t>
            </w:r>
            <w:r>
              <w:rPr>
                <w:b/>
                <w:color w:val="auto"/>
                <w:sz w:val="24"/>
              </w:rPr>
              <w:t xml:space="preserve">  特征污染物监测结果一览表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1386"/>
              <w:gridCol w:w="1782"/>
              <w:gridCol w:w="785"/>
              <w:gridCol w:w="1723"/>
              <w:gridCol w:w="1217"/>
              <w:gridCol w:w="1078"/>
            </w:tblGrid>
            <w:tr w14:paraId="19692C7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Align w:val="center"/>
                </w:tcPr>
                <w:p w14:paraId="2FCBF056">
                  <w:pPr>
                    <w:widowControl/>
                    <w:jc w:val="center"/>
                    <w:rPr>
                      <w:b/>
                      <w:bCs/>
                      <w:color w:val="auto"/>
                      <w:szCs w:val="21"/>
                    </w:rPr>
                  </w:pPr>
                  <w:r>
                    <w:rPr>
                      <w:b/>
                      <w:bCs/>
                      <w:color w:val="auto"/>
                      <w:szCs w:val="21"/>
                    </w:rPr>
                    <w:t>污染物</w:t>
                  </w:r>
                </w:p>
              </w:tc>
              <w:tc>
                <w:tcPr>
                  <w:tcW w:w="1117" w:type="pct"/>
                  <w:vAlign w:val="center"/>
                </w:tcPr>
                <w:p w14:paraId="49FDBA10">
                  <w:pPr>
                    <w:widowControl/>
                    <w:jc w:val="center"/>
                    <w:rPr>
                      <w:b/>
                      <w:bCs/>
                      <w:color w:val="auto"/>
                      <w:szCs w:val="21"/>
                    </w:rPr>
                  </w:pPr>
                  <w:r>
                    <w:rPr>
                      <w:b/>
                      <w:bCs/>
                      <w:color w:val="auto"/>
                      <w:szCs w:val="21"/>
                    </w:rPr>
                    <w:t>采样日期</w:t>
                  </w:r>
                </w:p>
              </w:tc>
              <w:tc>
                <w:tcPr>
                  <w:tcW w:w="492" w:type="pct"/>
                  <w:vAlign w:val="center"/>
                </w:tcPr>
                <w:p w14:paraId="24AEAEBA">
                  <w:pPr>
                    <w:widowControl/>
                    <w:jc w:val="center"/>
                    <w:rPr>
                      <w:b/>
                      <w:bCs/>
                      <w:color w:val="auto"/>
                      <w:szCs w:val="21"/>
                    </w:rPr>
                  </w:pPr>
                  <w:r>
                    <w:rPr>
                      <w:b/>
                      <w:bCs/>
                      <w:color w:val="auto"/>
                      <w:szCs w:val="21"/>
                    </w:rPr>
                    <w:t>单位</w:t>
                  </w:r>
                </w:p>
              </w:tc>
              <w:tc>
                <w:tcPr>
                  <w:tcW w:w="1080" w:type="pct"/>
                  <w:vAlign w:val="center"/>
                </w:tcPr>
                <w:p w14:paraId="53B477EC">
                  <w:pPr>
                    <w:widowControl/>
                    <w:jc w:val="center"/>
                    <w:rPr>
                      <w:b/>
                      <w:bCs/>
                      <w:color w:val="auto"/>
                      <w:szCs w:val="21"/>
                    </w:rPr>
                  </w:pPr>
                  <w:r>
                    <w:rPr>
                      <w:rFonts w:hint="eastAsia"/>
                      <w:b/>
                      <w:bCs/>
                      <w:color w:val="auto"/>
                      <w:szCs w:val="21"/>
                    </w:rPr>
                    <w:t>监测</w:t>
                  </w:r>
                  <w:r>
                    <w:rPr>
                      <w:b/>
                      <w:bCs/>
                      <w:color w:val="auto"/>
                      <w:szCs w:val="21"/>
                    </w:rPr>
                    <w:t>结果</w:t>
                  </w:r>
                </w:p>
              </w:tc>
              <w:tc>
                <w:tcPr>
                  <w:tcW w:w="763" w:type="pct"/>
                  <w:vAlign w:val="center"/>
                </w:tcPr>
                <w:p w14:paraId="4DFE7274">
                  <w:pPr>
                    <w:widowControl/>
                    <w:jc w:val="center"/>
                    <w:rPr>
                      <w:b/>
                      <w:bCs/>
                      <w:color w:val="auto"/>
                      <w:szCs w:val="21"/>
                    </w:rPr>
                  </w:pPr>
                  <w:r>
                    <w:rPr>
                      <w:b/>
                      <w:bCs/>
                      <w:color w:val="auto"/>
                      <w:szCs w:val="21"/>
                    </w:rPr>
                    <w:t>标准</w:t>
                  </w:r>
                  <w:r>
                    <w:rPr>
                      <w:rFonts w:hint="eastAsia"/>
                      <w:b/>
                      <w:bCs/>
                      <w:color w:val="auto"/>
                      <w:szCs w:val="21"/>
                    </w:rPr>
                    <w:t>限</w:t>
                  </w:r>
                  <w:r>
                    <w:rPr>
                      <w:b/>
                      <w:bCs/>
                      <w:color w:val="auto"/>
                      <w:szCs w:val="21"/>
                    </w:rPr>
                    <w:t>值</w:t>
                  </w:r>
                </w:p>
              </w:tc>
              <w:tc>
                <w:tcPr>
                  <w:tcW w:w="676" w:type="pct"/>
                  <w:vAlign w:val="center"/>
                </w:tcPr>
                <w:p w14:paraId="2296720A">
                  <w:pPr>
                    <w:widowControl/>
                    <w:jc w:val="center"/>
                    <w:rPr>
                      <w:b/>
                      <w:bCs/>
                      <w:color w:val="auto"/>
                      <w:szCs w:val="21"/>
                    </w:rPr>
                  </w:pPr>
                  <w:r>
                    <w:rPr>
                      <w:b/>
                      <w:bCs/>
                      <w:color w:val="auto"/>
                      <w:szCs w:val="21"/>
                    </w:rPr>
                    <w:t>达标情况</w:t>
                  </w:r>
                </w:p>
              </w:tc>
            </w:tr>
            <w:tr w14:paraId="15937D1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restart"/>
                  <w:vAlign w:val="center"/>
                </w:tcPr>
                <w:p w14:paraId="0426F15A">
                  <w:pPr>
                    <w:widowControl/>
                    <w:jc w:val="center"/>
                    <w:rPr>
                      <w:rFonts w:hint="eastAsia" w:eastAsia="宋体"/>
                      <w:color w:val="auto"/>
                      <w:szCs w:val="21"/>
                      <w:lang w:eastAsia="zh-CN"/>
                    </w:rPr>
                  </w:pPr>
                  <w:r>
                    <w:rPr>
                      <w:rFonts w:hint="eastAsia"/>
                      <w:color w:val="auto"/>
                      <w:szCs w:val="21"/>
                      <w:lang w:val="en-US" w:eastAsia="zh-CN"/>
                    </w:rPr>
                    <w:t>苯并[a]芘</w:t>
                  </w:r>
                </w:p>
              </w:tc>
              <w:tc>
                <w:tcPr>
                  <w:tcW w:w="1782" w:type="dxa"/>
                  <w:vAlign w:val="center"/>
                </w:tcPr>
                <w:p w14:paraId="0C3D6756">
                  <w:pPr>
                    <w:ind w:left="-105" w:leftChars="-50" w:right="-105" w:rightChars="-50"/>
                    <w:jc w:val="center"/>
                    <w:rPr>
                      <w:color w:val="auto"/>
                      <w:szCs w:val="21"/>
                    </w:rPr>
                  </w:pPr>
                  <w:r>
                    <w:rPr>
                      <w:rFonts w:hint="eastAsia" w:ascii="Times New Roman" w:cs="Times New Roman"/>
                      <w:color w:val="auto"/>
                      <w:sz w:val="21"/>
                      <w:szCs w:val="21"/>
                      <w:lang w:val="en-US" w:eastAsia="zh-CN"/>
                    </w:rPr>
                    <w:t>4</w:t>
                  </w:r>
                  <w:r>
                    <w:rPr>
                      <w:rFonts w:hint="default" w:ascii="Times New Roman" w:hAnsi="Times New Roman" w:cs="Times New Roman"/>
                      <w:color w:val="auto"/>
                      <w:sz w:val="21"/>
                      <w:szCs w:val="21"/>
                      <w:lang w:val="en-US" w:eastAsia="zh-CN"/>
                    </w:rPr>
                    <w:t>月</w:t>
                  </w:r>
                  <w:r>
                    <w:rPr>
                      <w:rFonts w:hint="eastAsia" w:cs="Times New Roman"/>
                      <w:color w:val="auto"/>
                      <w:sz w:val="21"/>
                      <w:szCs w:val="21"/>
                      <w:lang w:val="en-US" w:eastAsia="zh-CN"/>
                    </w:rPr>
                    <w:t>1</w:t>
                  </w:r>
                  <w:r>
                    <w:rPr>
                      <w:rFonts w:hint="eastAsia" w:ascii="Times New Roman" w:cs="Times New Roman"/>
                      <w:color w:val="auto"/>
                      <w:sz w:val="21"/>
                      <w:szCs w:val="21"/>
                      <w:lang w:val="en-US" w:eastAsia="zh-CN"/>
                    </w:rPr>
                    <w:t>1</w:t>
                  </w:r>
                  <w:r>
                    <w:rPr>
                      <w:rFonts w:hint="default" w:ascii="Times New Roman" w:hAnsi="Times New Roman" w:cs="Times New Roman"/>
                      <w:color w:val="auto"/>
                      <w:sz w:val="21"/>
                      <w:szCs w:val="21"/>
                      <w:lang w:val="en-US" w:eastAsia="zh-CN"/>
                    </w:rPr>
                    <w:t>日</w:t>
                  </w:r>
                </w:p>
              </w:tc>
              <w:tc>
                <w:tcPr>
                  <w:tcW w:w="492" w:type="pct"/>
                  <w:vMerge w:val="restart"/>
                  <w:vAlign w:val="center"/>
                </w:tcPr>
                <w:p w14:paraId="72FE24EA">
                  <w:pPr>
                    <w:widowControl/>
                    <w:jc w:val="center"/>
                    <w:textAlignment w:val="center"/>
                    <w:rPr>
                      <w:color w:val="auto"/>
                      <w:szCs w:val="21"/>
                    </w:rPr>
                  </w:pPr>
                  <w:r>
                    <w:rPr>
                      <w:rFonts w:hint="eastAsia"/>
                      <w:color w:val="auto"/>
                      <w:szCs w:val="21"/>
                      <w:lang w:val="en-US" w:eastAsia="zh-CN"/>
                    </w:rPr>
                    <w:t>n</w:t>
                  </w:r>
                  <w:r>
                    <w:rPr>
                      <w:color w:val="auto"/>
                      <w:szCs w:val="21"/>
                    </w:rPr>
                    <w:t>g/m³</w:t>
                  </w:r>
                </w:p>
              </w:tc>
              <w:tc>
                <w:tcPr>
                  <w:tcW w:w="1080" w:type="pct"/>
                  <w:vAlign w:val="center"/>
                </w:tcPr>
                <w:p w14:paraId="4B62439F">
                  <w:pPr>
                    <w:widowControl/>
                    <w:jc w:val="center"/>
                    <w:rPr>
                      <w:color w:val="auto"/>
                      <w:szCs w:val="21"/>
                    </w:rPr>
                  </w:pPr>
                  <w:r>
                    <w:rPr>
                      <w:rFonts w:hint="eastAsia"/>
                      <w:color w:val="auto"/>
                      <w:szCs w:val="21"/>
                      <w:lang w:val="en-US" w:eastAsia="zh-CN"/>
                    </w:rPr>
                    <w:t>0.1</w:t>
                  </w:r>
                  <w:r>
                    <w:rPr>
                      <w:rFonts w:hint="eastAsia"/>
                      <w:color w:val="auto"/>
                      <w:szCs w:val="21"/>
                    </w:rPr>
                    <w:t>ND</w:t>
                  </w:r>
                </w:p>
              </w:tc>
              <w:tc>
                <w:tcPr>
                  <w:tcW w:w="763" w:type="pct"/>
                  <w:vMerge w:val="restart"/>
                  <w:vAlign w:val="center"/>
                </w:tcPr>
                <w:p w14:paraId="36642AF7">
                  <w:pPr>
                    <w:widowControl/>
                    <w:jc w:val="center"/>
                    <w:rPr>
                      <w:rFonts w:hint="eastAsia" w:eastAsia="宋体"/>
                      <w:color w:val="auto"/>
                      <w:szCs w:val="21"/>
                      <w:lang w:eastAsia="zh-CN"/>
                    </w:rPr>
                  </w:pPr>
                  <w:r>
                    <w:rPr>
                      <w:rFonts w:hint="eastAsia"/>
                      <w:color w:val="auto"/>
                      <w:szCs w:val="21"/>
                    </w:rPr>
                    <w:t>2.</w:t>
                  </w:r>
                  <w:r>
                    <w:rPr>
                      <w:rFonts w:hint="eastAsia"/>
                      <w:color w:val="auto"/>
                      <w:szCs w:val="21"/>
                      <w:lang w:val="en-US" w:eastAsia="zh-CN"/>
                    </w:rPr>
                    <w:t>5</w:t>
                  </w:r>
                </w:p>
              </w:tc>
              <w:tc>
                <w:tcPr>
                  <w:tcW w:w="676" w:type="pct"/>
                  <w:vMerge w:val="restart"/>
                  <w:vAlign w:val="center"/>
                </w:tcPr>
                <w:p w14:paraId="62D2C2B3">
                  <w:pPr>
                    <w:widowControl/>
                    <w:jc w:val="center"/>
                    <w:rPr>
                      <w:color w:val="auto"/>
                      <w:szCs w:val="21"/>
                    </w:rPr>
                  </w:pPr>
                  <w:r>
                    <w:rPr>
                      <w:color w:val="auto"/>
                      <w:szCs w:val="21"/>
                    </w:rPr>
                    <w:t>达标</w:t>
                  </w:r>
                </w:p>
              </w:tc>
            </w:tr>
            <w:tr w14:paraId="42A5D92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279F431D">
                  <w:pPr>
                    <w:widowControl/>
                    <w:jc w:val="center"/>
                    <w:rPr>
                      <w:color w:val="auto"/>
                      <w:szCs w:val="21"/>
                    </w:rPr>
                  </w:pPr>
                </w:p>
              </w:tc>
              <w:tc>
                <w:tcPr>
                  <w:tcW w:w="1782" w:type="dxa"/>
                  <w:vAlign w:val="center"/>
                </w:tcPr>
                <w:p w14:paraId="343D80C8">
                  <w:pPr>
                    <w:ind w:left="-105" w:leftChars="-50" w:right="-105" w:rightChars="-50"/>
                    <w:jc w:val="center"/>
                    <w:rPr>
                      <w:color w:val="auto"/>
                      <w:szCs w:val="21"/>
                    </w:rPr>
                  </w:pPr>
                  <w:r>
                    <w:rPr>
                      <w:rFonts w:hint="eastAsia" w:ascii="Times New Roman" w:cs="Times New Roman"/>
                      <w:color w:val="auto"/>
                      <w:sz w:val="21"/>
                      <w:szCs w:val="21"/>
                      <w:lang w:val="en-US" w:eastAsia="zh-CN"/>
                    </w:rPr>
                    <w:t>4</w:t>
                  </w:r>
                  <w:r>
                    <w:rPr>
                      <w:rFonts w:hint="default" w:ascii="Times New Roman" w:hAnsi="Times New Roman" w:cs="Times New Roman"/>
                      <w:color w:val="auto"/>
                      <w:sz w:val="21"/>
                      <w:szCs w:val="21"/>
                      <w:lang w:val="en-US" w:eastAsia="zh-CN"/>
                    </w:rPr>
                    <w:t>月</w:t>
                  </w:r>
                  <w:r>
                    <w:rPr>
                      <w:rFonts w:hint="eastAsia" w:cs="Times New Roman"/>
                      <w:color w:val="auto"/>
                      <w:sz w:val="21"/>
                      <w:szCs w:val="21"/>
                      <w:lang w:val="en-US" w:eastAsia="zh-CN"/>
                    </w:rPr>
                    <w:t>1</w:t>
                  </w:r>
                  <w:r>
                    <w:rPr>
                      <w:rFonts w:hint="eastAsia" w:ascii="Times New Roman" w:cs="Times New Roman"/>
                      <w:color w:val="auto"/>
                      <w:sz w:val="21"/>
                      <w:szCs w:val="21"/>
                      <w:lang w:val="en-US" w:eastAsia="zh-CN"/>
                    </w:rPr>
                    <w:t>2</w:t>
                  </w:r>
                  <w:r>
                    <w:rPr>
                      <w:rFonts w:hint="default" w:ascii="Times New Roman" w:hAnsi="Times New Roman" w:cs="Times New Roman"/>
                      <w:color w:val="auto"/>
                      <w:sz w:val="21"/>
                      <w:szCs w:val="21"/>
                      <w:lang w:val="en-US" w:eastAsia="zh-CN"/>
                    </w:rPr>
                    <w:t>日</w:t>
                  </w:r>
                </w:p>
              </w:tc>
              <w:tc>
                <w:tcPr>
                  <w:tcW w:w="492" w:type="pct"/>
                  <w:vMerge w:val="continue"/>
                  <w:vAlign w:val="center"/>
                </w:tcPr>
                <w:p w14:paraId="5D025497">
                  <w:pPr>
                    <w:widowControl/>
                    <w:jc w:val="center"/>
                    <w:textAlignment w:val="center"/>
                    <w:rPr>
                      <w:color w:val="auto"/>
                      <w:szCs w:val="21"/>
                    </w:rPr>
                  </w:pPr>
                </w:p>
              </w:tc>
              <w:tc>
                <w:tcPr>
                  <w:tcW w:w="1080" w:type="pct"/>
                  <w:vAlign w:val="center"/>
                </w:tcPr>
                <w:p w14:paraId="67F5FE8C">
                  <w:pPr>
                    <w:widowControl/>
                    <w:jc w:val="center"/>
                    <w:rPr>
                      <w:color w:val="auto"/>
                      <w:szCs w:val="21"/>
                    </w:rPr>
                  </w:pPr>
                  <w:r>
                    <w:rPr>
                      <w:rFonts w:hint="eastAsia"/>
                      <w:color w:val="auto"/>
                      <w:szCs w:val="21"/>
                      <w:lang w:val="en-US" w:eastAsia="zh-CN"/>
                    </w:rPr>
                    <w:t>0.1</w:t>
                  </w:r>
                  <w:r>
                    <w:rPr>
                      <w:rFonts w:hint="eastAsia"/>
                      <w:color w:val="auto"/>
                      <w:szCs w:val="21"/>
                    </w:rPr>
                    <w:t>ND</w:t>
                  </w:r>
                </w:p>
              </w:tc>
              <w:tc>
                <w:tcPr>
                  <w:tcW w:w="763" w:type="pct"/>
                  <w:vMerge w:val="continue"/>
                  <w:vAlign w:val="center"/>
                </w:tcPr>
                <w:p w14:paraId="0F307747">
                  <w:pPr>
                    <w:widowControl/>
                    <w:jc w:val="center"/>
                    <w:rPr>
                      <w:color w:val="auto"/>
                      <w:szCs w:val="21"/>
                    </w:rPr>
                  </w:pPr>
                </w:p>
              </w:tc>
              <w:tc>
                <w:tcPr>
                  <w:tcW w:w="676" w:type="pct"/>
                  <w:vMerge w:val="continue"/>
                  <w:vAlign w:val="center"/>
                </w:tcPr>
                <w:p w14:paraId="287B472C">
                  <w:pPr>
                    <w:widowControl/>
                    <w:jc w:val="center"/>
                    <w:rPr>
                      <w:color w:val="auto"/>
                      <w:szCs w:val="21"/>
                    </w:rPr>
                  </w:pPr>
                </w:p>
              </w:tc>
            </w:tr>
            <w:tr w14:paraId="4B02DB4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vAlign w:val="center"/>
                </w:tcPr>
                <w:p w14:paraId="681BF698">
                  <w:pPr>
                    <w:widowControl/>
                    <w:jc w:val="center"/>
                    <w:rPr>
                      <w:color w:val="auto"/>
                      <w:szCs w:val="21"/>
                    </w:rPr>
                  </w:pPr>
                </w:p>
              </w:tc>
              <w:tc>
                <w:tcPr>
                  <w:tcW w:w="1782" w:type="dxa"/>
                  <w:vAlign w:val="center"/>
                </w:tcPr>
                <w:p w14:paraId="621B5B26">
                  <w:pPr>
                    <w:ind w:left="-105" w:leftChars="-50" w:right="-105" w:rightChars="-50"/>
                    <w:jc w:val="center"/>
                    <w:rPr>
                      <w:color w:val="auto"/>
                      <w:szCs w:val="21"/>
                    </w:rPr>
                  </w:pPr>
                  <w:r>
                    <w:rPr>
                      <w:rFonts w:hint="eastAsia" w:ascii="Times New Roman" w:cs="Times New Roman"/>
                      <w:color w:val="auto"/>
                      <w:sz w:val="21"/>
                      <w:szCs w:val="21"/>
                      <w:lang w:val="en-US" w:eastAsia="zh-CN"/>
                    </w:rPr>
                    <w:t>4</w:t>
                  </w:r>
                  <w:r>
                    <w:rPr>
                      <w:rFonts w:hint="default" w:ascii="Times New Roman" w:hAnsi="Times New Roman" w:cs="Times New Roman"/>
                      <w:color w:val="auto"/>
                      <w:sz w:val="21"/>
                      <w:szCs w:val="21"/>
                      <w:lang w:val="en-US" w:eastAsia="zh-CN"/>
                    </w:rPr>
                    <w:t>月</w:t>
                  </w:r>
                  <w:r>
                    <w:rPr>
                      <w:rFonts w:hint="eastAsia" w:cs="Times New Roman"/>
                      <w:color w:val="auto"/>
                      <w:sz w:val="21"/>
                      <w:szCs w:val="21"/>
                      <w:lang w:val="en-US" w:eastAsia="zh-CN"/>
                    </w:rPr>
                    <w:t>1</w:t>
                  </w:r>
                  <w:r>
                    <w:rPr>
                      <w:rFonts w:hint="eastAsia" w:asci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日</w:t>
                  </w:r>
                </w:p>
              </w:tc>
              <w:tc>
                <w:tcPr>
                  <w:tcW w:w="492" w:type="pct"/>
                  <w:vMerge w:val="continue"/>
                  <w:vAlign w:val="center"/>
                </w:tcPr>
                <w:p w14:paraId="165D8704">
                  <w:pPr>
                    <w:widowControl/>
                    <w:jc w:val="center"/>
                    <w:textAlignment w:val="center"/>
                    <w:rPr>
                      <w:color w:val="auto"/>
                      <w:szCs w:val="21"/>
                    </w:rPr>
                  </w:pPr>
                </w:p>
              </w:tc>
              <w:tc>
                <w:tcPr>
                  <w:tcW w:w="1080" w:type="pct"/>
                  <w:vAlign w:val="center"/>
                </w:tcPr>
                <w:p w14:paraId="40DD225D">
                  <w:pPr>
                    <w:widowControl/>
                    <w:jc w:val="center"/>
                    <w:rPr>
                      <w:color w:val="auto"/>
                      <w:szCs w:val="21"/>
                    </w:rPr>
                  </w:pPr>
                  <w:r>
                    <w:rPr>
                      <w:rFonts w:hint="eastAsia"/>
                      <w:color w:val="auto"/>
                      <w:szCs w:val="21"/>
                      <w:lang w:val="en-US" w:eastAsia="zh-CN"/>
                    </w:rPr>
                    <w:t>0.1</w:t>
                  </w:r>
                  <w:r>
                    <w:rPr>
                      <w:rFonts w:hint="eastAsia"/>
                      <w:color w:val="auto"/>
                      <w:szCs w:val="21"/>
                    </w:rPr>
                    <w:t>ND</w:t>
                  </w:r>
                </w:p>
              </w:tc>
              <w:tc>
                <w:tcPr>
                  <w:tcW w:w="763" w:type="pct"/>
                  <w:vMerge w:val="continue"/>
                  <w:vAlign w:val="center"/>
                </w:tcPr>
                <w:p w14:paraId="20FD25BC">
                  <w:pPr>
                    <w:widowControl/>
                    <w:jc w:val="center"/>
                    <w:rPr>
                      <w:color w:val="auto"/>
                      <w:szCs w:val="21"/>
                    </w:rPr>
                  </w:pPr>
                </w:p>
              </w:tc>
              <w:tc>
                <w:tcPr>
                  <w:tcW w:w="676" w:type="pct"/>
                  <w:vMerge w:val="continue"/>
                  <w:vAlign w:val="center"/>
                </w:tcPr>
                <w:p w14:paraId="171BA610">
                  <w:pPr>
                    <w:widowControl/>
                    <w:jc w:val="center"/>
                    <w:rPr>
                      <w:color w:val="auto"/>
                      <w:szCs w:val="21"/>
                    </w:rPr>
                  </w:pPr>
                </w:p>
              </w:tc>
            </w:tr>
          </w:tbl>
          <w:p w14:paraId="45AD8664">
            <w:pPr>
              <w:adjustRightInd w:val="0"/>
              <w:snapToGrid w:val="0"/>
              <w:spacing w:line="360" w:lineRule="auto"/>
              <w:ind w:firstLine="480" w:firstLineChars="200"/>
              <w:rPr>
                <w:rFonts w:hAnsi="宋体"/>
                <w:color w:val="auto"/>
                <w:sz w:val="24"/>
                <w:szCs w:val="24"/>
              </w:rPr>
            </w:pPr>
            <w:r>
              <w:rPr>
                <w:color w:val="auto"/>
                <w:sz w:val="24"/>
              </w:rPr>
              <w:t>由引用监测结果可知，项目</w:t>
            </w:r>
            <w:r>
              <w:rPr>
                <w:rFonts w:hint="eastAsia"/>
                <w:color w:val="auto"/>
                <w:sz w:val="24"/>
              </w:rPr>
              <w:t>所在区域</w:t>
            </w:r>
            <w:r>
              <w:rPr>
                <w:rFonts w:hint="eastAsia"/>
                <w:color w:val="auto"/>
                <w:sz w:val="24"/>
                <w:lang w:val="en-US" w:eastAsia="zh-CN"/>
              </w:rPr>
              <w:t>苯并[a]芘</w:t>
            </w:r>
            <w:r>
              <w:rPr>
                <w:color w:val="auto"/>
                <w:sz w:val="24"/>
              </w:rPr>
              <w:t>满足《</w:t>
            </w:r>
            <w:r>
              <w:rPr>
                <w:rFonts w:hint="eastAsia"/>
                <w:color w:val="auto"/>
                <w:sz w:val="24"/>
              </w:rPr>
              <w:t>环境空气质量标准</w:t>
            </w:r>
            <w:r>
              <w:rPr>
                <w:color w:val="auto"/>
                <w:sz w:val="24"/>
              </w:rPr>
              <w:t>》</w:t>
            </w:r>
            <w:r>
              <w:rPr>
                <w:bCs/>
                <w:color w:val="auto"/>
                <w:sz w:val="24"/>
              </w:rPr>
              <w:t>（</w:t>
            </w:r>
            <w:r>
              <w:rPr>
                <w:rFonts w:hint="eastAsia"/>
                <w:bCs/>
                <w:color w:val="auto"/>
                <w:sz w:val="24"/>
              </w:rPr>
              <w:t>GB3095-2012</w:t>
            </w:r>
            <w:r>
              <w:rPr>
                <w:bCs/>
                <w:color w:val="auto"/>
                <w:sz w:val="24"/>
              </w:rPr>
              <w:t>）</w:t>
            </w:r>
            <w:r>
              <w:rPr>
                <w:rFonts w:hint="eastAsia"/>
                <w:color w:val="auto"/>
                <w:sz w:val="24"/>
              </w:rPr>
              <w:t>二级</w:t>
            </w:r>
            <w:r>
              <w:rPr>
                <w:color w:val="auto"/>
                <w:sz w:val="24"/>
              </w:rPr>
              <w:t>标准要求</w:t>
            </w:r>
            <w:r>
              <w:rPr>
                <w:rFonts w:hint="eastAsia"/>
                <w:color w:val="auto"/>
                <w:sz w:val="24"/>
              </w:rPr>
              <w:t>。</w:t>
            </w:r>
            <w:bookmarkStart w:id="6" w:name="_GoBack"/>
            <w:bookmarkEnd w:id="6"/>
          </w:p>
          <w:p w14:paraId="6A0F3AF3">
            <w:pPr>
              <w:numPr>
                <w:ilvl w:val="0"/>
                <w:numId w:val="10"/>
              </w:numPr>
              <w:adjustRightInd w:val="0"/>
              <w:snapToGrid w:val="0"/>
              <w:spacing w:line="360" w:lineRule="auto"/>
              <w:ind w:firstLine="482" w:firstLineChars="200"/>
              <w:rPr>
                <w:rFonts w:hint="eastAsia"/>
                <w:b/>
                <w:bCs/>
                <w:color w:val="auto"/>
                <w:sz w:val="24"/>
                <w:szCs w:val="24"/>
              </w:rPr>
            </w:pPr>
            <w:r>
              <w:rPr>
                <w:rFonts w:hint="eastAsia"/>
                <w:b/>
                <w:bCs/>
                <w:color w:val="auto"/>
                <w:sz w:val="24"/>
                <w:szCs w:val="24"/>
                <w:lang w:val="en-US" w:eastAsia="zh-CN"/>
              </w:rPr>
              <w:t>声</w:t>
            </w:r>
            <w:r>
              <w:rPr>
                <w:rFonts w:hint="eastAsia"/>
                <w:b/>
                <w:bCs/>
                <w:color w:val="auto"/>
                <w:sz w:val="24"/>
                <w:szCs w:val="24"/>
              </w:rPr>
              <w:t>环境质量现状</w:t>
            </w:r>
          </w:p>
          <w:p w14:paraId="1EFA5314">
            <w:pPr>
              <w:numPr>
                <w:ilvl w:val="0"/>
                <w:numId w:val="0"/>
              </w:numPr>
              <w:adjustRightInd w:val="0"/>
              <w:snapToGrid w:val="0"/>
              <w:spacing w:line="360" w:lineRule="auto"/>
              <w:ind w:firstLine="480" w:firstLineChars="200"/>
              <w:rPr>
                <w:rFonts w:hint="eastAsia"/>
                <w:b/>
                <w:bCs/>
                <w:color w:val="auto"/>
                <w:sz w:val="24"/>
                <w:szCs w:val="24"/>
              </w:rPr>
            </w:pPr>
            <w:r>
              <w:rPr>
                <w:color w:val="auto"/>
                <w:sz w:val="24"/>
                <w:highlight w:val="none"/>
              </w:rPr>
              <w:t>本项目厂界外50</w:t>
            </w:r>
            <w:r>
              <w:rPr>
                <w:rFonts w:hint="eastAsia"/>
                <w:color w:val="auto"/>
                <w:sz w:val="24"/>
                <w:highlight w:val="none"/>
              </w:rPr>
              <w:t xml:space="preserve"> </w:t>
            </w:r>
            <w:r>
              <w:rPr>
                <w:color w:val="auto"/>
                <w:sz w:val="24"/>
                <w:highlight w:val="none"/>
              </w:rPr>
              <w:t>m范围内无声环境敏感目标。</w:t>
            </w:r>
          </w:p>
          <w:p w14:paraId="68D430FF">
            <w:pPr>
              <w:adjustRightInd w:val="0"/>
              <w:snapToGrid w:val="0"/>
              <w:spacing w:line="360" w:lineRule="auto"/>
              <w:ind w:firstLine="482" w:firstLineChars="200"/>
              <w:rPr>
                <w:b/>
                <w:bCs/>
                <w:color w:val="auto"/>
                <w:sz w:val="24"/>
                <w:szCs w:val="24"/>
              </w:rPr>
            </w:pPr>
            <w:r>
              <w:rPr>
                <w:rFonts w:hint="eastAsia" w:cs="Times New Roman"/>
                <w:b/>
                <w:color w:val="auto"/>
                <w:sz w:val="24"/>
                <w:szCs w:val="24"/>
                <w:highlight w:val="none"/>
                <w:lang w:val="en-US" w:eastAsia="zh-CN"/>
              </w:rPr>
              <w:t>3</w:t>
            </w:r>
            <w:r>
              <w:rPr>
                <w:rFonts w:hint="eastAsia"/>
                <w:b/>
                <w:color w:val="auto"/>
                <w:sz w:val="24"/>
                <w:szCs w:val="24"/>
              </w:rPr>
              <w:t>、</w:t>
            </w:r>
            <w:r>
              <w:rPr>
                <w:rFonts w:hint="eastAsia"/>
                <w:b/>
                <w:bCs/>
                <w:color w:val="auto"/>
                <w:sz w:val="24"/>
                <w:szCs w:val="24"/>
              </w:rPr>
              <w:t>土壤、地下水环境质量现状</w:t>
            </w:r>
          </w:p>
          <w:p w14:paraId="7892CF9F">
            <w:pPr>
              <w:adjustRightInd w:val="0"/>
              <w:snapToGrid w:val="0"/>
              <w:spacing w:line="360" w:lineRule="auto"/>
              <w:ind w:firstLine="480" w:firstLineChars="200"/>
              <w:rPr>
                <w:color w:val="auto"/>
                <w:sz w:val="24"/>
                <w:szCs w:val="24"/>
              </w:rPr>
            </w:pPr>
            <w:r>
              <w:rPr>
                <w:rFonts w:hint="eastAsia"/>
                <w:color w:val="auto"/>
                <w:sz w:val="24"/>
                <w:szCs w:val="24"/>
              </w:rPr>
              <w:t>根据《建设项目环境影响报告表编制技术指南》，原则上不开展土壤和地下水环境质量现状调查。并且</w:t>
            </w:r>
            <w:r>
              <w:rPr>
                <w:rFonts w:ascii="宋体" w:hAnsi="宋体" w:cs="宋体"/>
                <w:color w:val="auto"/>
                <w:sz w:val="24"/>
                <w:szCs w:val="24"/>
              </w:rPr>
              <w:t>项目建成后各</w:t>
            </w:r>
            <w:r>
              <w:rPr>
                <w:rFonts w:hint="eastAsia" w:ascii="宋体" w:hAnsi="宋体" w:cs="宋体"/>
                <w:color w:val="auto"/>
                <w:sz w:val="24"/>
                <w:szCs w:val="24"/>
                <w:lang w:val="en-US" w:eastAsia="zh-CN"/>
              </w:rPr>
              <w:t>检验</w:t>
            </w:r>
            <w:r>
              <w:rPr>
                <w:rFonts w:ascii="宋体" w:hAnsi="宋体" w:cs="宋体"/>
                <w:color w:val="auto"/>
                <w:sz w:val="24"/>
                <w:szCs w:val="24"/>
              </w:rPr>
              <w:t>工序位于</w:t>
            </w:r>
            <w:r>
              <w:rPr>
                <w:rFonts w:hint="eastAsia" w:ascii="宋体" w:hAnsi="宋体" w:cs="宋体"/>
                <w:color w:val="auto"/>
                <w:sz w:val="24"/>
                <w:szCs w:val="24"/>
                <w:lang w:val="en-US" w:eastAsia="zh-CN"/>
              </w:rPr>
              <w:t>室</w:t>
            </w:r>
            <w:r>
              <w:rPr>
                <w:rFonts w:ascii="宋体" w:hAnsi="宋体" w:cs="宋体"/>
                <w:color w:val="auto"/>
                <w:sz w:val="24"/>
                <w:szCs w:val="24"/>
              </w:rPr>
              <w:t>内，</w:t>
            </w:r>
            <w:r>
              <w:rPr>
                <w:rFonts w:hint="eastAsia" w:ascii="宋体" w:hAnsi="宋体" w:cs="宋体"/>
                <w:color w:val="auto"/>
                <w:sz w:val="24"/>
                <w:szCs w:val="24"/>
                <w:lang w:val="en-US" w:eastAsia="zh-CN"/>
              </w:rPr>
              <w:t>地面</w:t>
            </w:r>
            <w:r>
              <w:rPr>
                <w:rFonts w:ascii="宋体" w:hAnsi="宋体" w:cs="宋体"/>
                <w:color w:val="auto"/>
                <w:sz w:val="24"/>
                <w:szCs w:val="24"/>
              </w:rPr>
              <w:t>全部硬化</w:t>
            </w:r>
            <w:r>
              <w:rPr>
                <w:rFonts w:hint="eastAsia"/>
                <w:color w:val="auto"/>
                <w:sz w:val="24"/>
                <w:szCs w:val="24"/>
              </w:rPr>
              <w:t>，</w:t>
            </w:r>
            <w:r>
              <w:rPr>
                <w:rFonts w:ascii="宋体" w:hAnsi="宋体" w:cs="宋体"/>
                <w:color w:val="auto"/>
                <w:sz w:val="24"/>
                <w:szCs w:val="24"/>
              </w:rPr>
              <w:t>因此不对</w:t>
            </w:r>
            <w:r>
              <w:rPr>
                <w:rFonts w:hint="eastAsia" w:ascii="宋体" w:hAnsi="宋体" w:cs="宋体"/>
                <w:color w:val="auto"/>
                <w:sz w:val="24"/>
                <w:szCs w:val="24"/>
              </w:rPr>
              <w:t>土壤和</w:t>
            </w:r>
            <w:r>
              <w:rPr>
                <w:rFonts w:ascii="宋体" w:hAnsi="宋体" w:cs="宋体"/>
                <w:color w:val="auto"/>
                <w:sz w:val="24"/>
                <w:szCs w:val="24"/>
              </w:rPr>
              <w:t>地下水进行现状调查。</w:t>
            </w:r>
          </w:p>
          <w:p w14:paraId="2730FED7">
            <w:pPr>
              <w:adjustRightInd w:val="0"/>
              <w:snapToGrid w:val="0"/>
              <w:spacing w:line="360" w:lineRule="auto"/>
              <w:ind w:firstLine="482" w:firstLineChars="200"/>
              <w:rPr>
                <w:b/>
                <w:bCs/>
                <w:color w:val="auto"/>
                <w:sz w:val="24"/>
                <w:szCs w:val="24"/>
              </w:rPr>
            </w:pPr>
            <w:r>
              <w:rPr>
                <w:rFonts w:hint="eastAsia"/>
                <w:b/>
                <w:bCs/>
                <w:color w:val="auto"/>
                <w:sz w:val="24"/>
                <w:szCs w:val="24"/>
                <w:lang w:val="en-US" w:eastAsia="zh-CN"/>
              </w:rPr>
              <w:t>4</w:t>
            </w:r>
            <w:r>
              <w:rPr>
                <w:rFonts w:hint="eastAsia"/>
                <w:b/>
                <w:bCs/>
                <w:color w:val="auto"/>
                <w:sz w:val="24"/>
                <w:szCs w:val="24"/>
              </w:rPr>
              <w:t>、生态</w:t>
            </w:r>
            <w:r>
              <w:rPr>
                <w:b/>
                <w:bCs/>
                <w:color w:val="auto"/>
                <w:sz w:val="24"/>
                <w:szCs w:val="24"/>
              </w:rPr>
              <w:t>环境质量现状</w:t>
            </w:r>
          </w:p>
          <w:p w14:paraId="44F26022">
            <w:pPr>
              <w:adjustRightInd w:val="0"/>
              <w:snapToGrid w:val="0"/>
              <w:spacing w:line="360" w:lineRule="auto"/>
              <w:ind w:firstLine="480" w:firstLineChars="200"/>
              <w:rPr>
                <w:color w:val="auto"/>
                <w:kern w:val="0"/>
                <w:szCs w:val="21"/>
              </w:rPr>
            </w:pPr>
            <w:r>
              <w:rPr>
                <w:rFonts w:hint="eastAsia"/>
                <w:color w:val="auto"/>
                <w:sz w:val="24"/>
                <w:szCs w:val="24"/>
              </w:rPr>
              <w:t>根据《建设项目环境影响报告表编制技术指南》，本项目在现有</w:t>
            </w:r>
            <w:r>
              <w:rPr>
                <w:rFonts w:hint="eastAsia"/>
                <w:color w:val="auto"/>
                <w:sz w:val="24"/>
                <w:szCs w:val="24"/>
                <w:lang w:val="en-US" w:eastAsia="zh-CN"/>
              </w:rPr>
              <w:t>租赁办公楼内建设</w:t>
            </w:r>
            <w:r>
              <w:rPr>
                <w:rFonts w:hint="eastAsia"/>
                <w:color w:val="auto"/>
                <w:sz w:val="24"/>
                <w:szCs w:val="24"/>
              </w:rPr>
              <w:t>，</w:t>
            </w:r>
            <w:r>
              <w:rPr>
                <w:rFonts w:hint="eastAsia"/>
                <w:color w:val="auto"/>
                <w:sz w:val="24"/>
                <w:szCs w:val="24"/>
                <w:lang w:val="en-US" w:eastAsia="zh-CN"/>
              </w:rPr>
              <w:t>属于已建成区，</w:t>
            </w:r>
            <w:r>
              <w:rPr>
                <w:rFonts w:hint="eastAsia"/>
                <w:color w:val="auto"/>
                <w:sz w:val="24"/>
                <w:szCs w:val="24"/>
              </w:rPr>
              <w:t>无新增用地，故不进行生态现状调查。</w:t>
            </w:r>
          </w:p>
        </w:tc>
      </w:tr>
      <w:tr w14:paraId="72AF28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49" w:hRule="atLeast"/>
          <w:jc w:val="center"/>
        </w:trPr>
        <w:tc>
          <w:tcPr>
            <w:tcW w:w="800" w:type="dxa"/>
            <w:vAlign w:val="center"/>
          </w:tcPr>
          <w:p w14:paraId="45130084">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14:paraId="2C42CCA8">
            <w:pPr>
              <w:adjustRightInd w:val="0"/>
              <w:snapToGrid w:val="0"/>
              <w:jc w:val="center"/>
              <w:rPr>
                <w:rFonts w:ascii="宋体" w:hAnsi="宋体" w:cs="宋体"/>
                <w:color w:val="auto"/>
                <w:kern w:val="0"/>
                <w:szCs w:val="21"/>
              </w:rPr>
            </w:pPr>
            <w:r>
              <w:rPr>
                <w:rFonts w:hint="eastAsia" w:ascii="宋体" w:hAnsi="宋体" w:cs="宋体"/>
                <w:color w:val="auto"/>
                <w:kern w:val="0"/>
                <w:szCs w:val="21"/>
              </w:rPr>
              <w:t>保护</w:t>
            </w:r>
          </w:p>
          <w:p w14:paraId="2AA0DBAC">
            <w:pPr>
              <w:adjustRightInd w:val="0"/>
              <w:snapToGrid w:val="0"/>
              <w:jc w:val="center"/>
              <w:rPr>
                <w:rFonts w:ascii="宋体" w:hAnsi="宋体" w:cs="宋体"/>
                <w:color w:val="auto"/>
                <w:kern w:val="0"/>
                <w:szCs w:val="21"/>
              </w:rPr>
            </w:pPr>
            <w:r>
              <w:rPr>
                <w:rFonts w:hint="eastAsia" w:ascii="宋体" w:hAnsi="宋体" w:cs="宋体"/>
                <w:color w:val="auto"/>
                <w:kern w:val="0"/>
                <w:szCs w:val="21"/>
              </w:rPr>
              <w:t>目标</w:t>
            </w:r>
          </w:p>
        </w:tc>
        <w:tc>
          <w:tcPr>
            <w:tcW w:w="8190" w:type="dxa"/>
            <w:vAlign w:val="center"/>
          </w:tcPr>
          <w:p w14:paraId="131E48F5">
            <w:pPr>
              <w:spacing w:line="360" w:lineRule="auto"/>
              <w:rPr>
                <w:rFonts w:ascii="宋体" w:hAnsi="宋体" w:cs="宋体"/>
                <w:b/>
                <w:bCs/>
                <w:color w:val="auto"/>
                <w:spacing w:val="4"/>
                <w:sz w:val="24"/>
                <w:highlight w:val="none"/>
              </w:rPr>
            </w:pPr>
            <w:r>
              <w:rPr>
                <w:rFonts w:eastAsia="Times New Roman"/>
                <w:b/>
                <w:bCs/>
                <w:color w:val="auto"/>
                <w:spacing w:val="4"/>
                <w:sz w:val="24"/>
                <w:highlight w:val="none"/>
              </w:rPr>
              <w:t>1</w:t>
            </w:r>
            <w:r>
              <w:rPr>
                <w:rFonts w:ascii="宋体" w:hAnsi="宋体" w:cs="宋体"/>
                <w:b/>
                <w:bCs/>
                <w:color w:val="auto"/>
                <w:spacing w:val="4"/>
                <w:sz w:val="24"/>
                <w:highlight w:val="none"/>
              </w:rPr>
              <w:t>、大气环境</w:t>
            </w:r>
          </w:p>
          <w:p w14:paraId="005E6898">
            <w:pPr>
              <w:adjustRightInd w:val="0"/>
              <w:snapToGrid w:val="0"/>
              <w:spacing w:line="360" w:lineRule="auto"/>
              <w:ind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rPr>
              <w:t>根据现场踏勘，项目厂界外500m范围内大气环境保护目标见下表</w:t>
            </w:r>
            <w:r>
              <w:rPr>
                <w:rFonts w:hint="default" w:ascii="Times New Roman" w:hAnsi="Times New Roman" w:cs="Times New Roman"/>
                <w:color w:val="auto"/>
                <w:sz w:val="24"/>
                <w:szCs w:val="24"/>
              </w:rPr>
              <w:t>。</w:t>
            </w:r>
          </w:p>
          <w:p w14:paraId="67136C04">
            <w:pPr>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表3-</w:t>
            </w:r>
            <w:r>
              <w:rPr>
                <w:rFonts w:hint="eastAsia" w:cs="Times New Roman"/>
                <w:b/>
                <w:bCs/>
                <w:color w:val="auto"/>
                <w:sz w:val="24"/>
                <w:szCs w:val="24"/>
                <w:lang w:val="en-US" w:eastAsia="zh-CN"/>
              </w:rPr>
              <w:t>4</w:t>
            </w:r>
            <w:r>
              <w:rPr>
                <w:rFonts w:hint="default" w:ascii="Times New Roman" w:hAnsi="Times New Roman" w:cs="Times New Roman"/>
                <w:b/>
                <w:bCs/>
                <w:color w:val="auto"/>
                <w:sz w:val="24"/>
                <w:szCs w:val="24"/>
              </w:rPr>
              <w:t xml:space="preserve">  项目厂区周边主要大气环境保护目标</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669"/>
              <w:gridCol w:w="1380"/>
              <w:gridCol w:w="1486"/>
              <w:gridCol w:w="646"/>
              <w:gridCol w:w="812"/>
              <w:gridCol w:w="427"/>
              <w:gridCol w:w="1128"/>
            </w:tblGrid>
            <w:tr w14:paraId="1EB4E5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 w:type="pct"/>
                  <w:vMerge w:val="restart"/>
                  <w:tcBorders>
                    <w:tl2br w:val="nil"/>
                    <w:tr2bl w:val="nil"/>
                  </w:tcBorders>
                  <w:noWrap w:val="0"/>
                  <w:vAlign w:val="center"/>
                </w:tcPr>
                <w:p w14:paraId="2B15E931">
                  <w:pPr>
                    <w:widowControl/>
                    <w:adjustRightInd w:val="0"/>
                    <w:snapToGrid w:val="0"/>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项目</w:t>
                  </w:r>
                </w:p>
              </w:tc>
              <w:tc>
                <w:tcPr>
                  <w:tcW w:w="1046" w:type="pct"/>
                  <w:vMerge w:val="restart"/>
                  <w:tcBorders>
                    <w:tl2br w:val="nil"/>
                    <w:tr2bl w:val="nil"/>
                  </w:tcBorders>
                  <w:noWrap w:val="0"/>
                  <w:vAlign w:val="center"/>
                </w:tcPr>
                <w:p w14:paraId="24E57108">
                  <w:pPr>
                    <w:widowControl/>
                    <w:adjustRightInd w:val="0"/>
                    <w:snapToGrid w:val="0"/>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环境保护目标</w:t>
                  </w:r>
                </w:p>
              </w:tc>
              <w:tc>
                <w:tcPr>
                  <w:tcW w:w="1797" w:type="pct"/>
                  <w:gridSpan w:val="2"/>
                  <w:tcBorders>
                    <w:tl2br w:val="nil"/>
                    <w:tr2bl w:val="nil"/>
                  </w:tcBorders>
                  <w:noWrap w:val="0"/>
                  <w:vAlign w:val="center"/>
                </w:tcPr>
                <w:p w14:paraId="4D856F17">
                  <w:pPr>
                    <w:widowControl/>
                    <w:adjustRightInd w:val="0"/>
                    <w:snapToGrid w:val="0"/>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坐标</w:t>
                  </w:r>
                </w:p>
              </w:tc>
              <w:tc>
                <w:tcPr>
                  <w:tcW w:w="405" w:type="pct"/>
                  <w:vMerge w:val="restart"/>
                  <w:tcBorders>
                    <w:tl2br w:val="nil"/>
                    <w:tr2bl w:val="nil"/>
                  </w:tcBorders>
                  <w:noWrap w:val="0"/>
                  <w:vAlign w:val="center"/>
                </w:tcPr>
                <w:p w14:paraId="311C40F0">
                  <w:pPr>
                    <w:widowControl/>
                    <w:adjustRightInd w:val="0"/>
                    <w:snapToGrid w:val="0"/>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方位</w:t>
                  </w:r>
                </w:p>
              </w:tc>
              <w:tc>
                <w:tcPr>
                  <w:tcW w:w="509" w:type="pct"/>
                  <w:vMerge w:val="restart"/>
                  <w:tcBorders>
                    <w:tl2br w:val="nil"/>
                    <w:tr2bl w:val="nil"/>
                  </w:tcBorders>
                  <w:noWrap w:val="0"/>
                  <w:vAlign w:val="center"/>
                </w:tcPr>
                <w:p w14:paraId="6300E3DC">
                  <w:pPr>
                    <w:widowControl/>
                    <w:adjustRightInd w:val="0"/>
                    <w:snapToGrid w:val="0"/>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距离（m）</w:t>
                  </w:r>
                </w:p>
              </w:tc>
              <w:tc>
                <w:tcPr>
                  <w:tcW w:w="267" w:type="pct"/>
                  <w:vMerge w:val="restart"/>
                  <w:tcBorders>
                    <w:tl2br w:val="nil"/>
                    <w:tr2bl w:val="nil"/>
                  </w:tcBorders>
                  <w:noWrap w:val="0"/>
                  <w:vAlign w:val="center"/>
                </w:tcPr>
                <w:p w14:paraId="1E08D021">
                  <w:pPr>
                    <w:widowControl/>
                    <w:adjustRightInd w:val="0"/>
                    <w:snapToGrid w:val="0"/>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保护对象</w:t>
                  </w:r>
                </w:p>
              </w:tc>
              <w:tc>
                <w:tcPr>
                  <w:tcW w:w="707" w:type="pct"/>
                  <w:vMerge w:val="restart"/>
                  <w:tcBorders>
                    <w:tl2br w:val="nil"/>
                    <w:tr2bl w:val="nil"/>
                  </w:tcBorders>
                  <w:noWrap w:val="0"/>
                  <w:vAlign w:val="center"/>
                </w:tcPr>
                <w:p w14:paraId="16F6D2BE">
                  <w:pPr>
                    <w:widowControl/>
                    <w:adjustRightInd w:val="0"/>
                    <w:snapToGrid w:val="0"/>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保护级别</w:t>
                  </w:r>
                </w:p>
              </w:tc>
            </w:tr>
            <w:tr w14:paraId="2C0EAE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 w:type="pct"/>
                  <w:vMerge w:val="continue"/>
                  <w:tcBorders>
                    <w:tl2br w:val="nil"/>
                    <w:tr2bl w:val="nil"/>
                  </w:tcBorders>
                  <w:noWrap w:val="0"/>
                  <w:vAlign w:val="center"/>
                </w:tcPr>
                <w:p w14:paraId="0910983B">
                  <w:pPr>
                    <w:widowControl/>
                    <w:adjustRightInd w:val="0"/>
                    <w:snapToGrid w:val="0"/>
                    <w:spacing w:line="240" w:lineRule="auto"/>
                    <w:jc w:val="center"/>
                    <w:rPr>
                      <w:rFonts w:hint="default" w:ascii="Times New Roman" w:hAnsi="Times New Roman" w:cs="Times New Roman"/>
                      <w:color w:val="auto"/>
                      <w:kern w:val="0"/>
                      <w:sz w:val="21"/>
                      <w:szCs w:val="21"/>
                    </w:rPr>
                  </w:pPr>
                </w:p>
              </w:tc>
              <w:tc>
                <w:tcPr>
                  <w:tcW w:w="1046" w:type="pct"/>
                  <w:vMerge w:val="continue"/>
                  <w:tcBorders>
                    <w:tl2br w:val="nil"/>
                    <w:tr2bl w:val="nil"/>
                  </w:tcBorders>
                  <w:noWrap w:val="0"/>
                  <w:vAlign w:val="center"/>
                </w:tcPr>
                <w:p w14:paraId="79257082">
                  <w:pPr>
                    <w:widowControl/>
                    <w:adjustRightInd w:val="0"/>
                    <w:snapToGrid w:val="0"/>
                    <w:spacing w:line="240" w:lineRule="auto"/>
                    <w:jc w:val="center"/>
                    <w:rPr>
                      <w:rFonts w:hint="default" w:ascii="Times New Roman" w:hAnsi="Times New Roman" w:cs="Times New Roman"/>
                      <w:color w:val="auto"/>
                      <w:kern w:val="0"/>
                      <w:sz w:val="21"/>
                      <w:szCs w:val="21"/>
                    </w:rPr>
                  </w:pPr>
                </w:p>
              </w:tc>
              <w:tc>
                <w:tcPr>
                  <w:tcW w:w="865" w:type="pct"/>
                  <w:tcBorders>
                    <w:tl2br w:val="nil"/>
                    <w:tr2bl w:val="nil"/>
                  </w:tcBorders>
                  <w:noWrap w:val="0"/>
                  <w:vAlign w:val="center"/>
                </w:tcPr>
                <w:p w14:paraId="687BD01F">
                  <w:pPr>
                    <w:widowControl/>
                    <w:adjustRightInd w:val="0"/>
                    <w:snapToGrid w:val="0"/>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纬度（°）</w:t>
                  </w:r>
                </w:p>
              </w:tc>
              <w:tc>
                <w:tcPr>
                  <w:tcW w:w="931" w:type="pct"/>
                  <w:tcBorders>
                    <w:tl2br w:val="nil"/>
                    <w:tr2bl w:val="nil"/>
                  </w:tcBorders>
                  <w:noWrap w:val="0"/>
                  <w:vAlign w:val="center"/>
                </w:tcPr>
                <w:p w14:paraId="0EBC4AA0">
                  <w:pPr>
                    <w:widowControl/>
                    <w:adjustRightInd w:val="0"/>
                    <w:snapToGrid w:val="0"/>
                    <w:spacing w:line="240" w:lineRule="auto"/>
                    <w:jc w:val="center"/>
                    <w:rPr>
                      <w:rFonts w:hint="default" w:ascii="Times New Roman" w:hAnsi="Times New Roman" w:cs="Times New Roman"/>
                      <w:b/>
                      <w:bCs/>
                      <w:color w:val="auto"/>
                      <w:kern w:val="0"/>
                      <w:sz w:val="21"/>
                      <w:szCs w:val="21"/>
                    </w:rPr>
                  </w:pPr>
                  <w:r>
                    <w:rPr>
                      <w:rFonts w:hint="default" w:ascii="Times New Roman" w:hAnsi="Times New Roman" w:cs="Times New Roman"/>
                      <w:b/>
                      <w:bCs/>
                      <w:color w:val="auto"/>
                      <w:kern w:val="0"/>
                      <w:sz w:val="21"/>
                      <w:szCs w:val="21"/>
                    </w:rPr>
                    <w:t>经度（°）</w:t>
                  </w:r>
                </w:p>
              </w:tc>
              <w:tc>
                <w:tcPr>
                  <w:tcW w:w="405" w:type="pct"/>
                  <w:vMerge w:val="continue"/>
                  <w:tcBorders>
                    <w:tl2br w:val="nil"/>
                    <w:tr2bl w:val="nil"/>
                  </w:tcBorders>
                  <w:noWrap w:val="0"/>
                  <w:vAlign w:val="center"/>
                </w:tcPr>
                <w:p w14:paraId="14E4A369">
                  <w:pPr>
                    <w:widowControl/>
                    <w:adjustRightInd w:val="0"/>
                    <w:snapToGrid w:val="0"/>
                    <w:spacing w:line="240" w:lineRule="auto"/>
                    <w:jc w:val="center"/>
                    <w:rPr>
                      <w:rFonts w:hint="default" w:ascii="Times New Roman" w:hAnsi="Times New Roman" w:cs="Times New Roman"/>
                      <w:color w:val="auto"/>
                      <w:kern w:val="0"/>
                      <w:sz w:val="21"/>
                      <w:szCs w:val="21"/>
                    </w:rPr>
                  </w:pPr>
                </w:p>
              </w:tc>
              <w:tc>
                <w:tcPr>
                  <w:tcW w:w="509" w:type="pct"/>
                  <w:vMerge w:val="continue"/>
                  <w:tcBorders>
                    <w:tl2br w:val="nil"/>
                    <w:tr2bl w:val="nil"/>
                  </w:tcBorders>
                  <w:noWrap w:val="0"/>
                  <w:vAlign w:val="center"/>
                </w:tcPr>
                <w:p w14:paraId="2316E811">
                  <w:pPr>
                    <w:widowControl/>
                    <w:adjustRightInd w:val="0"/>
                    <w:snapToGrid w:val="0"/>
                    <w:spacing w:line="240" w:lineRule="auto"/>
                    <w:jc w:val="center"/>
                    <w:rPr>
                      <w:rFonts w:hint="default" w:ascii="Times New Roman" w:hAnsi="Times New Roman" w:cs="Times New Roman"/>
                      <w:color w:val="auto"/>
                      <w:kern w:val="0"/>
                      <w:sz w:val="21"/>
                      <w:szCs w:val="21"/>
                    </w:rPr>
                  </w:pPr>
                </w:p>
              </w:tc>
              <w:tc>
                <w:tcPr>
                  <w:tcW w:w="267" w:type="pct"/>
                  <w:vMerge w:val="continue"/>
                  <w:tcBorders>
                    <w:tl2br w:val="nil"/>
                    <w:tr2bl w:val="nil"/>
                  </w:tcBorders>
                  <w:noWrap w:val="0"/>
                  <w:vAlign w:val="center"/>
                </w:tcPr>
                <w:p w14:paraId="5123201B">
                  <w:pPr>
                    <w:widowControl/>
                    <w:adjustRightInd w:val="0"/>
                    <w:snapToGrid w:val="0"/>
                    <w:spacing w:line="240" w:lineRule="auto"/>
                    <w:jc w:val="center"/>
                    <w:rPr>
                      <w:rFonts w:hint="default" w:ascii="Times New Roman" w:hAnsi="Times New Roman" w:cs="Times New Roman"/>
                      <w:color w:val="auto"/>
                      <w:kern w:val="0"/>
                      <w:sz w:val="21"/>
                      <w:szCs w:val="21"/>
                    </w:rPr>
                  </w:pPr>
                </w:p>
              </w:tc>
              <w:tc>
                <w:tcPr>
                  <w:tcW w:w="707" w:type="pct"/>
                  <w:vMerge w:val="continue"/>
                  <w:tcBorders>
                    <w:tl2br w:val="nil"/>
                    <w:tr2bl w:val="nil"/>
                  </w:tcBorders>
                  <w:noWrap w:val="0"/>
                  <w:vAlign w:val="center"/>
                </w:tcPr>
                <w:p w14:paraId="52366ACD">
                  <w:pPr>
                    <w:widowControl/>
                    <w:adjustRightInd w:val="0"/>
                    <w:snapToGrid w:val="0"/>
                    <w:spacing w:line="240" w:lineRule="auto"/>
                    <w:jc w:val="center"/>
                    <w:rPr>
                      <w:rFonts w:hint="default" w:ascii="Times New Roman" w:hAnsi="Times New Roman" w:cs="Times New Roman"/>
                      <w:color w:val="auto"/>
                      <w:kern w:val="0"/>
                      <w:sz w:val="21"/>
                      <w:szCs w:val="21"/>
                    </w:rPr>
                  </w:pPr>
                </w:p>
              </w:tc>
            </w:tr>
            <w:tr w14:paraId="616D15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 w:type="pct"/>
                  <w:vMerge w:val="restart"/>
                  <w:tcBorders>
                    <w:tl2br w:val="nil"/>
                    <w:tr2bl w:val="nil"/>
                  </w:tcBorders>
                  <w:noWrap w:val="0"/>
                  <w:vAlign w:val="center"/>
                </w:tcPr>
                <w:p w14:paraId="2D032CB7">
                  <w:pPr>
                    <w:widowControl/>
                    <w:adjustRightInd w:val="0"/>
                    <w:snapToGrid w:val="0"/>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大气环境</w:t>
                  </w:r>
                </w:p>
              </w:tc>
              <w:tc>
                <w:tcPr>
                  <w:tcW w:w="1046" w:type="pct"/>
                  <w:tcBorders>
                    <w:tl2br w:val="nil"/>
                    <w:tr2bl w:val="nil"/>
                  </w:tcBorders>
                  <w:noWrap w:val="0"/>
                  <w:vAlign w:val="center"/>
                </w:tcPr>
                <w:p w14:paraId="636FE816">
                  <w:pPr>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陕西汉唐职业技术学校</w:t>
                  </w:r>
                </w:p>
              </w:tc>
              <w:tc>
                <w:tcPr>
                  <w:tcW w:w="865" w:type="pct"/>
                  <w:tcBorders>
                    <w:tl2br w:val="nil"/>
                    <w:tr2bl w:val="nil"/>
                  </w:tcBorders>
                  <w:noWrap w:val="0"/>
                  <w:vAlign w:val="center"/>
                </w:tcPr>
                <w:p w14:paraId="52D068EE">
                  <w:pPr>
                    <w:widowControl/>
                    <w:jc w:val="center"/>
                    <w:rPr>
                      <w:rFonts w:hint="eastAsia"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sz w:val="21"/>
                      <w:szCs w:val="21"/>
                    </w:rPr>
                    <w:t>108.82681</w:t>
                  </w:r>
                  <w:r>
                    <w:rPr>
                      <w:rFonts w:hint="eastAsia" w:ascii="Times New Roman" w:hAnsi="Times New Roman" w:cs="Times New Roman"/>
                      <w:color w:val="auto"/>
                      <w:sz w:val="21"/>
                      <w:szCs w:val="21"/>
                      <w:lang w:val="en-US" w:eastAsia="zh-CN"/>
                    </w:rPr>
                    <w:t>7</w:t>
                  </w:r>
                </w:p>
              </w:tc>
              <w:tc>
                <w:tcPr>
                  <w:tcW w:w="931" w:type="pct"/>
                  <w:tcBorders>
                    <w:tl2br w:val="nil"/>
                    <w:tr2bl w:val="nil"/>
                  </w:tcBorders>
                  <w:noWrap w:val="0"/>
                  <w:vAlign w:val="center"/>
                </w:tcPr>
                <w:p w14:paraId="785E9375">
                  <w:pPr>
                    <w:adjustRightInd w:val="0"/>
                    <w:snapToGrid w:val="0"/>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34.321929</w:t>
                  </w:r>
                </w:p>
              </w:tc>
              <w:tc>
                <w:tcPr>
                  <w:tcW w:w="405" w:type="pct"/>
                  <w:tcBorders>
                    <w:tl2br w:val="nil"/>
                    <w:tr2bl w:val="nil"/>
                  </w:tcBorders>
                  <w:noWrap w:val="0"/>
                  <w:vAlign w:val="center"/>
                </w:tcPr>
                <w:p w14:paraId="1A5E7EA9">
                  <w:pPr>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lang w:val="en-US" w:eastAsia="zh-CN"/>
                    </w:rPr>
                    <w:t>SE</w:t>
                  </w:r>
                </w:p>
              </w:tc>
              <w:tc>
                <w:tcPr>
                  <w:tcW w:w="509" w:type="pct"/>
                  <w:tcBorders>
                    <w:tl2br w:val="nil"/>
                    <w:tr2bl w:val="nil"/>
                  </w:tcBorders>
                  <w:noWrap w:val="0"/>
                  <w:vAlign w:val="center"/>
                </w:tcPr>
                <w:p w14:paraId="08A17920">
                  <w:pPr>
                    <w:jc w:val="center"/>
                    <w:rPr>
                      <w:rFonts w:hint="default" w:ascii="Times New Roman" w:hAnsi="Times New Roman" w:cs="Times New Roman"/>
                      <w:color w:val="auto"/>
                      <w:kern w:val="0"/>
                      <w:sz w:val="21"/>
                      <w:szCs w:val="21"/>
                    </w:rPr>
                  </w:pP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80</w:t>
                  </w:r>
                </w:p>
              </w:tc>
              <w:tc>
                <w:tcPr>
                  <w:tcW w:w="267" w:type="pct"/>
                  <w:vMerge w:val="restart"/>
                  <w:tcBorders>
                    <w:tl2br w:val="nil"/>
                    <w:tr2bl w:val="nil"/>
                  </w:tcBorders>
                  <w:noWrap w:val="0"/>
                  <w:vAlign w:val="center"/>
                </w:tcPr>
                <w:p w14:paraId="3E436490">
                  <w:pPr>
                    <w:widowControl/>
                    <w:adjustRightInd w:val="0"/>
                    <w:snapToGrid w:val="0"/>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人群健康</w:t>
                  </w:r>
                </w:p>
              </w:tc>
              <w:tc>
                <w:tcPr>
                  <w:tcW w:w="707" w:type="pct"/>
                  <w:vMerge w:val="restart"/>
                  <w:tcBorders>
                    <w:tl2br w:val="nil"/>
                    <w:tr2bl w:val="nil"/>
                  </w:tcBorders>
                  <w:noWrap w:val="0"/>
                  <w:vAlign w:val="center"/>
                </w:tcPr>
                <w:p w14:paraId="44291E26">
                  <w:pPr>
                    <w:widowControl/>
                    <w:adjustRightInd w:val="0"/>
                    <w:snapToGrid w:val="0"/>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《环境空</w:t>
                  </w:r>
                </w:p>
                <w:p w14:paraId="65DFEE3E">
                  <w:pPr>
                    <w:widowControl/>
                    <w:adjustRightInd w:val="0"/>
                    <w:snapToGrid w:val="0"/>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气质量标</w:t>
                  </w:r>
                </w:p>
                <w:p w14:paraId="2BFCDF2B">
                  <w:pPr>
                    <w:widowControl/>
                    <w:adjustRightInd w:val="0"/>
                    <w:snapToGrid w:val="0"/>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准》（GB30</w:t>
                  </w:r>
                </w:p>
                <w:p w14:paraId="641CEE3F">
                  <w:pPr>
                    <w:widowControl/>
                    <w:adjustRightInd w:val="0"/>
                    <w:snapToGrid w:val="0"/>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95-2012）</w:t>
                  </w:r>
                </w:p>
                <w:p w14:paraId="0785580F">
                  <w:pPr>
                    <w:widowControl/>
                    <w:adjustRightInd w:val="0"/>
                    <w:snapToGrid w:val="0"/>
                    <w:spacing w:line="24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及修改单</w:t>
                  </w:r>
                </w:p>
              </w:tc>
            </w:tr>
            <w:tr w14:paraId="537108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7" w:type="pct"/>
                  <w:vMerge w:val="continue"/>
                  <w:tcBorders>
                    <w:tl2br w:val="nil"/>
                    <w:tr2bl w:val="nil"/>
                  </w:tcBorders>
                  <w:noWrap w:val="0"/>
                  <w:vAlign w:val="center"/>
                </w:tcPr>
                <w:p w14:paraId="1296AEA7">
                  <w:pPr>
                    <w:widowControl/>
                    <w:adjustRightInd w:val="0"/>
                    <w:snapToGrid w:val="0"/>
                    <w:spacing w:line="240" w:lineRule="auto"/>
                    <w:jc w:val="center"/>
                    <w:rPr>
                      <w:rFonts w:hint="default" w:ascii="Times New Roman" w:hAnsi="Times New Roman" w:cs="Times New Roman"/>
                      <w:color w:val="auto"/>
                      <w:kern w:val="0"/>
                      <w:sz w:val="21"/>
                      <w:szCs w:val="21"/>
                    </w:rPr>
                  </w:pPr>
                </w:p>
              </w:tc>
              <w:tc>
                <w:tcPr>
                  <w:tcW w:w="1046" w:type="pct"/>
                  <w:tcBorders>
                    <w:tl2br w:val="nil"/>
                    <w:tr2bl w:val="nil"/>
                  </w:tcBorders>
                  <w:noWrap w:val="0"/>
                  <w:vAlign w:val="center"/>
                </w:tcPr>
                <w:p w14:paraId="033B7775">
                  <w:pPr>
                    <w:jc w:val="center"/>
                    <w:rPr>
                      <w:rFonts w:hint="default" w:ascii="Times New Roman" w:hAnsi="Times New Roman" w:cs="Times New Roman"/>
                      <w:color w:val="auto"/>
                      <w:kern w:val="0"/>
                      <w:sz w:val="21"/>
                      <w:szCs w:val="21"/>
                    </w:rPr>
                  </w:pPr>
                  <w:r>
                    <w:rPr>
                      <w:rFonts w:hint="default" w:ascii="Times New Roman" w:hAnsi="Times New Roman" w:eastAsia="宋体" w:cs="Times New Roman"/>
                      <w:color w:val="auto"/>
                      <w:kern w:val="0"/>
                      <w:sz w:val="21"/>
                      <w:szCs w:val="21"/>
                      <w:lang w:val="en-US" w:eastAsia="zh-CN"/>
                    </w:rPr>
                    <w:t>西安航空旅游技师学院</w:t>
                  </w:r>
                </w:p>
              </w:tc>
              <w:tc>
                <w:tcPr>
                  <w:tcW w:w="865" w:type="pct"/>
                  <w:tcBorders>
                    <w:tl2br w:val="nil"/>
                    <w:tr2bl w:val="nil"/>
                  </w:tcBorders>
                  <w:noWrap w:val="0"/>
                  <w:vAlign w:val="center"/>
                </w:tcPr>
                <w:p w14:paraId="5C89C592">
                  <w:pPr>
                    <w:widowControl/>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108.821055</w:t>
                  </w:r>
                </w:p>
              </w:tc>
              <w:tc>
                <w:tcPr>
                  <w:tcW w:w="931" w:type="pct"/>
                  <w:tcBorders>
                    <w:tl2br w:val="nil"/>
                    <w:tr2bl w:val="nil"/>
                  </w:tcBorders>
                  <w:noWrap w:val="0"/>
                  <w:vAlign w:val="center"/>
                </w:tcPr>
                <w:p w14:paraId="62EC51EB">
                  <w:pPr>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sz w:val="21"/>
                      <w:szCs w:val="21"/>
                    </w:rPr>
                    <w:t>34.3218</w:t>
                  </w:r>
                  <w:r>
                    <w:rPr>
                      <w:rFonts w:hint="eastAsia" w:ascii="Times New Roman" w:hAnsi="Times New Roman" w:cs="Times New Roman"/>
                      <w:color w:val="auto"/>
                      <w:sz w:val="21"/>
                      <w:szCs w:val="21"/>
                      <w:lang w:val="en-US" w:eastAsia="zh-CN"/>
                    </w:rPr>
                    <w:t>90</w:t>
                  </w:r>
                </w:p>
              </w:tc>
              <w:tc>
                <w:tcPr>
                  <w:tcW w:w="405" w:type="pct"/>
                  <w:tcBorders>
                    <w:tl2br w:val="nil"/>
                    <w:tr2bl w:val="nil"/>
                  </w:tcBorders>
                  <w:noWrap w:val="0"/>
                  <w:vAlign w:val="center"/>
                </w:tcPr>
                <w:p w14:paraId="21D99BA9">
                  <w:pPr>
                    <w:jc w:val="center"/>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lang w:val="en-US" w:eastAsia="zh-CN"/>
                    </w:rPr>
                    <w:t>S</w:t>
                  </w:r>
                  <w:r>
                    <w:rPr>
                      <w:rFonts w:hint="eastAsia" w:ascii="Times New Roman" w:hAnsi="Times New Roman" w:cs="Times New Roman"/>
                      <w:color w:val="auto"/>
                      <w:sz w:val="21"/>
                      <w:szCs w:val="21"/>
                      <w:lang w:val="en-US" w:eastAsia="zh-CN"/>
                    </w:rPr>
                    <w:t>W</w:t>
                  </w:r>
                </w:p>
              </w:tc>
              <w:tc>
                <w:tcPr>
                  <w:tcW w:w="509" w:type="pct"/>
                  <w:tcBorders>
                    <w:tl2br w:val="nil"/>
                    <w:tr2bl w:val="nil"/>
                  </w:tcBorders>
                  <w:noWrap w:val="0"/>
                  <w:vAlign w:val="center"/>
                </w:tcPr>
                <w:p w14:paraId="39657813">
                  <w:pPr>
                    <w:jc w:val="center"/>
                    <w:rPr>
                      <w:rFonts w:hint="default" w:ascii="Times New Roman" w:hAnsi="Times New Roman" w:cs="Times New Roman"/>
                      <w:color w:val="auto"/>
                      <w:kern w:val="0"/>
                      <w:sz w:val="21"/>
                      <w:szCs w:val="21"/>
                    </w:rPr>
                  </w:pPr>
                  <w:r>
                    <w:rPr>
                      <w:rFonts w:hint="eastAsia" w:ascii="Times New Roman" w:hAnsi="Times New Roman" w:cs="Times New Roman"/>
                      <w:color w:val="auto"/>
                      <w:sz w:val="21"/>
                      <w:szCs w:val="21"/>
                      <w:lang w:val="en-US" w:eastAsia="zh-CN"/>
                    </w:rPr>
                    <w:t>49</w:t>
                  </w:r>
                  <w:r>
                    <w:rPr>
                      <w:rFonts w:hint="default" w:ascii="Times New Roman" w:hAnsi="Times New Roman" w:cs="Times New Roman"/>
                      <w:color w:val="auto"/>
                      <w:sz w:val="21"/>
                      <w:szCs w:val="21"/>
                      <w:lang w:val="en-US" w:eastAsia="zh-CN"/>
                    </w:rPr>
                    <w:t>0</w:t>
                  </w:r>
                </w:p>
              </w:tc>
              <w:tc>
                <w:tcPr>
                  <w:tcW w:w="267" w:type="pct"/>
                  <w:vMerge w:val="continue"/>
                  <w:tcBorders>
                    <w:tl2br w:val="nil"/>
                    <w:tr2bl w:val="nil"/>
                  </w:tcBorders>
                  <w:noWrap w:val="0"/>
                  <w:vAlign w:val="center"/>
                </w:tcPr>
                <w:p w14:paraId="38A1BDFB">
                  <w:pPr>
                    <w:widowControl/>
                    <w:adjustRightInd w:val="0"/>
                    <w:snapToGrid w:val="0"/>
                    <w:spacing w:line="240" w:lineRule="auto"/>
                    <w:jc w:val="center"/>
                    <w:rPr>
                      <w:rFonts w:hint="default" w:ascii="Times New Roman" w:hAnsi="Times New Roman" w:cs="Times New Roman"/>
                      <w:color w:val="auto"/>
                      <w:kern w:val="0"/>
                      <w:sz w:val="21"/>
                      <w:szCs w:val="21"/>
                    </w:rPr>
                  </w:pPr>
                </w:p>
              </w:tc>
              <w:tc>
                <w:tcPr>
                  <w:tcW w:w="707" w:type="pct"/>
                  <w:vMerge w:val="continue"/>
                  <w:tcBorders>
                    <w:tl2br w:val="nil"/>
                    <w:tr2bl w:val="nil"/>
                  </w:tcBorders>
                  <w:noWrap w:val="0"/>
                  <w:vAlign w:val="center"/>
                </w:tcPr>
                <w:p w14:paraId="70C17C55">
                  <w:pPr>
                    <w:widowControl/>
                    <w:adjustRightInd w:val="0"/>
                    <w:snapToGrid w:val="0"/>
                    <w:spacing w:line="240" w:lineRule="auto"/>
                    <w:jc w:val="center"/>
                    <w:rPr>
                      <w:rFonts w:hint="default" w:ascii="Times New Roman" w:hAnsi="Times New Roman" w:cs="Times New Roman"/>
                      <w:color w:val="auto"/>
                      <w:kern w:val="0"/>
                      <w:sz w:val="21"/>
                      <w:szCs w:val="21"/>
                    </w:rPr>
                  </w:pPr>
                </w:p>
              </w:tc>
            </w:tr>
          </w:tbl>
          <w:p w14:paraId="32F1DF47">
            <w:pPr>
              <w:adjustRightInd w:val="0"/>
              <w:snapToGrid w:val="0"/>
              <w:spacing w:line="360" w:lineRule="auto"/>
              <w:rPr>
                <w:rFonts w:hint="eastAsia" w:eastAsia="宋体"/>
                <w:b/>
                <w:bCs/>
                <w:color w:val="auto"/>
                <w:spacing w:val="4"/>
                <w:sz w:val="24"/>
                <w:highlight w:val="none"/>
                <w:lang w:eastAsia="zh-CN"/>
              </w:rPr>
            </w:pPr>
            <w:r>
              <w:rPr>
                <w:rFonts w:eastAsia="Times New Roman"/>
                <w:b/>
                <w:bCs/>
                <w:color w:val="auto"/>
                <w:spacing w:val="4"/>
                <w:sz w:val="24"/>
                <w:highlight w:val="none"/>
              </w:rPr>
              <w:t>2</w:t>
            </w:r>
            <w:r>
              <w:rPr>
                <w:rFonts w:hint="eastAsia" w:eastAsia="宋体"/>
                <w:b/>
                <w:bCs/>
                <w:color w:val="auto"/>
                <w:spacing w:val="4"/>
                <w:sz w:val="24"/>
                <w:highlight w:val="none"/>
                <w:lang w:eastAsia="zh-CN"/>
              </w:rPr>
              <w:t>、噪声</w:t>
            </w:r>
          </w:p>
          <w:p w14:paraId="1C0BC46E">
            <w:pPr>
              <w:spacing w:line="360" w:lineRule="auto"/>
              <w:ind w:firstLine="480" w:firstLineChars="200"/>
              <w:rPr>
                <w:color w:val="auto"/>
                <w:sz w:val="24"/>
                <w:highlight w:val="none"/>
              </w:rPr>
            </w:pPr>
            <w:r>
              <w:rPr>
                <w:color w:val="auto"/>
                <w:sz w:val="24"/>
                <w:highlight w:val="none"/>
              </w:rPr>
              <w:t>本项目厂界外50</w:t>
            </w:r>
            <w:r>
              <w:rPr>
                <w:rFonts w:hint="eastAsia"/>
                <w:color w:val="auto"/>
                <w:sz w:val="24"/>
                <w:highlight w:val="none"/>
              </w:rPr>
              <w:t xml:space="preserve"> </w:t>
            </w:r>
            <w:r>
              <w:rPr>
                <w:color w:val="auto"/>
                <w:sz w:val="24"/>
                <w:highlight w:val="none"/>
              </w:rPr>
              <w:t>m范围内无声环境敏感目标。</w:t>
            </w:r>
          </w:p>
          <w:p w14:paraId="48041571">
            <w:pPr>
              <w:adjustRightInd w:val="0"/>
              <w:snapToGrid w:val="0"/>
              <w:spacing w:line="360" w:lineRule="auto"/>
              <w:rPr>
                <w:rFonts w:eastAsia="Times New Roman"/>
                <w:b/>
                <w:bCs/>
                <w:color w:val="auto"/>
                <w:spacing w:val="4"/>
                <w:sz w:val="28"/>
                <w:szCs w:val="28"/>
                <w:highlight w:val="none"/>
              </w:rPr>
            </w:pPr>
            <w:r>
              <w:rPr>
                <w:rFonts w:eastAsia="Times New Roman"/>
                <w:b/>
                <w:bCs/>
                <w:color w:val="auto"/>
                <w:spacing w:val="4"/>
                <w:sz w:val="28"/>
                <w:szCs w:val="28"/>
                <w:highlight w:val="none"/>
              </w:rPr>
              <w:t>3</w:t>
            </w:r>
            <w:r>
              <w:rPr>
                <w:rFonts w:eastAsia="Times New Roman"/>
                <w:b/>
                <w:bCs/>
                <w:color w:val="auto"/>
                <w:spacing w:val="4"/>
                <w:sz w:val="24"/>
                <w:highlight w:val="none"/>
              </w:rPr>
              <w:t>、地下水环境</w:t>
            </w:r>
          </w:p>
          <w:p w14:paraId="389561D4">
            <w:pPr>
              <w:adjustRightInd w:val="0"/>
              <w:snapToGrid w:val="0"/>
              <w:spacing w:line="360" w:lineRule="auto"/>
              <w:ind w:firstLine="480" w:firstLineChars="200"/>
              <w:rPr>
                <w:color w:val="auto"/>
                <w:sz w:val="24"/>
                <w:highlight w:val="none"/>
              </w:rPr>
            </w:pPr>
            <w:r>
              <w:rPr>
                <w:color w:val="auto"/>
                <w:sz w:val="24"/>
                <w:highlight w:val="none"/>
              </w:rPr>
              <w:t>本项目厂界外500米范围内无地下水集中式饮用水水源和热水、矿泉水、温泉等特殊地下水资源。</w:t>
            </w:r>
          </w:p>
          <w:p w14:paraId="5A9C2A6E">
            <w:pPr>
              <w:adjustRightInd w:val="0"/>
              <w:snapToGrid w:val="0"/>
              <w:spacing w:line="360" w:lineRule="auto"/>
              <w:rPr>
                <w:rFonts w:eastAsia="Times New Roman"/>
                <w:b/>
                <w:bCs/>
                <w:color w:val="auto"/>
                <w:spacing w:val="4"/>
                <w:sz w:val="28"/>
                <w:szCs w:val="28"/>
                <w:highlight w:val="none"/>
              </w:rPr>
            </w:pPr>
            <w:r>
              <w:rPr>
                <w:rFonts w:hint="eastAsia" w:eastAsia="Times New Roman"/>
                <w:b/>
                <w:bCs/>
                <w:color w:val="auto"/>
                <w:spacing w:val="4"/>
                <w:sz w:val="28"/>
                <w:szCs w:val="28"/>
                <w:highlight w:val="none"/>
              </w:rPr>
              <w:t>4</w:t>
            </w:r>
            <w:r>
              <w:rPr>
                <w:rFonts w:hint="eastAsia" w:eastAsia="Times New Roman"/>
                <w:b/>
                <w:bCs/>
                <w:color w:val="auto"/>
                <w:spacing w:val="4"/>
                <w:sz w:val="24"/>
                <w:highlight w:val="none"/>
              </w:rPr>
              <w:t>、</w:t>
            </w:r>
            <w:r>
              <w:rPr>
                <w:rFonts w:eastAsia="Times New Roman"/>
                <w:b/>
                <w:bCs/>
                <w:color w:val="auto"/>
                <w:spacing w:val="4"/>
                <w:sz w:val="24"/>
                <w:highlight w:val="none"/>
              </w:rPr>
              <w:t>生态环境</w:t>
            </w:r>
          </w:p>
          <w:p w14:paraId="7191FEE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color w:val="auto"/>
                <w:kern w:val="0"/>
                <w:szCs w:val="21"/>
              </w:rPr>
            </w:pPr>
            <w:r>
              <w:rPr>
                <w:color w:val="auto"/>
                <w:sz w:val="24"/>
                <w:highlight w:val="none"/>
              </w:rPr>
              <w:t>本项目位于</w:t>
            </w:r>
            <w:r>
              <w:rPr>
                <w:rFonts w:hint="eastAsia"/>
                <w:color w:val="auto"/>
                <w:sz w:val="24"/>
                <w:lang w:val="en-US" w:eastAsia="zh-CN"/>
              </w:rPr>
              <w:t>西安众汇电子科技有限公司院内</w:t>
            </w:r>
            <w:r>
              <w:rPr>
                <w:color w:val="auto"/>
                <w:sz w:val="24"/>
                <w:highlight w:val="none"/>
              </w:rPr>
              <w:t>，无需土建，用地范围内无生态环境保护目标。</w:t>
            </w:r>
          </w:p>
        </w:tc>
      </w:tr>
      <w:tr w14:paraId="013724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00" w:type="dxa"/>
            <w:tcMar>
              <w:left w:w="28" w:type="dxa"/>
              <w:right w:w="28" w:type="dxa"/>
            </w:tcMar>
            <w:vAlign w:val="center"/>
          </w:tcPr>
          <w:p w14:paraId="669CECBF">
            <w:pPr>
              <w:adjustRightInd w:val="0"/>
              <w:snapToGrid w:val="0"/>
              <w:jc w:val="center"/>
              <w:rPr>
                <w:rFonts w:ascii="宋体" w:hAnsi="宋体" w:cs="宋体"/>
                <w:color w:val="auto"/>
                <w:kern w:val="0"/>
                <w:szCs w:val="21"/>
              </w:rPr>
            </w:pPr>
            <w:r>
              <w:rPr>
                <w:rFonts w:hint="eastAsia" w:ascii="宋体" w:hAnsi="宋体" w:cs="宋体"/>
                <w:color w:val="auto"/>
                <w:kern w:val="0"/>
                <w:szCs w:val="21"/>
              </w:rPr>
              <w:t>污染</w:t>
            </w:r>
          </w:p>
          <w:p w14:paraId="2B6F537E">
            <w:pPr>
              <w:adjustRightInd w:val="0"/>
              <w:snapToGrid w:val="0"/>
              <w:jc w:val="center"/>
              <w:rPr>
                <w:rFonts w:ascii="宋体" w:hAnsi="宋体" w:cs="宋体"/>
                <w:color w:val="auto"/>
                <w:kern w:val="0"/>
                <w:szCs w:val="21"/>
              </w:rPr>
            </w:pPr>
            <w:r>
              <w:rPr>
                <w:rFonts w:hint="eastAsia" w:ascii="宋体" w:hAnsi="宋体" w:cs="宋体"/>
                <w:color w:val="auto"/>
                <w:kern w:val="0"/>
                <w:szCs w:val="21"/>
              </w:rPr>
              <w:t>物排</w:t>
            </w:r>
          </w:p>
          <w:p w14:paraId="4BEFCC3D">
            <w:pPr>
              <w:adjustRightInd w:val="0"/>
              <w:snapToGrid w:val="0"/>
              <w:jc w:val="center"/>
              <w:rPr>
                <w:rFonts w:ascii="宋体" w:hAnsi="宋体" w:cs="宋体"/>
                <w:color w:val="auto"/>
                <w:kern w:val="0"/>
                <w:szCs w:val="21"/>
              </w:rPr>
            </w:pPr>
            <w:r>
              <w:rPr>
                <w:rFonts w:hint="eastAsia" w:ascii="宋体" w:hAnsi="宋体" w:cs="宋体"/>
                <w:color w:val="auto"/>
                <w:kern w:val="0"/>
                <w:szCs w:val="21"/>
              </w:rPr>
              <w:t>放控</w:t>
            </w:r>
          </w:p>
          <w:p w14:paraId="16CA550D">
            <w:pPr>
              <w:adjustRightInd w:val="0"/>
              <w:snapToGrid w:val="0"/>
              <w:jc w:val="center"/>
              <w:rPr>
                <w:rFonts w:ascii="宋体" w:hAnsi="宋体" w:cs="宋体"/>
                <w:color w:val="auto"/>
                <w:kern w:val="0"/>
                <w:szCs w:val="21"/>
              </w:rPr>
            </w:pPr>
            <w:r>
              <w:rPr>
                <w:rFonts w:hint="eastAsia" w:ascii="宋体" w:hAnsi="宋体" w:cs="宋体"/>
                <w:color w:val="auto"/>
                <w:kern w:val="0"/>
                <w:szCs w:val="21"/>
              </w:rPr>
              <w:t>制标</w:t>
            </w:r>
          </w:p>
          <w:p w14:paraId="77C03B95">
            <w:pPr>
              <w:adjustRightInd w:val="0"/>
              <w:snapToGrid w:val="0"/>
              <w:jc w:val="center"/>
              <w:rPr>
                <w:rFonts w:ascii="宋体" w:hAnsi="宋体" w:cs="宋体"/>
                <w:color w:val="auto"/>
                <w:kern w:val="0"/>
                <w:szCs w:val="21"/>
              </w:rPr>
            </w:pPr>
            <w:r>
              <w:rPr>
                <w:rFonts w:hint="eastAsia" w:ascii="宋体" w:hAnsi="宋体" w:cs="宋体"/>
                <w:color w:val="auto"/>
                <w:kern w:val="0"/>
                <w:szCs w:val="21"/>
              </w:rPr>
              <w:t>准</w:t>
            </w:r>
          </w:p>
        </w:tc>
        <w:tc>
          <w:tcPr>
            <w:tcW w:w="8190" w:type="dxa"/>
            <w:vAlign w:val="center"/>
          </w:tcPr>
          <w:p w14:paraId="14177522">
            <w:pPr>
              <w:widowControl/>
              <w:numPr>
                <w:ilvl w:val="0"/>
                <w:numId w:val="11"/>
              </w:numPr>
              <w:spacing w:line="360" w:lineRule="auto"/>
              <w:ind w:firstLine="480" w:firstLineChars="200"/>
              <w:rPr>
                <w:color w:val="auto"/>
                <w:sz w:val="24"/>
              </w:rPr>
            </w:pPr>
            <w:r>
              <w:rPr>
                <w:rFonts w:hint="eastAsia"/>
                <w:color w:val="auto"/>
                <w:sz w:val="24"/>
              </w:rPr>
              <w:t>废气：施工期TSP排放标准执行《施工场界扬尘排放限值》（DB61/1078-2017）；运营期</w:t>
            </w:r>
            <w:r>
              <w:rPr>
                <w:rFonts w:hint="eastAsia"/>
                <w:bCs/>
                <w:color w:val="auto"/>
                <w:sz w:val="24"/>
                <w:highlight w:val="none"/>
              </w:rPr>
              <w:t>产生的</w:t>
            </w:r>
            <w:r>
              <w:rPr>
                <w:color w:val="auto"/>
                <w:sz w:val="24"/>
                <w:highlight w:val="none"/>
              </w:rPr>
              <w:t>废气</w:t>
            </w:r>
            <w:r>
              <w:rPr>
                <w:rFonts w:hint="eastAsia"/>
                <w:color w:val="auto"/>
                <w:sz w:val="24"/>
              </w:rPr>
              <w:t>排放执行</w:t>
            </w:r>
            <w:r>
              <w:rPr>
                <w:color w:val="auto"/>
                <w:sz w:val="24"/>
                <w:highlight w:val="none"/>
              </w:rPr>
              <w:t>《</w:t>
            </w:r>
            <w:r>
              <w:rPr>
                <w:rFonts w:hint="eastAsia"/>
                <w:color w:val="auto"/>
                <w:sz w:val="24"/>
                <w:highlight w:val="none"/>
              </w:rPr>
              <w:t>大气污染物综合排放</w:t>
            </w:r>
            <w:r>
              <w:rPr>
                <w:color w:val="auto"/>
                <w:sz w:val="24"/>
                <w:highlight w:val="none"/>
              </w:rPr>
              <w:t>标准》（</w:t>
            </w:r>
            <w:r>
              <w:rPr>
                <w:rFonts w:hint="eastAsia"/>
                <w:color w:val="auto"/>
                <w:sz w:val="24"/>
                <w:highlight w:val="none"/>
              </w:rPr>
              <w:t>G</w:t>
            </w:r>
            <w:r>
              <w:rPr>
                <w:color w:val="auto"/>
                <w:sz w:val="24"/>
                <w:highlight w:val="none"/>
              </w:rPr>
              <w:t>B</w:t>
            </w:r>
            <w:r>
              <w:rPr>
                <w:rFonts w:hint="eastAsia"/>
                <w:color w:val="auto"/>
                <w:sz w:val="24"/>
                <w:highlight w:val="none"/>
              </w:rPr>
              <w:t>16297</w:t>
            </w:r>
            <w:r>
              <w:rPr>
                <w:color w:val="auto"/>
                <w:sz w:val="24"/>
                <w:highlight w:val="none"/>
              </w:rPr>
              <w:t>-</w:t>
            </w:r>
            <w:r>
              <w:rPr>
                <w:rFonts w:hint="eastAsia"/>
                <w:color w:val="auto"/>
                <w:sz w:val="24"/>
                <w:highlight w:val="none"/>
              </w:rPr>
              <w:t>1996</w:t>
            </w:r>
            <w:r>
              <w:rPr>
                <w:color w:val="auto"/>
                <w:sz w:val="24"/>
                <w:highlight w:val="none"/>
              </w:rPr>
              <w:t>）</w:t>
            </w:r>
            <w:r>
              <w:rPr>
                <w:rFonts w:hint="eastAsia"/>
                <w:color w:val="auto"/>
                <w:sz w:val="24"/>
                <w:highlight w:val="none"/>
              </w:rPr>
              <w:t>表2中二级标准及无组织排放限制</w:t>
            </w:r>
            <w:r>
              <w:rPr>
                <w:color w:val="auto"/>
                <w:sz w:val="24"/>
                <w:highlight w:val="none"/>
              </w:rPr>
              <w:t>标准</w:t>
            </w:r>
            <w:r>
              <w:rPr>
                <w:rFonts w:hint="eastAsia"/>
                <w:color w:val="auto"/>
                <w:sz w:val="24"/>
              </w:rPr>
              <w:t>。</w:t>
            </w:r>
          </w:p>
          <w:p w14:paraId="47C96966">
            <w:pPr>
              <w:pStyle w:val="7"/>
              <w:jc w:val="center"/>
              <w:rPr>
                <w:rFonts w:ascii="Times New Roman" w:hAnsi="Times New Roman" w:eastAsia="宋体"/>
                <w:b/>
                <w:color w:val="auto"/>
                <w:sz w:val="24"/>
              </w:rPr>
            </w:pPr>
            <w:r>
              <w:rPr>
                <w:rFonts w:ascii="Times New Roman" w:hAnsi="Times New Roman" w:eastAsia="宋体"/>
                <w:b/>
                <w:color w:val="auto"/>
                <w:sz w:val="24"/>
              </w:rPr>
              <w:t>表3-</w:t>
            </w:r>
            <w:r>
              <w:rPr>
                <w:rFonts w:hint="eastAsia" w:ascii="Times New Roman" w:hAnsi="Times New Roman" w:eastAsia="宋体"/>
                <w:b/>
                <w:color w:val="auto"/>
                <w:sz w:val="24"/>
                <w:lang w:val="en-US" w:eastAsia="zh-CN"/>
              </w:rPr>
              <w:t>5</w:t>
            </w:r>
            <w:r>
              <w:rPr>
                <w:rFonts w:ascii="Times New Roman" w:hAnsi="Times New Roman" w:eastAsia="宋体"/>
                <w:b/>
                <w:color w:val="auto"/>
                <w:sz w:val="24"/>
              </w:rPr>
              <w:t xml:space="preserve">  废气污染物综合排放标准</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102"/>
              <w:gridCol w:w="2125"/>
              <w:gridCol w:w="1784"/>
              <w:gridCol w:w="2284"/>
            </w:tblGrid>
            <w:tr w14:paraId="78D9F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tblHeader/>
                <w:jc w:val="center"/>
              </w:trPr>
              <w:tc>
                <w:tcPr>
                  <w:tcW w:w="424" w:type="pct"/>
                  <w:noWrap w:val="0"/>
                  <w:vAlign w:val="center"/>
                </w:tcPr>
                <w:p w14:paraId="238359FA">
                  <w:pPr>
                    <w:spacing w:line="240" w:lineRule="exact"/>
                    <w:jc w:val="center"/>
                    <w:rPr>
                      <w:rFonts w:hint="eastAsia" w:eastAsia="宋体"/>
                      <w:b/>
                      <w:bCs/>
                      <w:color w:val="auto"/>
                      <w:szCs w:val="21"/>
                      <w:highlight w:val="none"/>
                      <w:lang w:val="en-US" w:eastAsia="zh-CN"/>
                    </w:rPr>
                  </w:pPr>
                  <w:r>
                    <w:rPr>
                      <w:rFonts w:hint="eastAsia"/>
                      <w:b/>
                      <w:bCs/>
                      <w:color w:val="auto"/>
                      <w:szCs w:val="21"/>
                      <w:highlight w:val="none"/>
                      <w:lang w:val="en-US" w:eastAsia="zh-CN"/>
                    </w:rPr>
                    <w:t>阶段</w:t>
                  </w:r>
                </w:p>
              </w:tc>
              <w:tc>
                <w:tcPr>
                  <w:tcW w:w="2024" w:type="pct"/>
                  <w:gridSpan w:val="2"/>
                  <w:noWrap w:val="0"/>
                  <w:vAlign w:val="center"/>
                </w:tcPr>
                <w:p w14:paraId="5B4CDE68">
                  <w:pPr>
                    <w:spacing w:line="240" w:lineRule="exact"/>
                    <w:jc w:val="center"/>
                    <w:rPr>
                      <w:b/>
                      <w:bCs/>
                      <w:color w:val="auto"/>
                      <w:szCs w:val="21"/>
                      <w:highlight w:val="none"/>
                    </w:rPr>
                  </w:pPr>
                  <w:r>
                    <w:rPr>
                      <w:rFonts w:hint="eastAsia"/>
                      <w:b/>
                      <w:bCs/>
                      <w:color w:val="auto"/>
                      <w:szCs w:val="21"/>
                      <w:highlight w:val="none"/>
                    </w:rPr>
                    <w:t>污染因子</w:t>
                  </w:r>
                </w:p>
              </w:tc>
              <w:tc>
                <w:tcPr>
                  <w:tcW w:w="1119" w:type="pct"/>
                  <w:noWrap w:val="0"/>
                  <w:vAlign w:val="center"/>
                </w:tcPr>
                <w:p w14:paraId="70470A3E">
                  <w:pPr>
                    <w:spacing w:line="240" w:lineRule="exact"/>
                    <w:jc w:val="center"/>
                    <w:rPr>
                      <w:b/>
                      <w:bCs/>
                      <w:color w:val="auto"/>
                      <w:szCs w:val="21"/>
                      <w:highlight w:val="none"/>
                    </w:rPr>
                  </w:pPr>
                  <w:r>
                    <w:rPr>
                      <w:rFonts w:hint="eastAsia"/>
                      <w:b/>
                      <w:bCs/>
                      <w:color w:val="auto"/>
                      <w:szCs w:val="21"/>
                      <w:highlight w:val="none"/>
                    </w:rPr>
                    <w:t>标准限值</w:t>
                  </w:r>
                </w:p>
              </w:tc>
              <w:tc>
                <w:tcPr>
                  <w:tcW w:w="1432" w:type="pct"/>
                  <w:noWrap w:val="0"/>
                  <w:vAlign w:val="center"/>
                </w:tcPr>
                <w:p w14:paraId="5874CD5D">
                  <w:pPr>
                    <w:spacing w:line="240" w:lineRule="exact"/>
                    <w:jc w:val="center"/>
                    <w:rPr>
                      <w:rFonts w:hint="eastAsia"/>
                      <w:b/>
                      <w:bCs/>
                      <w:color w:val="auto"/>
                      <w:szCs w:val="21"/>
                      <w:highlight w:val="none"/>
                    </w:rPr>
                  </w:pPr>
                  <w:r>
                    <w:rPr>
                      <w:rFonts w:hint="eastAsia"/>
                      <w:b/>
                      <w:bCs/>
                      <w:color w:val="auto"/>
                      <w:szCs w:val="21"/>
                      <w:highlight w:val="none"/>
                    </w:rPr>
                    <w:t>标准名称及级（类）别</w:t>
                  </w:r>
                </w:p>
              </w:tc>
            </w:tr>
            <w:tr w14:paraId="30E630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424" w:type="pct"/>
                  <w:noWrap w:val="0"/>
                  <w:vAlign w:val="center"/>
                </w:tcPr>
                <w:p w14:paraId="625BDCB4">
                  <w:pPr>
                    <w:jc w:val="center"/>
                    <w:rPr>
                      <w:rFonts w:hint="eastAsia" w:eastAsia="宋体"/>
                      <w:color w:val="auto"/>
                      <w:szCs w:val="21"/>
                      <w:highlight w:val="none"/>
                      <w:lang w:val="en-US" w:eastAsia="zh-CN"/>
                    </w:rPr>
                  </w:pPr>
                  <w:r>
                    <w:rPr>
                      <w:rFonts w:hint="eastAsia"/>
                      <w:color w:val="auto"/>
                      <w:szCs w:val="21"/>
                      <w:highlight w:val="none"/>
                      <w:lang w:val="en-US" w:eastAsia="zh-CN"/>
                    </w:rPr>
                    <w:t>施工期</w:t>
                  </w:r>
                </w:p>
              </w:tc>
              <w:tc>
                <w:tcPr>
                  <w:tcW w:w="691" w:type="pct"/>
                  <w:noWrap w:val="0"/>
                  <w:vAlign w:val="center"/>
                </w:tcPr>
                <w:p w14:paraId="7E51BC83">
                  <w:pPr>
                    <w:jc w:val="center"/>
                    <w:rPr>
                      <w:rFonts w:hint="default" w:eastAsia="宋体"/>
                      <w:color w:val="auto"/>
                      <w:szCs w:val="21"/>
                      <w:highlight w:val="none"/>
                      <w:lang w:val="en-US" w:eastAsia="zh-CN"/>
                    </w:rPr>
                  </w:pPr>
                  <w:r>
                    <w:rPr>
                      <w:rFonts w:hint="eastAsia"/>
                      <w:color w:val="auto"/>
                      <w:szCs w:val="21"/>
                      <w:highlight w:val="none"/>
                      <w:lang w:val="en-US" w:eastAsia="zh-CN"/>
                    </w:rPr>
                    <w:t>TSP</w:t>
                  </w:r>
                </w:p>
              </w:tc>
              <w:tc>
                <w:tcPr>
                  <w:tcW w:w="1333" w:type="pct"/>
                  <w:noWrap w:val="0"/>
                  <w:vAlign w:val="center"/>
                </w:tcPr>
                <w:p w14:paraId="0BBEE2FF">
                  <w:pPr>
                    <w:topLinePunct/>
                    <w:adjustRightInd w:val="0"/>
                    <w:snapToGrid w:val="0"/>
                    <w:spacing w:line="240" w:lineRule="exact"/>
                    <w:jc w:val="center"/>
                    <w:rPr>
                      <w:rFonts w:hint="eastAsia"/>
                      <w:color w:val="auto"/>
                      <w:szCs w:val="21"/>
                      <w:highlight w:val="none"/>
                    </w:rPr>
                  </w:pPr>
                  <w:r>
                    <w:rPr>
                      <w:rFonts w:hint="eastAsia"/>
                      <w:color w:val="auto"/>
                      <w:szCs w:val="21"/>
                      <w:highlight w:val="none"/>
                    </w:rPr>
                    <w:t>无组织浓度限值</w:t>
                  </w:r>
                </w:p>
              </w:tc>
              <w:tc>
                <w:tcPr>
                  <w:tcW w:w="1119" w:type="pct"/>
                  <w:noWrap w:val="0"/>
                  <w:vAlign w:val="center"/>
                </w:tcPr>
                <w:p w14:paraId="1914428A">
                  <w:pPr>
                    <w:topLinePunct/>
                    <w:adjustRightInd w:val="0"/>
                    <w:snapToGrid w:val="0"/>
                    <w:spacing w:line="240" w:lineRule="exact"/>
                    <w:jc w:val="center"/>
                    <w:rPr>
                      <w:rFonts w:hint="default"/>
                      <w:color w:val="auto"/>
                      <w:kern w:val="0"/>
                      <w:szCs w:val="21"/>
                      <w:highlight w:val="none"/>
                      <w:lang w:val="en-US" w:eastAsia="zh-CN"/>
                    </w:rPr>
                  </w:pPr>
                  <w:r>
                    <w:rPr>
                      <w:rFonts w:hint="eastAsia"/>
                      <w:color w:val="auto"/>
                      <w:kern w:val="0"/>
                      <w:szCs w:val="21"/>
                      <w:highlight w:val="none"/>
                      <w:lang w:val="en-US" w:eastAsia="zh-CN"/>
                    </w:rPr>
                    <w:t>0.7</w:t>
                  </w:r>
                  <w:r>
                    <w:rPr>
                      <w:rFonts w:hint="eastAsia"/>
                      <w:color w:val="auto"/>
                      <w:kern w:val="0"/>
                      <w:szCs w:val="21"/>
                      <w:highlight w:val="none"/>
                    </w:rPr>
                    <w:t>mg/m</w:t>
                  </w:r>
                  <w:r>
                    <w:rPr>
                      <w:rFonts w:hint="eastAsia"/>
                      <w:color w:val="auto"/>
                      <w:kern w:val="0"/>
                      <w:szCs w:val="21"/>
                      <w:highlight w:val="none"/>
                      <w:vertAlign w:val="superscript"/>
                    </w:rPr>
                    <w:t>3</w:t>
                  </w:r>
                </w:p>
              </w:tc>
              <w:tc>
                <w:tcPr>
                  <w:tcW w:w="1432" w:type="pct"/>
                  <w:noWrap w:val="0"/>
                  <w:vAlign w:val="center"/>
                </w:tcPr>
                <w:p w14:paraId="68A38312">
                  <w:pPr>
                    <w:keepNext w:val="0"/>
                    <w:keepLines w:val="0"/>
                    <w:pageBreakBefore w:val="0"/>
                    <w:widowControl w:val="0"/>
                    <w:kinsoku/>
                    <w:wordWrap/>
                    <w:overflowPunct/>
                    <w:topLinePunct/>
                    <w:autoSpaceDE/>
                    <w:autoSpaceDN/>
                    <w:bidi w:val="0"/>
                    <w:adjustRightInd w:val="0"/>
                    <w:snapToGrid w:val="0"/>
                    <w:spacing w:line="240" w:lineRule="auto"/>
                    <w:jc w:val="center"/>
                    <w:textAlignment w:val="auto"/>
                    <w:rPr>
                      <w:rFonts w:hint="eastAsia"/>
                      <w:color w:val="auto"/>
                      <w:szCs w:val="21"/>
                      <w:highlight w:val="none"/>
                    </w:rPr>
                  </w:pPr>
                  <w:r>
                    <w:rPr>
                      <w:rFonts w:hint="eastAsia"/>
                      <w:color w:val="auto"/>
                    </w:rPr>
                    <w:t>《施工场界扬尘排放限值》（DB61/1078-2017）</w:t>
                  </w:r>
                </w:p>
              </w:tc>
            </w:tr>
            <w:tr w14:paraId="732E0E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424" w:type="pct"/>
                  <w:vMerge w:val="restart"/>
                  <w:noWrap w:val="0"/>
                  <w:vAlign w:val="center"/>
                </w:tcPr>
                <w:p w14:paraId="2CAB43C9">
                  <w:pPr>
                    <w:jc w:val="center"/>
                    <w:rPr>
                      <w:rFonts w:hint="eastAsia" w:eastAsia="宋体"/>
                      <w:color w:val="auto"/>
                      <w:szCs w:val="21"/>
                      <w:highlight w:val="none"/>
                      <w:lang w:val="en-US" w:eastAsia="zh-CN"/>
                    </w:rPr>
                  </w:pPr>
                  <w:r>
                    <w:rPr>
                      <w:rFonts w:hint="eastAsia"/>
                      <w:color w:val="auto"/>
                      <w:szCs w:val="21"/>
                      <w:highlight w:val="none"/>
                      <w:lang w:val="en-US" w:eastAsia="zh-CN"/>
                    </w:rPr>
                    <w:t>运营期</w:t>
                  </w:r>
                </w:p>
              </w:tc>
              <w:tc>
                <w:tcPr>
                  <w:tcW w:w="691" w:type="pct"/>
                  <w:vMerge w:val="restart"/>
                  <w:noWrap w:val="0"/>
                  <w:vAlign w:val="center"/>
                </w:tcPr>
                <w:p w14:paraId="67902A10">
                  <w:pPr>
                    <w:jc w:val="center"/>
                    <w:rPr>
                      <w:color w:val="auto"/>
                      <w:szCs w:val="21"/>
                      <w:highlight w:val="none"/>
                    </w:rPr>
                  </w:pPr>
                  <w:r>
                    <w:rPr>
                      <w:rFonts w:hint="eastAsia"/>
                      <w:color w:val="auto"/>
                      <w:szCs w:val="21"/>
                      <w:highlight w:val="none"/>
                    </w:rPr>
                    <w:t>非甲烷总烃</w:t>
                  </w:r>
                </w:p>
              </w:tc>
              <w:tc>
                <w:tcPr>
                  <w:tcW w:w="1333" w:type="pct"/>
                  <w:noWrap w:val="0"/>
                  <w:vAlign w:val="center"/>
                </w:tcPr>
                <w:p w14:paraId="3215449A">
                  <w:pPr>
                    <w:topLinePunct/>
                    <w:adjustRightInd w:val="0"/>
                    <w:snapToGrid w:val="0"/>
                    <w:spacing w:line="240" w:lineRule="exact"/>
                    <w:jc w:val="center"/>
                    <w:rPr>
                      <w:color w:val="auto"/>
                      <w:szCs w:val="21"/>
                      <w:highlight w:val="none"/>
                    </w:rPr>
                  </w:pPr>
                  <w:r>
                    <w:rPr>
                      <w:rFonts w:hint="eastAsia"/>
                      <w:color w:val="auto"/>
                      <w:szCs w:val="21"/>
                      <w:highlight w:val="none"/>
                    </w:rPr>
                    <w:t>有组织浓度限值</w:t>
                  </w:r>
                </w:p>
              </w:tc>
              <w:tc>
                <w:tcPr>
                  <w:tcW w:w="1119" w:type="pct"/>
                  <w:noWrap w:val="0"/>
                  <w:vAlign w:val="center"/>
                </w:tcPr>
                <w:p w14:paraId="2DBEB2E2">
                  <w:pPr>
                    <w:topLinePunct/>
                    <w:adjustRightInd w:val="0"/>
                    <w:snapToGrid w:val="0"/>
                    <w:spacing w:line="240" w:lineRule="exact"/>
                    <w:jc w:val="center"/>
                    <w:rPr>
                      <w:color w:val="auto"/>
                      <w:kern w:val="0"/>
                      <w:szCs w:val="21"/>
                      <w:highlight w:val="none"/>
                    </w:rPr>
                  </w:pPr>
                  <w:r>
                    <w:rPr>
                      <w:rFonts w:hint="eastAsia"/>
                      <w:color w:val="auto"/>
                      <w:kern w:val="0"/>
                      <w:szCs w:val="21"/>
                      <w:highlight w:val="none"/>
                      <w:lang w:val="en-US" w:eastAsia="zh-CN"/>
                    </w:rPr>
                    <w:t>120</w:t>
                  </w:r>
                  <w:r>
                    <w:rPr>
                      <w:rFonts w:hint="eastAsia"/>
                      <w:color w:val="auto"/>
                      <w:kern w:val="0"/>
                      <w:szCs w:val="21"/>
                      <w:highlight w:val="none"/>
                    </w:rPr>
                    <w:t xml:space="preserve"> mg/m</w:t>
                  </w:r>
                  <w:r>
                    <w:rPr>
                      <w:rFonts w:hint="eastAsia"/>
                      <w:color w:val="auto"/>
                      <w:kern w:val="0"/>
                      <w:szCs w:val="21"/>
                      <w:highlight w:val="none"/>
                      <w:vertAlign w:val="superscript"/>
                    </w:rPr>
                    <w:t>3</w:t>
                  </w:r>
                </w:p>
              </w:tc>
              <w:tc>
                <w:tcPr>
                  <w:tcW w:w="1432" w:type="pct"/>
                  <w:vMerge w:val="restart"/>
                  <w:noWrap w:val="0"/>
                  <w:vAlign w:val="center"/>
                </w:tcPr>
                <w:p w14:paraId="30DC790F">
                  <w:pPr>
                    <w:topLinePunct/>
                    <w:adjustRightInd w:val="0"/>
                    <w:snapToGrid w:val="0"/>
                    <w:spacing w:line="360" w:lineRule="auto"/>
                    <w:rPr>
                      <w:rFonts w:hint="eastAsia"/>
                      <w:color w:val="auto"/>
                      <w:kern w:val="0"/>
                      <w:szCs w:val="21"/>
                      <w:highlight w:val="none"/>
                    </w:rPr>
                  </w:pPr>
                  <w:r>
                    <w:rPr>
                      <w:rFonts w:hint="eastAsia"/>
                      <w:color w:val="auto"/>
                      <w:szCs w:val="21"/>
                      <w:highlight w:val="none"/>
                    </w:rPr>
                    <w:t>《大气污染物综合排放标准》（</w:t>
                  </w:r>
                  <w:r>
                    <w:rPr>
                      <w:color w:val="auto"/>
                      <w:szCs w:val="21"/>
                      <w:highlight w:val="none"/>
                    </w:rPr>
                    <w:t>GB</w:t>
                  </w:r>
                  <w:r>
                    <w:rPr>
                      <w:rFonts w:hint="eastAsia"/>
                      <w:color w:val="auto"/>
                      <w:szCs w:val="21"/>
                      <w:highlight w:val="none"/>
                    </w:rPr>
                    <w:t>16297-1996）二级标准及无组织排放限制标准</w:t>
                  </w:r>
                </w:p>
              </w:tc>
            </w:tr>
            <w:tr w14:paraId="305356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424" w:type="pct"/>
                  <w:vMerge w:val="continue"/>
                  <w:noWrap w:val="0"/>
                  <w:vAlign w:val="center"/>
                </w:tcPr>
                <w:p w14:paraId="642A5852">
                  <w:pPr>
                    <w:widowControl/>
                    <w:jc w:val="left"/>
                    <w:rPr>
                      <w:color w:val="auto"/>
                      <w:szCs w:val="21"/>
                      <w:highlight w:val="none"/>
                    </w:rPr>
                  </w:pPr>
                </w:p>
              </w:tc>
              <w:tc>
                <w:tcPr>
                  <w:tcW w:w="691" w:type="pct"/>
                  <w:vMerge w:val="continue"/>
                  <w:noWrap w:val="0"/>
                  <w:vAlign w:val="center"/>
                </w:tcPr>
                <w:p w14:paraId="34958F5B">
                  <w:pPr>
                    <w:widowControl/>
                    <w:jc w:val="left"/>
                    <w:rPr>
                      <w:color w:val="auto"/>
                      <w:szCs w:val="21"/>
                      <w:highlight w:val="none"/>
                    </w:rPr>
                  </w:pPr>
                </w:p>
              </w:tc>
              <w:tc>
                <w:tcPr>
                  <w:tcW w:w="1333" w:type="pct"/>
                  <w:noWrap w:val="0"/>
                  <w:vAlign w:val="center"/>
                </w:tcPr>
                <w:p w14:paraId="13FA1BD4">
                  <w:pPr>
                    <w:topLinePunct/>
                    <w:adjustRightInd w:val="0"/>
                    <w:snapToGrid w:val="0"/>
                    <w:spacing w:line="240" w:lineRule="exact"/>
                    <w:jc w:val="center"/>
                    <w:rPr>
                      <w:rFonts w:hint="eastAsia"/>
                      <w:color w:val="auto"/>
                      <w:szCs w:val="21"/>
                      <w:highlight w:val="none"/>
                    </w:rPr>
                  </w:pPr>
                  <w:r>
                    <w:rPr>
                      <w:rFonts w:hint="eastAsia"/>
                      <w:color w:val="auto"/>
                      <w:szCs w:val="21"/>
                      <w:highlight w:val="none"/>
                    </w:rPr>
                    <w:t>排放速率</w:t>
                  </w:r>
                </w:p>
              </w:tc>
              <w:tc>
                <w:tcPr>
                  <w:tcW w:w="1119" w:type="pct"/>
                  <w:noWrap w:val="0"/>
                  <w:vAlign w:val="center"/>
                </w:tcPr>
                <w:p w14:paraId="3680379D">
                  <w:pPr>
                    <w:topLinePunct/>
                    <w:adjustRightInd w:val="0"/>
                    <w:snapToGrid w:val="0"/>
                    <w:spacing w:line="240" w:lineRule="exact"/>
                    <w:jc w:val="center"/>
                    <w:rPr>
                      <w:color w:val="auto"/>
                      <w:kern w:val="0"/>
                      <w:szCs w:val="21"/>
                      <w:highlight w:val="none"/>
                    </w:rPr>
                  </w:pPr>
                  <w:r>
                    <w:rPr>
                      <w:rFonts w:hint="eastAsia"/>
                      <w:color w:val="auto"/>
                      <w:kern w:val="0"/>
                      <w:szCs w:val="21"/>
                      <w:highlight w:val="none"/>
                      <w:lang w:val="en-US" w:eastAsia="zh-CN"/>
                    </w:rPr>
                    <w:t>20.9</w:t>
                  </w:r>
                  <w:r>
                    <w:rPr>
                      <w:rFonts w:hint="eastAsia"/>
                      <w:color w:val="auto"/>
                      <w:kern w:val="0"/>
                      <w:szCs w:val="21"/>
                      <w:highlight w:val="none"/>
                    </w:rPr>
                    <w:t>kg/h</w:t>
                  </w:r>
                </w:p>
              </w:tc>
              <w:tc>
                <w:tcPr>
                  <w:tcW w:w="1432" w:type="pct"/>
                  <w:vMerge w:val="continue"/>
                  <w:noWrap w:val="0"/>
                  <w:vAlign w:val="center"/>
                </w:tcPr>
                <w:p w14:paraId="5D238A4C">
                  <w:pPr>
                    <w:topLinePunct/>
                    <w:adjustRightInd w:val="0"/>
                    <w:snapToGrid w:val="0"/>
                    <w:spacing w:line="240" w:lineRule="exact"/>
                    <w:jc w:val="center"/>
                    <w:rPr>
                      <w:rFonts w:hint="eastAsia"/>
                      <w:color w:val="auto"/>
                      <w:kern w:val="0"/>
                      <w:szCs w:val="21"/>
                      <w:highlight w:val="none"/>
                    </w:rPr>
                  </w:pPr>
                </w:p>
              </w:tc>
            </w:tr>
            <w:tr w14:paraId="76068C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24" w:type="pct"/>
                  <w:vMerge w:val="continue"/>
                  <w:noWrap w:val="0"/>
                  <w:vAlign w:val="center"/>
                </w:tcPr>
                <w:p w14:paraId="11086396">
                  <w:pPr>
                    <w:widowControl/>
                    <w:jc w:val="left"/>
                    <w:rPr>
                      <w:color w:val="auto"/>
                      <w:szCs w:val="21"/>
                      <w:highlight w:val="none"/>
                    </w:rPr>
                  </w:pPr>
                </w:p>
              </w:tc>
              <w:tc>
                <w:tcPr>
                  <w:tcW w:w="691" w:type="pct"/>
                  <w:vMerge w:val="continue"/>
                  <w:noWrap w:val="0"/>
                  <w:vAlign w:val="center"/>
                </w:tcPr>
                <w:p w14:paraId="10635CCB">
                  <w:pPr>
                    <w:widowControl/>
                    <w:jc w:val="left"/>
                    <w:rPr>
                      <w:color w:val="auto"/>
                      <w:szCs w:val="21"/>
                      <w:highlight w:val="none"/>
                    </w:rPr>
                  </w:pPr>
                </w:p>
              </w:tc>
              <w:tc>
                <w:tcPr>
                  <w:tcW w:w="1333" w:type="pct"/>
                  <w:noWrap w:val="0"/>
                  <w:vAlign w:val="center"/>
                </w:tcPr>
                <w:p w14:paraId="694DE4ED">
                  <w:pPr>
                    <w:topLinePunct/>
                    <w:adjustRightInd w:val="0"/>
                    <w:snapToGrid w:val="0"/>
                    <w:spacing w:line="240" w:lineRule="exact"/>
                    <w:jc w:val="center"/>
                    <w:rPr>
                      <w:rFonts w:hint="eastAsia"/>
                      <w:color w:val="auto"/>
                      <w:szCs w:val="21"/>
                      <w:highlight w:val="none"/>
                    </w:rPr>
                  </w:pPr>
                  <w:r>
                    <w:rPr>
                      <w:rFonts w:hint="eastAsia"/>
                      <w:color w:val="auto"/>
                      <w:szCs w:val="21"/>
                      <w:highlight w:val="none"/>
                    </w:rPr>
                    <w:t>厂界无组织浓度限值</w:t>
                  </w:r>
                </w:p>
              </w:tc>
              <w:tc>
                <w:tcPr>
                  <w:tcW w:w="1119" w:type="pct"/>
                  <w:noWrap w:val="0"/>
                  <w:vAlign w:val="center"/>
                </w:tcPr>
                <w:p w14:paraId="2CE0EDC4">
                  <w:pPr>
                    <w:topLinePunct/>
                    <w:adjustRightInd w:val="0"/>
                    <w:snapToGrid w:val="0"/>
                    <w:spacing w:line="240" w:lineRule="exact"/>
                    <w:jc w:val="center"/>
                    <w:rPr>
                      <w:color w:val="auto"/>
                      <w:kern w:val="0"/>
                      <w:szCs w:val="21"/>
                      <w:highlight w:val="none"/>
                    </w:rPr>
                  </w:pPr>
                  <w:r>
                    <w:rPr>
                      <w:rFonts w:hint="eastAsia"/>
                      <w:color w:val="auto"/>
                      <w:kern w:val="0"/>
                      <w:szCs w:val="21"/>
                      <w:highlight w:val="none"/>
                    </w:rPr>
                    <w:t>4.0 mg/m</w:t>
                  </w:r>
                  <w:r>
                    <w:rPr>
                      <w:rFonts w:hint="eastAsia"/>
                      <w:color w:val="auto"/>
                      <w:kern w:val="0"/>
                      <w:szCs w:val="21"/>
                      <w:highlight w:val="none"/>
                      <w:vertAlign w:val="superscript"/>
                    </w:rPr>
                    <w:t>3</w:t>
                  </w:r>
                </w:p>
              </w:tc>
              <w:tc>
                <w:tcPr>
                  <w:tcW w:w="1432" w:type="pct"/>
                  <w:vMerge w:val="continue"/>
                  <w:noWrap w:val="0"/>
                  <w:vAlign w:val="center"/>
                </w:tcPr>
                <w:p w14:paraId="21DEFAD8">
                  <w:pPr>
                    <w:topLinePunct/>
                    <w:adjustRightInd w:val="0"/>
                    <w:snapToGrid w:val="0"/>
                    <w:spacing w:line="240" w:lineRule="exact"/>
                    <w:jc w:val="center"/>
                    <w:rPr>
                      <w:rFonts w:hint="eastAsia"/>
                      <w:color w:val="auto"/>
                      <w:kern w:val="0"/>
                      <w:szCs w:val="21"/>
                      <w:highlight w:val="none"/>
                    </w:rPr>
                  </w:pPr>
                </w:p>
              </w:tc>
            </w:tr>
            <w:tr w14:paraId="17F5D2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4" w:type="pct"/>
                  <w:vMerge w:val="continue"/>
                  <w:noWrap w:val="0"/>
                  <w:vAlign w:val="center"/>
                </w:tcPr>
                <w:p w14:paraId="4BF94E44">
                  <w:pPr>
                    <w:spacing w:line="240" w:lineRule="exact"/>
                    <w:jc w:val="center"/>
                    <w:rPr>
                      <w:rFonts w:hint="eastAsia"/>
                      <w:color w:val="auto"/>
                      <w:szCs w:val="21"/>
                      <w:highlight w:val="none"/>
                    </w:rPr>
                  </w:pPr>
                </w:p>
              </w:tc>
              <w:tc>
                <w:tcPr>
                  <w:tcW w:w="691" w:type="pct"/>
                  <w:vMerge w:val="restart"/>
                  <w:noWrap w:val="0"/>
                  <w:vAlign w:val="center"/>
                </w:tcPr>
                <w:p w14:paraId="12116DED">
                  <w:pPr>
                    <w:spacing w:line="240" w:lineRule="exact"/>
                    <w:jc w:val="center"/>
                    <w:rPr>
                      <w:color w:val="auto"/>
                      <w:szCs w:val="21"/>
                      <w:highlight w:val="none"/>
                    </w:rPr>
                  </w:pPr>
                  <w:r>
                    <w:rPr>
                      <w:rFonts w:hint="eastAsia"/>
                      <w:color w:val="auto"/>
                      <w:szCs w:val="21"/>
                      <w:highlight w:val="none"/>
                    </w:rPr>
                    <w:t>沥青烟</w:t>
                  </w:r>
                </w:p>
              </w:tc>
              <w:tc>
                <w:tcPr>
                  <w:tcW w:w="1333" w:type="pct"/>
                  <w:noWrap w:val="0"/>
                  <w:vAlign w:val="center"/>
                </w:tcPr>
                <w:p w14:paraId="6E7E511F">
                  <w:pPr>
                    <w:topLinePunct/>
                    <w:adjustRightInd w:val="0"/>
                    <w:snapToGrid w:val="0"/>
                    <w:spacing w:line="240" w:lineRule="exact"/>
                    <w:jc w:val="center"/>
                    <w:rPr>
                      <w:rFonts w:hint="eastAsia"/>
                      <w:color w:val="auto"/>
                      <w:szCs w:val="21"/>
                      <w:highlight w:val="none"/>
                    </w:rPr>
                  </w:pPr>
                  <w:r>
                    <w:rPr>
                      <w:rFonts w:hint="eastAsia"/>
                      <w:color w:val="auto"/>
                      <w:szCs w:val="21"/>
                      <w:highlight w:val="none"/>
                    </w:rPr>
                    <w:t>有组织浓度限值</w:t>
                  </w:r>
                </w:p>
              </w:tc>
              <w:tc>
                <w:tcPr>
                  <w:tcW w:w="1119" w:type="pct"/>
                  <w:noWrap w:val="0"/>
                  <w:vAlign w:val="center"/>
                </w:tcPr>
                <w:p w14:paraId="1A2F989B">
                  <w:pPr>
                    <w:topLinePunct/>
                    <w:adjustRightInd w:val="0"/>
                    <w:snapToGrid w:val="0"/>
                    <w:spacing w:line="240" w:lineRule="exact"/>
                    <w:jc w:val="center"/>
                    <w:rPr>
                      <w:rFonts w:hint="eastAsia"/>
                      <w:color w:val="auto"/>
                      <w:kern w:val="0"/>
                      <w:szCs w:val="21"/>
                      <w:highlight w:val="none"/>
                    </w:rPr>
                  </w:pPr>
                  <w:r>
                    <w:rPr>
                      <w:rFonts w:hint="eastAsia"/>
                      <w:color w:val="auto"/>
                      <w:kern w:val="0"/>
                      <w:szCs w:val="21"/>
                      <w:highlight w:val="none"/>
                      <w:lang w:val="en-US" w:eastAsia="zh-CN"/>
                    </w:rPr>
                    <w:t>75</w:t>
                  </w:r>
                  <w:r>
                    <w:rPr>
                      <w:rFonts w:hint="eastAsia"/>
                      <w:color w:val="auto"/>
                      <w:kern w:val="0"/>
                      <w:szCs w:val="21"/>
                      <w:highlight w:val="none"/>
                    </w:rPr>
                    <w:t xml:space="preserve"> mg/m</w:t>
                  </w:r>
                  <w:r>
                    <w:rPr>
                      <w:rFonts w:hint="eastAsia"/>
                      <w:color w:val="auto"/>
                      <w:kern w:val="0"/>
                      <w:szCs w:val="21"/>
                      <w:highlight w:val="none"/>
                      <w:vertAlign w:val="superscript"/>
                    </w:rPr>
                    <w:t>3</w:t>
                  </w:r>
                </w:p>
              </w:tc>
              <w:tc>
                <w:tcPr>
                  <w:tcW w:w="1432" w:type="pct"/>
                  <w:vMerge w:val="continue"/>
                  <w:noWrap w:val="0"/>
                  <w:vAlign w:val="center"/>
                </w:tcPr>
                <w:p w14:paraId="0E22AD70">
                  <w:pPr>
                    <w:topLinePunct/>
                    <w:adjustRightInd w:val="0"/>
                    <w:snapToGrid w:val="0"/>
                    <w:spacing w:line="240" w:lineRule="exact"/>
                    <w:jc w:val="center"/>
                    <w:rPr>
                      <w:rFonts w:hint="eastAsia"/>
                      <w:color w:val="auto"/>
                      <w:kern w:val="0"/>
                      <w:szCs w:val="21"/>
                      <w:highlight w:val="none"/>
                    </w:rPr>
                  </w:pPr>
                </w:p>
              </w:tc>
            </w:tr>
            <w:tr w14:paraId="357468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4" w:type="pct"/>
                  <w:vMerge w:val="continue"/>
                  <w:noWrap w:val="0"/>
                  <w:vAlign w:val="center"/>
                </w:tcPr>
                <w:p w14:paraId="6E363FED">
                  <w:pPr>
                    <w:spacing w:line="240" w:lineRule="exact"/>
                    <w:jc w:val="center"/>
                    <w:rPr>
                      <w:color w:val="auto"/>
                      <w:szCs w:val="21"/>
                      <w:highlight w:val="none"/>
                    </w:rPr>
                  </w:pPr>
                </w:p>
              </w:tc>
              <w:tc>
                <w:tcPr>
                  <w:tcW w:w="691" w:type="pct"/>
                  <w:vMerge w:val="continue"/>
                  <w:noWrap w:val="0"/>
                  <w:vAlign w:val="center"/>
                </w:tcPr>
                <w:p w14:paraId="43EFA28A">
                  <w:pPr>
                    <w:spacing w:line="240" w:lineRule="exact"/>
                    <w:jc w:val="center"/>
                    <w:rPr>
                      <w:color w:val="auto"/>
                      <w:szCs w:val="21"/>
                      <w:highlight w:val="none"/>
                    </w:rPr>
                  </w:pPr>
                </w:p>
              </w:tc>
              <w:tc>
                <w:tcPr>
                  <w:tcW w:w="1333" w:type="pct"/>
                  <w:noWrap w:val="0"/>
                  <w:vAlign w:val="center"/>
                </w:tcPr>
                <w:p w14:paraId="70A9FD5A">
                  <w:pPr>
                    <w:topLinePunct/>
                    <w:adjustRightInd w:val="0"/>
                    <w:snapToGrid w:val="0"/>
                    <w:spacing w:line="240" w:lineRule="exact"/>
                    <w:jc w:val="center"/>
                    <w:rPr>
                      <w:rFonts w:hint="eastAsia"/>
                      <w:color w:val="auto"/>
                      <w:szCs w:val="21"/>
                      <w:highlight w:val="none"/>
                    </w:rPr>
                  </w:pPr>
                  <w:r>
                    <w:rPr>
                      <w:rFonts w:hint="eastAsia"/>
                      <w:color w:val="auto"/>
                      <w:szCs w:val="21"/>
                      <w:highlight w:val="none"/>
                    </w:rPr>
                    <w:t>排放速率</w:t>
                  </w:r>
                </w:p>
              </w:tc>
              <w:tc>
                <w:tcPr>
                  <w:tcW w:w="1119" w:type="pct"/>
                  <w:noWrap w:val="0"/>
                  <w:vAlign w:val="center"/>
                </w:tcPr>
                <w:p w14:paraId="0C6FA488">
                  <w:pPr>
                    <w:topLinePunct/>
                    <w:adjustRightInd w:val="0"/>
                    <w:snapToGrid w:val="0"/>
                    <w:spacing w:line="240" w:lineRule="exact"/>
                    <w:jc w:val="center"/>
                    <w:rPr>
                      <w:rFonts w:hint="eastAsia"/>
                      <w:color w:val="auto"/>
                      <w:kern w:val="0"/>
                      <w:szCs w:val="21"/>
                      <w:highlight w:val="none"/>
                    </w:rPr>
                  </w:pPr>
                  <w:r>
                    <w:rPr>
                      <w:rFonts w:hint="eastAsia"/>
                      <w:color w:val="auto"/>
                      <w:kern w:val="0"/>
                      <w:szCs w:val="21"/>
                      <w:highlight w:val="none"/>
                    </w:rPr>
                    <w:t>0.</w:t>
                  </w:r>
                  <w:r>
                    <w:rPr>
                      <w:rFonts w:hint="eastAsia"/>
                      <w:color w:val="auto"/>
                      <w:kern w:val="0"/>
                      <w:szCs w:val="21"/>
                      <w:highlight w:val="none"/>
                      <w:lang w:val="en-US" w:eastAsia="zh-CN"/>
                    </w:rPr>
                    <w:t>369</w:t>
                  </w:r>
                  <w:r>
                    <w:rPr>
                      <w:rFonts w:hint="eastAsia"/>
                      <w:color w:val="auto"/>
                      <w:kern w:val="0"/>
                      <w:szCs w:val="21"/>
                      <w:highlight w:val="none"/>
                    </w:rPr>
                    <w:t>kg/h</w:t>
                  </w:r>
                </w:p>
              </w:tc>
              <w:tc>
                <w:tcPr>
                  <w:tcW w:w="1432" w:type="pct"/>
                  <w:vMerge w:val="continue"/>
                  <w:noWrap w:val="0"/>
                  <w:vAlign w:val="center"/>
                </w:tcPr>
                <w:p w14:paraId="27B5A2BD">
                  <w:pPr>
                    <w:topLinePunct/>
                    <w:adjustRightInd w:val="0"/>
                    <w:snapToGrid w:val="0"/>
                    <w:spacing w:line="240" w:lineRule="exact"/>
                    <w:jc w:val="center"/>
                    <w:rPr>
                      <w:rFonts w:hint="eastAsia"/>
                      <w:color w:val="auto"/>
                      <w:kern w:val="0"/>
                      <w:szCs w:val="21"/>
                      <w:highlight w:val="none"/>
                    </w:rPr>
                  </w:pPr>
                </w:p>
              </w:tc>
            </w:tr>
            <w:tr w14:paraId="2CD50F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424" w:type="pct"/>
                  <w:vMerge w:val="continue"/>
                  <w:noWrap w:val="0"/>
                  <w:vAlign w:val="center"/>
                </w:tcPr>
                <w:p w14:paraId="7A9F69B5">
                  <w:pPr>
                    <w:spacing w:line="240" w:lineRule="exact"/>
                    <w:jc w:val="center"/>
                    <w:rPr>
                      <w:color w:val="auto"/>
                      <w:szCs w:val="21"/>
                      <w:highlight w:val="none"/>
                    </w:rPr>
                  </w:pPr>
                </w:p>
              </w:tc>
              <w:tc>
                <w:tcPr>
                  <w:tcW w:w="691" w:type="pct"/>
                  <w:vMerge w:val="continue"/>
                  <w:noWrap w:val="0"/>
                  <w:vAlign w:val="center"/>
                </w:tcPr>
                <w:p w14:paraId="15122112">
                  <w:pPr>
                    <w:spacing w:line="240" w:lineRule="exact"/>
                    <w:jc w:val="center"/>
                    <w:rPr>
                      <w:color w:val="auto"/>
                      <w:szCs w:val="21"/>
                      <w:highlight w:val="none"/>
                    </w:rPr>
                  </w:pPr>
                </w:p>
              </w:tc>
              <w:tc>
                <w:tcPr>
                  <w:tcW w:w="1333" w:type="pct"/>
                  <w:noWrap w:val="0"/>
                  <w:vAlign w:val="center"/>
                </w:tcPr>
                <w:p w14:paraId="242DD1D4">
                  <w:pPr>
                    <w:topLinePunct/>
                    <w:adjustRightInd w:val="0"/>
                    <w:snapToGrid w:val="0"/>
                    <w:spacing w:line="240" w:lineRule="exact"/>
                    <w:jc w:val="center"/>
                    <w:rPr>
                      <w:rFonts w:hint="eastAsia"/>
                      <w:color w:val="auto"/>
                      <w:szCs w:val="21"/>
                      <w:highlight w:val="none"/>
                    </w:rPr>
                  </w:pPr>
                  <w:r>
                    <w:rPr>
                      <w:rFonts w:hint="eastAsia"/>
                      <w:color w:val="auto"/>
                      <w:szCs w:val="21"/>
                      <w:highlight w:val="none"/>
                    </w:rPr>
                    <w:t>厂界无组织浓度限值</w:t>
                  </w:r>
                </w:p>
              </w:tc>
              <w:tc>
                <w:tcPr>
                  <w:tcW w:w="1119" w:type="pct"/>
                  <w:noWrap w:val="0"/>
                  <w:vAlign w:val="center"/>
                </w:tcPr>
                <w:p w14:paraId="11F3BCE6">
                  <w:pPr>
                    <w:topLinePunct/>
                    <w:adjustRightInd w:val="0"/>
                    <w:snapToGrid w:val="0"/>
                    <w:spacing w:line="240" w:lineRule="exact"/>
                    <w:jc w:val="center"/>
                    <w:rPr>
                      <w:rFonts w:hint="eastAsia"/>
                      <w:color w:val="auto"/>
                      <w:kern w:val="0"/>
                      <w:szCs w:val="21"/>
                      <w:highlight w:val="none"/>
                    </w:rPr>
                  </w:pPr>
                  <w:r>
                    <w:rPr>
                      <w:rFonts w:hint="eastAsia"/>
                      <w:color w:val="auto"/>
                      <w:kern w:val="0"/>
                      <w:szCs w:val="21"/>
                      <w:highlight w:val="none"/>
                    </w:rPr>
                    <w:t>不得有明显排放</w:t>
                  </w:r>
                </w:p>
              </w:tc>
              <w:tc>
                <w:tcPr>
                  <w:tcW w:w="1432" w:type="pct"/>
                  <w:vMerge w:val="continue"/>
                  <w:noWrap w:val="0"/>
                  <w:vAlign w:val="center"/>
                </w:tcPr>
                <w:p w14:paraId="15AC3111">
                  <w:pPr>
                    <w:topLinePunct/>
                    <w:adjustRightInd w:val="0"/>
                    <w:snapToGrid w:val="0"/>
                    <w:spacing w:line="240" w:lineRule="exact"/>
                    <w:jc w:val="center"/>
                    <w:rPr>
                      <w:rFonts w:hint="eastAsia"/>
                      <w:color w:val="auto"/>
                      <w:kern w:val="0"/>
                      <w:szCs w:val="21"/>
                      <w:highlight w:val="none"/>
                    </w:rPr>
                  </w:pPr>
                </w:p>
              </w:tc>
            </w:tr>
            <w:tr w14:paraId="3AC950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4" w:type="pct"/>
                  <w:vMerge w:val="continue"/>
                  <w:noWrap w:val="0"/>
                  <w:vAlign w:val="center"/>
                </w:tcPr>
                <w:p w14:paraId="200AA511">
                  <w:pPr>
                    <w:topLinePunct/>
                    <w:adjustRightInd w:val="0"/>
                    <w:snapToGrid w:val="0"/>
                    <w:spacing w:line="240" w:lineRule="exact"/>
                    <w:jc w:val="center"/>
                    <w:rPr>
                      <w:rFonts w:hint="eastAsia"/>
                      <w:color w:val="auto"/>
                      <w:szCs w:val="21"/>
                      <w:highlight w:val="none"/>
                    </w:rPr>
                  </w:pPr>
                </w:p>
              </w:tc>
              <w:tc>
                <w:tcPr>
                  <w:tcW w:w="691" w:type="pct"/>
                  <w:vMerge w:val="restart"/>
                  <w:noWrap w:val="0"/>
                  <w:vAlign w:val="center"/>
                </w:tcPr>
                <w:p w14:paraId="5C13A657">
                  <w:pPr>
                    <w:topLinePunct/>
                    <w:adjustRightInd w:val="0"/>
                    <w:snapToGrid w:val="0"/>
                    <w:spacing w:line="240" w:lineRule="exact"/>
                    <w:jc w:val="center"/>
                    <w:rPr>
                      <w:rFonts w:hint="eastAsia" w:eastAsia="宋体"/>
                      <w:color w:val="auto"/>
                      <w:szCs w:val="21"/>
                      <w:highlight w:val="none"/>
                      <w:lang w:eastAsia="zh-CN"/>
                    </w:rPr>
                  </w:pPr>
                  <w:r>
                    <w:rPr>
                      <w:rFonts w:hint="eastAsia"/>
                      <w:color w:val="auto"/>
                      <w:szCs w:val="21"/>
                      <w:highlight w:val="none"/>
                      <w:lang w:eastAsia="zh-CN"/>
                    </w:rPr>
                    <w:t>苯并[a]芘</w:t>
                  </w:r>
                </w:p>
              </w:tc>
              <w:tc>
                <w:tcPr>
                  <w:tcW w:w="1333" w:type="pct"/>
                  <w:noWrap w:val="0"/>
                  <w:vAlign w:val="center"/>
                </w:tcPr>
                <w:p w14:paraId="0F22566B">
                  <w:pPr>
                    <w:topLinePunct/>
                    <w:adjustRightInd w:val="0"/>
                    <w:snapToGrid w:val="0"/>
                    <w:spacing w:line="240" w:lineRule="exact"/>
                    <w:jc w:val="center"/>
                    <w:rPr>
                      <w:rFonts w:hint="eastAsia"/>
                      <w:color w:val="auto"/>
                      <w:szCs w:val="21"/>
                      <w:highlight w:val="none"/>
                    </w:rPr>
                  </w:pPr>
                  <w:r>
                    <w:rPr>
                      <w:rFonts w:hint="eastAsia"/>
                      <w:color w:val="auto"/>
                      <w:szCs w:val="21"/>
                      <w:highlight w:val="none"/>
                    </w:rPr>
                    <w:t>有组织浓度限值</w:t>
                  </w:r>
                </w:p>
              </w:tc>
              <w:tc>
                <w:tcPr>
                  <w:tcW w:w="1119" w:type="pct"/>
                  <w:noWrap w:val="0"/>
                  <w:vAlign w:val="center"/>
                </w:tcPr>
                <w:p w14:paraId="1EDF60D9">
                  <w:pPr>
                    <w:topLinePunct/>
                    <w:adjustRightInd w:val="0"/>
                    <w:snapToGrid w:val="0"/>
                    <w:spacing w:line="240" w:lineRule="exact"/>
                    <w:jc w:val="center"/>
                    <w:rPr>
                      <w:rFonts w:hint="eastAsia"/>
                      <w:color w:val="auto"/>
                      <w:kern w:val="0"/>
                      <w:szCs w:val="21"/>
                      <w:highlight w:val="none"/>
                    </w:rPr>
                  </w:pPr>
                  <w:r>
                    <w:rPr>
                      <w:rFonts w:hint="eastAsia"/>
                      <w:color w:val="auto"/>
                      <w:kern w:val="0"/>
                      <w:szCs w:val="21"/>
                      <w:highlight w:val="none"/>
                      <w:lang w:val="en-US" w:eastAsia="zh-CN"/>
                    </w:rPr>
                    <w:t>3.0</w:t>
                  </w:r>
                  <w:r>
                    <w:rPr>
                      <w:rFonts w:hint="eastAsia"/>
                      <w:color w:val="auto"/>
                      <w:kern w:val="0"/>
                      <w:szCs w:val="21"/>
                      <w:highlight w:val="none"/>
                    </w:rPr>
                    <w:t>×10</w:t>
                  </w:r>
                  <w:r>
                    <w:rPr>
                      <w:rFonts w:hint="eastAsia"/>
                      <w:color w:val="auto"/>
                      <w:kern w:val="0"/>
                      <w:szCs w:val="21"/>
                      <w:highlight w:val="none"/>
                      <w:vertAlign w:val="superscript"/>
                    </w:rPr>
                    <w:t>-</w:t>
                  </w:r>
                  <w:r>
                    <w:rPr>
                      <w:rFonts w:hint="eastAsia"/>
                      <w:color w:val="auto"/>
                      <w:kern w:val="0"/>
                      <w:szCs w:val="21"/>
                      <w:highlight w:val="none"/>
                      <w:vertAlign w:val="superscript"/>
                      <w:lang w:val="en-US" w:eastAsia="zh-CN"/>
                    </w:rPr>
                    <w:t>4</w:t>
                  </w:r>
                  <w:r>
                    <w:rPr>
                      <w:rFonts w:hint="eastAsia"/>
                      <w:color w:val="auto"/>
                      <w:kern w:val="0"/>
                      <w:szCs w:val="21"/>
                      <w:highlight w:val="none"/>
                      <w:vertAlign w:val="superscript"/>
                    </w:rPr>
                    <w:t xml:space="preserve"> </w:t>
                  </w:r>
                  <w:r>
                    <w:rPr>
                      <w:rFonts w:hint="eastAsia"/>
                      <w:color w:val="auto"/>
                      <w:kern w:val="0"/>
                      <w:szCs w:val="21"/>
                      <w:highlight w:val="none"/>
                    </w:rPr>
                    <w:t>mg/m</w:t>
                  </w:r>
                  <w:r>
                    <w:rPr>
                      <w:rFonts w:hint="eastAsia"/>
                      <w:color w:val="auto"/>
                      <w:kern w:val="0"/>
                      <w:szCs w:val="21"/>
                      <w:highlight w:val="none"/>
                      <w:vertAlign w:val="superscript"/>
                    </w:rPr>
                    <w:t>3</w:t>
                  </w:r>
                </w:p>
              </w:tc>
              <w:tc>
                <w:tcPr>
                  <w:tcW w:w="1432" w:type="pct"/>
                  <w:vMerge w:val="continue"/>
                  <w:noWrap w:val="0"/>
                  <w:vAlign w:val="center"/>
                </w:tcPr>
                <w:p w14:paraId="49112FF9">
                  <w:pPr>
                    <w:topLinePunct/>
                    <w:adjustRightInd w:val="0"/>
                    <w:snapToGrid w:val="0"/>
                    <w:spacing w:line="240" w:lineRule="exact"/>
                    <w:jc w:val="center"/>
                    <w:rPr>
                      <w:rFonts w:hint="eastAsia"/>
                      <w:color w:val="auto"/>
                      <w:kern w:val="0"/>
                      <w:szCs w:val="21"/>
                      <w:highlight w:val="none"/>
                    </w:rPr>
                  </w:pPr>
                </w:p>
              </w:tc>
            </w:tr>
            <w:tr w14:paraId="75F607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4" w:type="pct"/>
                  <w:vMerge w:val="continue"/>
                  <w:noWrap w:val="0"/>
                  <w:vAlign w:val="center"/>
                </w:tcPr>
                <w:p w14:paraId="58BB6FF4">
                  <w:pPr>
                    <w:topLinePunct/>
                    <w:adjustRightInd w:val="0"/>
                    <w:snapToGrid w:val="0"/>
                    <w:spacing w:line="240" w:lineRule="exact"/>
                    <w:jc w:val="center"/>
                    <w:rPr>
                      <w:color w:val="auto"/>
                      <w:szCs w:val="21"/>
                      <w:highlight w:val="none"/>
                    </w:rPr>
                  </w:pPr>
                </w:p>
              </w:tc>
              <w:tc>
                <w:tcPr>
                  <w:tcW w:w="691" w:type="pct"/>
                  <w:vMerge w:val="continue"/>
                  <w:noWrap w:val="0"/>
                  <w:vAlign w:val="center"/>
                </w:tcPr>
                <w:p w14:paraId="79B3E031">
                  <w:pPr>
                    <w:topLinePunct/>
                    <w:adjustRightInd w:val="0"/>
                    <w:snapToGrid w:val="0"/>
                    <w:spacing w:line="240" w:lineRule="exact"/>
                    <w:jc w:val="center"/>
                    <w:rPr>
                      <w:color w:val="auto"/>
                      <w:szCs w:val="21"/>
                      <w:highlight w:val="none"/>
                    </w:rPr>
                  </w:pPr>
                </w:p>
              </w:tc>
              <w:tc>
                <w:tcPr>
                  <w:tcW w:w="1333" w:type="pct"/>
                  <w:noWrap w:val="0"/>
                  <w:vAlign w:val="center"/>
                </w:tcPr>
                <w:p w14:paraId="567F8366">
                  <w:pPr>
                    <w:topLinePunct/>
                    <w:adjustRightInd w:val="0"/>
                    <w:snapToGrid w:val="0"/>
                    <w:spacing w:line="240" w:lineRule="exact"/>
                    <w:jc w:val="center"/>
                    <w:rPr>
                      <w:rFonts w:hint="eastAsia"/>
                      <w:color w:val="auto"/>
                      <w:szCs w:val="21"/>
                      <w:highlight w:val="none"/>
                    </w:rPr>
                  </w:pPr>
                  <w:r>
                    <w:rPr>
                      <w:rFonts w:hint="eastAsia"/>
                      <w:color w:val="auto"/>
                      <w:szCs w:val="21"/>
                      <w:highlight w:val="none"/>
                    </w:rPr>
                    <w:t>排放速率</w:t>
                  </w:r>
                </w:p>
              </w:tc>
              <w:tc>
                <w:tcPr>
                  <w:tcW w:w="1119" w:type="pct"/>
                  <w:noWrap w:val="0"/>
                  <w:vAlign w:val="center"/>
                </w:tcPr>
                <w:p w14:paraId="0EB7F78B">
                  <w:pPr>
                    <w:topLinePunct/>
                    <w:adjustRightInd w:val="0"/>
                    <w:snapToGrid w:val="0"/>
                    <w:spacing w:line="240" w:lineRule="exact"/>
                    <w:jc w:val="center"/>
                    <w:rPr>
                      <w:rFonts w:hint="eastAsia"/>
                      <w:color w:val="auto"/>
                      <w:kern w:val="0"/>
                      <w:szCs w:val="21"/>
                      <w:highlight w:val="none"/>
                    </w:rPr>
                  </w:pPr>
                  <w:r>
                    <w:rPr>
                      <w:rFonts w:hint="eastAsia"/>
                      <w:color w:val="auto"/>
                      <w:kern w:val="0"/>
                      <w:szCs w:val="21"/>
                      <w:highlight w:val="none"/>
                      <w:lang w:val="en-US" w:eastAsia="zh-CN"/>
                    </w:rPr>
                    <w:t>0.101</w:t>
                  </w:r>
                  <w:r>
                    <w:rPr>
                      <w:rFonts w:hint="eastAsia"/>
                      <w:color w:val="auto"/>
                      <w:kern w:val="0"/>
                      <w:szCs w:val="21"/>
                      <w:highlight w:val="none"/>
                    </w:rPr>
                    <w:t>×10</w:t>
                  </w:r>
                  <w:r>
                    <w:rPr>
                      <w:rFonts w:hint="eastAsia"/>
                      <w:color w:val="auto"/>
                      <w:kern w:val="0"/>
                      <w:szCs w:val="21"/>
                      <w:highlight w:val="none"/>
                      <w:vertAlign w:val="superscript"/>
                    </w:rPr>
                    <w:t>-</w:t>
                  </w:r>
                  <w:r>
                    <w:rPr>
                      <w:rFonts w:hint="eastAsia"/>
                      <w:color w:val="auto"/>
                      <w:kern w:val="0"/>
                      <w:szCs w:val="21"/>
                      <w:highlight w:val="none"/>
                      <w:vertAlign w:val="superscript"/>
                      <w:lang w:val="en-US" w:eastAsia="zh-CN"/>
                    </w:rPr>
                    <w:t>3</w:t>
                  </w:r>
                  <w:r>
                    <w:rPr>
                      <w:rFonts w:hint="eastAsia"/>
                      <w:color w:val="auto"/>
                      <w:kern w:val="0"/>
                      <w:szCs w:val="21"/>
                      <w:highlight w:val="none"/>
                    </w:rPr>
                    <w:t>kg/h</w:t>
                  </w:r>
                </w:p>
              </w:tc>
              <w:tc>
                <w:tcPr>
                  <w:tcW w:w="1432" w:type="pct"/>
                  <w:vMerge w:val="continue"/>
                  <w:noWrap w:val="0"/>
                  <w:vAlign w:val="center"/>
                </w:tcPr>
                <w:p w14:paraId="678D362B">
                  <w:pPr>
                    <w:topLinePunct/>
                    <w:adjustRightInd w:val="0"/>
                    <w:snapToGrid w:val="0"/>
                    <w:spacing w:line="240" w:lineRule="exact"/>
                    <w:jc w:val="center"/>
                    <w:rPr>
                      <w:rFonts w:hint="eastAsia"/>
                      <w:color w:val="auto"/>
                      <w:kern w:val="0"/>
                      <w:szCs w:val="21"/>
                      <w:highlight w:val="none"/>
                    </w:rPr>
                  </w:pPr>
                </w:p>
              </w:tc>
            </w:tr>
            <w:tr w14:paraId="66EF70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424" w:type="pct"/>
                  <w:vMerge w:val="continue"/>
                  <w:noWrap w:val="0"/>
                  <w:vAlign w:val="center"/>
                </w:tcPr>
                <w:p w14:paraId="50366AC8">
                  <w:pPr>
                    <w:topLinePunct/>
                    <w:adjustRightInd w:val="0"/>
                    <w:snapToGrid w:val="0"/>
                    <w:spacing w:line="240" w:lineRule="exact"/>
                    <w:jc w:val="center"/>
                    <w:rPr>
                      <w:color w:val="auto"/>
                      <w:szCs w:val="21"/>
                      <w:highlight w:val="none"/>
                    </w:rPr>
                  </w:pPr>
                </w:p>
              </w:tc>
              <w:tc>
                <w:tcPr>
                  <w:tcW w:w="691" w:type="pct"/>
                  <w:vMerge w:val="continue"/>
                  <w:noWrap w:val="0"/>
                  <w:vAlign w:val="center"/>
                </w:tcPr>
                <w:p w14:paraId="3721CB54">
                  <w:pPr>
                    <w:topLinePunct/>
                    <w:adjustRightInd w:val="0"/>
                    <w:snapToGrid w:val="0"/>
                    <w:spacing w:line="240" w:lineRule="exact"/>
                    <w:jc w:val="center"/>
                    <w:rPr>
                      <w:color w:val="auto"/>
                      <w:szCs w:val="21"/>
                      <w:highlight w:val="none"/>
                    </w:rPr>
                  </w:pPr>
                </w:p>
              </w:tc>
              <w:tc>
                <w:tcPr>
                  <w:tcW w:w="1333" w:type="pct"/>
                  <w:noWrap w:val="0"/>
                  <w:vAlign w:val="center"/>
                </w:tcPr>
                <w:p w14:paraId="1E7CAC04">
                  <w:pPr>
                    <w:topLinePunct/>
                    <w:adjustRightInd w:val="0"/>
                    <w:snapToGrid w:val="0"/>
                    <w:spacing w:line="240" w:lineRule="exact"/>
                    <w:jc w:val="center"/>
                    <w:rPr>
                      <w:rFonts w:hint="eastAsia"/>
                      <w:color w:val="auto"/>
                      <w:szCs w:val="21"/>
                      <w:highlight w:val="none"/>
                    </w:rPr>
                  </w:pPr>
                  <w:r>
                    <w:rPr>
                      <w:rFonts w:hint="eastAsia"/>
                      <w:color w:val="auto"/>
                      <w:szCs w:val="21"/>
                      <w:highlight w:val="none"/>
                    </w:rPr>
                    <w:t>厂界无组织浓度限值</w:t>
                  </w:r>
                </w:p>
              </w:tc>
              <w:tc>
                <w:tcPr>
                  <w:tcW w:w="1119" w:type="pct"/>
                  <w:noWrap w:val="0"/>
                  <w:vAlign w:val="center"/>
                </w:tcPr>
                <w:p w14:paraId="0B8FF037">
                  <w:pPr>
                    <w:topLinePunct/>
                    <w:adjustRightInd w:val="0"/>
                    <w:snapToGrid w:val="0"/>
                    <w:spacing w:line="240" w:lineRule="exact"/>
                    <w:jc w:val="center"/>
                    <w:rPr>
                      <w:rFonts w:hint="eastAsia"/>
                      <w:color w:val="auto"/>
                      <w:kern w:val="0"/>
                      <w:szCs w:val="21"/>
                      <w:highlight w:val="none"/>
                    </w:rPr>
                  </w:pPr>
                  <w:r>
                    <w:rPr>
                      <w:rFonts w:hint="eastAsia"/>
                      <w:color w:val="auto"/>
                      <w:kern w:val="0"/>
                      <w:szCs w:val="21"/>
                      <w:highlight w:val="none"/>
                    </w:rPr>
                    <w:t xml:space="preserve">0.008 </w:t>
                  </w:r>
                  <w:r>
                    <w:rPr>
                      <w:rFonts w:hint="default" w:ascii="Times New Roman" w:hAnsi="Times New Roman" w:cs="Times New Roman"/>
                      <w:color w:val="auto"/>
                      <w:kern w:val="0"/>
                      <w:szCs w:val="21"/>
                      <w:highlight w:val="none"/>
                      <w:lang w:val="en-US" w:eastAsia="zh-CN"/>
                    </w:rPr>
                    <w:t>μ</w:t>
                  </w:r>
                  <w:r>
                    <w:rPr>
                      <w:rFonts w:hint="eastAsia"/>
                      <w:color w:val="auto"/>
                      <w:kern w:val="0"/>
                      <w:szCs w:val="21"/>
                      <w:highlight w:val="none"/>
                    </w:rPr>
                    <w:t>g/m</w:t>
                  </w:r>
                  <w:r>
                    <w:rPr>
                      <w:rFonts w:hint="eastAsia"/>
                      <w:color w:val="auto"/>
                      <w:kern w:val="0"/>
                      <w:szCs w:val="21"/>
                      <w:highlight w:val="none"/>
                      <w:vertAlign w:val="superscript"/>
                    </w:rPr>
                    <w:t>3</w:t>
                  </w:r>
                </w:p>
              </w:tc>
              <w:tc>
                <w:tcPr>
                  <w:tcW w:w="1432" w:type="pct"/>
                  <w:vMerge w:val="continue"/>
                  <w:noWrap w:val="0"/>
                  <w:vAlign w:val="center"/>
                </w:tcPr>
                <w:p w14:paraId="5C23704E">
                  <w:pPr>
                    <w:topLinePunct/>
                    <w:adjustRightInd w:val="0"/>
                    <w:snapToGrid w:val="0"/>
                    <w:spacing w:line="240" w:lineRule="exact"/>
                    <w:jc w:val="center"/>
                    <w:rPr>
                      <w:rFonts w:hint="eastAsia"/>
                      <w:color w:val="auto"/>
                      <w:kern w:val="0"/>
                      <w:szCs w:val="21"/>
                      <w:highlight w:val="none"/>
                    </w:rPr>
                  </w:pPr>
                </w:p>
              </w:tc>
            </w:tr>
            <w:tr w14:paraId="4C422D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4" w:type="pct"/>
                  <w:vMerge w:val="continue"/>
                  <w:noWrap w:val="0"/>
                  <w:vAlign w:val="center"/>
                </w:tcPr>
                <w:p w14:paraId="00B822E9">
                  <w:pPr>
                    <w:spacing w:line="240" w:lineRule="exact"/>
                    <w:jc w:val="center"/>
                    <w:rPr>
                      <w:rFonts w:hint="eastAsia"/>
                      <w:color w:val="auto"/>
                      <w:szCs w:val="21"/>
                      <w:highlight w:val="none"/>
                    </w:rPr>
                  </w:pPr>
                </w:p>
              </w:tc>
              <w:tc>
                <w:tcPr>
                  <w:tcW w:w="691" w:type="pct"/>
                  <w:vMerge w:val="restart"/>
                  <w:noWrap w:val="0"/>
                  <w:vAlign w:val="center"/>
                </w:tcPr>
                <w:p w14:paraId="100338B9">
                  <w:pPr>
                    <w:spacing w:line="240" w:lineRule="exact"/>
                    <w:jc w:val="center"/>
                    <w:rPr>
                      <w:color w:val="auto"/>
                      <w:szCs w:val="21"/>
                      <w:highlight w:val="none"/>
                    </w:rPr>
                  </w:pPr>
                  <w:r>
                    <w:rPr>
                      <w:rFonts w:hint="eastAsia"/>
                      <w:color w:val="auto"/>
                      <w:szCs w:val="21"/>
                      <w:highlight w:val="none"/>
                    </w:rPr>
                    <w:t>氯化氢</w:t>
                  </w:r>
                </w:p>
              </w:tc>
              <w:tc>
                <w:tcPr>
                  <w:tcW w:w="1333" w:type="pct"/>
                  <w:noWrap w:val="0"/>
                  <w:vAlign w:val="center"/>
                </w:tcPr>
                <w:p w14:paraId="6160AA14">
                  <w:pPr>
                    <w:topLinePunct/>
                    <w:adjustRightInd w:val="0"/>
                    <w:snapToGrid w:val="0"/>
                    <w:spacing w:line="240" w:lineRule="exact"/>
                    <w:jc w:val="center"/>
                    <w:rPr>
                      <w:rFonts w:hint="eastAsia"/>
                      <w:color w:val="auto"/>
                      <w:szCs w:val="21"/>
                      <w:highlight w:val="none"/>
                    </w:rPr>
                  </w:pPr>
                  <w:r>
                    <w:rPr>
                      <w:rFonts w:hint="eastAsia"/>
                      <w:color w:val="auto"/>
                      <w:szCs w:val="21"/>
                      <w:highlight w:val="none"/>
                    </w:rPr>
                    <w:t>有组织浓度限值</w:t>
                  </w:r>
                </w:p>
              </w:tc>
              <w:tc>
                <w:tcPr>
                  <w:tcW w:w="1119" w:type="pct"/>
                  <w:noWrap w:val="0"/>
                  <w:vAlign w:val="center"/>
                </w:tcPr>
                <w:p w14:paraId="64B5E9AD">
                  <w:pPr>
                    <w:topLinePunct/>
                    <w:adjustRightInd w:val="0"/>
                    <w:snapToGrid w:val="0"/>
                    <w:spacing w:line="240" w:lineRule="exact"/>
                    <w:jc w:val="center"/>
                    <w:rPr>
                      <w:rFonts w:hint="eastAsia"/>
                      <w:color w:val="auto"/>
                      <w:kern w:val="0"/>
                      <w:szCs w:val="21"/>
                      <w:highlight w:val="none"/>
                    </w:rPr>
                  </w:pPr>
                  <w:r>
                    <w:rPr>
                      <w:rFonts w:hint="eastAsia"/>
                      <w:color w:val="auto"/>
                      <w:kern w:val="0"/>
                      <w:szCs w:val="21"/>
                      <w:highlight w:val="none"/>
                      <w:lang w:val="en-US" w:eastAsia="zh-CN"/>
                    </w:rPr>
                    <w:t>100</w:t>
                  </w:r>
                  <w:r>
                    <w:rPr>
                      <w:rFonts w:hint="eastAsia"/>
                      <w:color w:val="auto"/>
                      <w:kern w:val="0"/>
                      <w:szCs w:val="21"/>
                      <w:highlight w:val="none"/>
                    </w:rPr>
                    <w:t xml:space="preserve"> mg/m</w:t>
                  </w:r>
                  <w:r>
                    <w:rPr>
                      <w:rFonts w:hint="eastAsia"/>
                      <w:color w:val="auto"/>
                      <w:kern w:val="0"/>
                      <w:szCs w:val="21"/>
                      <w:highlight w:val="none"/>
                      <w:vertAlign w:val="superscript"/>
                    </w:rPr>
                    <w:t>3</w:t>
                  </w:r>
                </w:p>
              </w:tc>
              <w:tc>
                <w:tcPr>
                  <w:tcW w:w="1432" w:type="pct"/>
                  <w:vMerge w:val="continue"/>
                  <w:noWrap w:val="0"/>
                  <w:vAlign w:val="center"/>
                </w:tcPr>
                <w:p w14:paraId="0FD4318D">
                  <w:pPr>
                    <w:topLinePunct/>
                    <w:adjustRightInd w:val="0"/>
                    <w:snapToGrid w:val="0"/>
                    <w:spacing w:line="240" w:lineRule="exact"/>
                    <w:jc w:val="center"/>
                    <w:rPr>
                      <w:rFonts w:hint="eastAsia"/>
                      <w:color w:val="auto"/>
                      <w:kern w:val="0"/>
                      <w:szCs w:val="21"/>
                      <w:highlight w:val="none"/>
                    </w:rPr>
                  </w:pPr>
                </w:p>
              </w:tc>
            </w:tr>
            <w:tr w14:paraId="0EFD93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424" w:type="pct"/>
                  <w:vMerge w:val="continue"/>
                  <w:noWrap w:val="0"/>
                  <w:vAlign w:val="center"/>
                </w:tcPr>
                <w:p w14:paraId="5C026736">
                  <w:pPr>
                    <w:topLinePunct/>
                    <w:adjustRightInd w:val="0"/>
                    <w:snapToGrid w:val="0"/>
                    <w:spacing w:line="240" w:lineRule="exact"/>
                    <w:jc w:val="center"/>
                    <w:rPr>
                      <w:color w:val="auto"/>
                      <w:szCs w:val="21"/>
                      <w:highlight w:val="none"/>
                    </w:rPr>
                  </w:pPr>
                </w:p>
              </w:tc>
              <w:tc>
                <w:tcPr>
                  <w:tcW w:w="691" w:type="pct"/>
                  <w:vMerge w:val="continue"/>
                  <w:noWrap w:val="0"/>
                  <w:vAlign w:val="center"/>
                </w:tcPr>
                <w:p w14:paraId="174B5127">
                  <w:pPr>
                    <w:topLinePunct/>
                    <w:adjustRightInd w:val="0"/>
                    <w:snapToGrid w:val="0"/>
                    <w:spacing w:line="240" w:lineRule="exact"/>
                    <w:jc w:val="center"/>
                    <w:rPr>
                      <w:color w:val="auto"/>
                      <w:szCs w:val="21"/>
                      <w:highlight w:val="none"/>
                    </w:rPr>
                  </w:pPr>
                </w:p>
              </w:tc>
              <w:tc>
                <w:tcPr>
                  <w:tcW w:w="1333" w:type="pct"/>
                  <w:noWrap w:val="0"/>
                  <w:vAlign w:val="center"/>
                </w:tcPr>
                <w:p w14:paraId="3A442B2C">
                  <w:pPr>
                    <w:topLinePunct/>
                    <w:adjustRightInd w:val="0"/>
                    <w:snapToGrid w:val="0"/>
                    <w:spacing w:line="240" w:lineRule="exact"/>
                    <w:jc w:val="center"/>
                    <w:rPr>
                      <w:rFonts w:hint="eastAsia"/>
                      <w:color w:val="auto"/>
                      <w:szCs w:val="21"/>
                      <w:highlight w:val="none"/>
                    </w:rPr>
                  </w:pPr>
                  <w:r>
                    <w:rPr>
                      <w:rFonts w:hint="eastAsia"/>
                      <w:color w:val="auto"/>
                      <w:szCs w:val="21"/>
                      <w:highlight w:val="none"/>
                    </w:rPr>
                    <w:t>排放速率</w:t>
                  </w:r>
                </w:p>
              </w:tc>
              <w:tc>
                <w:tcPr>
                  <w:tcW w:w="1119" w:type="pct"/>
                  <w:noWrap w:val="0"/>
                  <w:vAlign w:val="center"/>
                </w:tcPr>
                <w:p w14:paraId="37291848">
                  <w:pPr>
                    <w:topLinePunct/>
                    <w:adjustRightInd w:val="0"/>
                    <w:snapToGrid w:val="0"/>
                    <w:spacing w:line="240" w:lineRule="exact"/>
                    <w:jc w:val="center"/>
                    <w:rPr>
                      <w:rFonts w:hint="eastAsia"/>
                      <w:color w:val="auto"/>
                      <w:kern w:val="0"/>
                      <w:szCs w:val="21"/>
                      <w:highlight w:val="none"/>
                    </w:rPr>
                  </w:pPr>
                  <w:r>
                    <w:rPr>
                      <w:rFonts w:hint="eastAsia"/>
                      <w:color w:val="auto"/>
                      <w:kern w:val="0"/>
                      <w:szCs w:val="21"/>
                      <w:highlight w:val="none"/>
                    </w:rPr>
                    <w:t>0.</w:t>
                  </w:r>
                  <w:r>
                    <w:rPr>
                      <w:rFonts w:hint="eastAsia"/>
                      <w:color w:val="auto"/>
                      <w:kern w:val="0"/>
                      <w:szCs w:val="21"/>
                      <w:highlight w:val="none"/>
                      <w:lang w:val="en-US" w:eastAsia="zh-CN"/>
                    </w:rPr>
                    <w:t>532</w:t>
                  </w:r>
                  <w:r>
                    <w:rPr>
                      <w:rFonts w:hint="eastAsia"/>
                      <w:color w:val="auto"/>
                      <w:kern w:val="0"/>
                      <w:szCs w:val="21"/>
                      <w:highlight w:val="none"/>
                    </w:rPr>
                    <w:t xml:space="preserve"> kg/h</w:t>
                  </w:r>
                </w:p>
              </w:tc>
              <w:tc>
                <w:tcPr>
                  <w:tcW w:w="1432" w:type="pct"/>
                  <w:vMerge w:val="continue"/>
                  <w:noWrap w:val="0"/>
                  <w:vAlign w:val="center"/>
                </w:tcPr>
                <w:p w14:paraId="5BF30373">
                  <w:pPr>
                    <w:topLinePunct/>
                    <w:adjustRightInd w:val="0"/>
                    <w:snapToGrid w:val="0"/>
                    <w:spacing w:line="240" w:lineRule="exact"/>
                    <w:jc w:val="center"/>
                    <w:rPr>
                      <w:rFonts w:hint="eastAsia"/>
                      <w:color w:val="auto"/>
                      <w:kern w:val="0"/>
                      <w:szCs w:val="21"/>
                      <w:highlight w:val="none"/>
                    </w:rPr>
                  </w:pPr>
                </w:p>
              </w:tc>
            </w:tr>
            <w:tr w14:paraId="09288B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424" w:type="pct"/>
                  <w:vMerge w:val="continue"/>
                  <w:noWrap w:val="0"/>
                  <w:vAlign w:val="center"/>
                </w:tcPr>
                <w:p w14:paraId="6739921A">
                  <w:pPr>
                    <w:topLinePunct/>
                    <w:adjustRightInd w:val="0"/>
                    <w:snapToGrid w:val="0"/>
                    <w:spacing w:line="240" w:lineRule="exact"/>
                    <w:jc w:val="center"/>
                    <w:rPr>
                      <w:color w:val="auto"/>
                      <w:szCs w:val="21"/>
                      <w:highlight w:val="none"/>
                    </w:rPr>
                  </w:pPr>
                </w:p>
              </w:tc>
              <w:tc>
                <w:tcPr>
                  <w:tcW w:w="691" w:type="pct"/>
                  <w:vMerge w:val="continue"/>
                  <w:noWrap w:val="0"/>
                  <w:vAlign w:val="center"/>
                </w:tcPr>
                <w:p w14:paraId="4F4E4975">
                  <w:pPr>
                    <w:topLinePunct/>
                    <w:adjustRightInd w:val="0"/>
                    <w:snapToGrid w:val="0"/>
                    <w:spacing w:line="240" w:lineRule="exact"/>
                    <w:jc w:val="center"/>
                    <w:rPr>
                      <w:color w:val="auto"/>
                      <w:szCs w:val="21"/>
                      <w:highlight w:val="none"/>
                    </w:rPr>
                  </w:pPr>
                </w:p>
              </w:tc>
              <w:tc>
                <w:tcPr>
                  <w:tcW w:w="1333" w:type="pct"/>
                  <w:noWrap w:val="0"/>
                  <w:vAlign w:val="center"/>
                </w:tcPr>
                <w:p w14:paraId="68639AEE">
                  <w:pPr>
                    <w:topLinePunct/>
                    <w:adjustRightInd w:val="0"/>
                    <w:snapToGrid w:val="0"/>
                    <w:spacing w:line="240" w:lineRule="exact"/>
                    <w:jc w:val="center"/>
                    <w:rPr>
                      <w:rFonts w:hint="eastAsia"/>
                      <w:color w:val="auto"/>
                      <w:szCs w:val="21"/>
                      <w:highlight w:val="none"/>
                    </w:rPr>
                  </w:pPr>
                  <w:r>
                    <w:rPr>
                      <w:rFonts w:hint="eastAsia"/>
                      <w:color w:val="auto"/>
                      <w:szCs w:val="21"/>
                      <w:highlight w:val="none"/>
                    </w:rPr>
                    <w:t>厂界无组织浓度限值</w:t>
                  </w:r>
                </w:p>
              </w:tc>
              <w:tc>
                <w:tcPr>
                  <w:tcW w:w="1119" w:type="pct"/>
                  <w:noWrap w:val="0"/>
                  <w:vAlign w:val="center"/>
                </w:tcPr>
                <w:p w14:paraId="3A6ADCD0">
                  <w:pPr>
                    <w:topLinePunct/>
                    <w:adjustRightInd w:val="0"/>
                    <w:snapToGrid w:val="0"/>
                    <w:spacing w:line="240" w:lineRule="exact"/>
                    <w:jc w:val="center"/>
                    <w:rPr>
                      <w:rFonts w:hint="eastAsia"/>
                      <w:color w:val="auto"/>
                      <w:kern w:val="0"/>
                      <w:szCs w:val="21"/>
                      <w:highlight w:val="none"/>
                    </w:rPr>
                  </w:pPr>
                  <w:r>
                    <w:rPr>
                      <w:rFonts w:hint="eastAsia"/>
                      <w:color w:val="auto"/>
                      <w:kern w:val="0"/>
                      <w:szCs w:val="21"/>
                      <w:highlight w:val="none"/>
                    </w:rPr>
                    <w:t>0.2 mg/m</w:t>
                  </w:r>
                  <w:r>
                    <w:rPr>
                      <w:rFonts w:hint="eastAsia"/>
                      <w:color w:val="auto"/>
                      <w:kern w:val="0"/>
                      <w:szCs w:val="21"/>
                      <w:highlight w:val="none"/>
                      <w:vertAlign w:val="superscript"/>
                    </w:rPr>
                    <w:t>3</w:t>
                  </w:r>
                </w:p>
              </w:tc>
              <w:tc>
                <w:tcPr>
                  <w:tcW w:w="1432" w:type="pct"/>
                  <w:vMerge w:val="continue"/>
                  <w:noWrap w:val="0"/>
                  <w:vAlign w:val="center"/>
                </w:tcPr>
                <w:p w14:paraId="10E2370F">
                  <w:pPr>
                    <w:topLinePunct/>
                    <w:adjustRightInd w:val="0"/>
                    <w:snapToGrid w:val="0"/>
                    <w:spacing w:line="240" w:lineRule="exact"/>
                    <w:jc w:val="center"/>
                    <w:rPr>
                      <w:rFonts w:hint="eastAsia"/>
                      <w:color w:val="auto"/>
                      <w:kern w:val="0"/>
                      <w:szCs w:val="21"/>
                      <w:highlight w:val="none"/>
                    </w:rPr>
                  </w:pPr>
                </w:p>
              </w:tc>
            </w:tr>
            <w:tr w14:paraId="7A9202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000" w:type="pct"/>
                  <w:gridSpan w:val="5"/>
                  <w:noWrap w:val="0"/>
                  <w:vAlign w:val="center"/>
                </w:tcPr>
                <w:p w14:paraId="329FBBE3">
                  <w:pPr>
                    <w:topLinePunct/>
                    <w:adjustRightInd w:val="0"/>
                    <w:snapToGrid w:val="0"/>
                    <w:spacing w:line="240" w:lineRule="exact"/>
                    <w:jc w:val="center"/>
                    <w:rPr>
                      <w:rFonts w:hint="eastAsia"/>
                      <w:color w:val="auto"/>
                      <w:kern w:val="0"/>
                      <w:szCs w:val="21"/>
                      <w:highlight w:val="none"/>
                    </w:rPr>
                  </w:pPr>
                  <w:r>
                    <w:rPr>
                      <w:rFonts w:hint="eastAsia" w:ascii="Times New Roman" w:hAnsi="Times New Roman" w:cs="Times New Roman"/>
                      <w:color w:val="auto"/>
                      <w:sz w:val="21"/>
                      <w:szCs w:val="21"/>
                      <w:lang w:val="en-US" w:eastAsia="zh-CN"/>
                    </w:rPr>
                    <w:t>备注：根据</w:t>
                  </w:r>
                  <w:r>
                    <w:rPr>
                      <w:rFonts w:hint="default" w:ascii="Times New Roman" w:hAnsi="Times New Roman" w:eastAsia="宋体" w:cs="Times New Roman"/>
                      <w:color w:val="auto"/>
                      <w:sz w:val="21"/>
                      <w:szCs w:val="21"/>
                    </w:rPr>
                    <w:t>《大气污染物综合排放标准》（GB16297-1996）</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使用内插法计算23m高排气筒最高允许排放速率</w:t>
                  </w:r>
                </w:p>
              </w:tc>
            </w:tr>
          </w:tbl>
          <w:p w14:paraId="12FA4FC0">
            <w:pPr>
              <w:pStyle w:val="84"/>
              <w:adjustRightInd w:val="0"/>
              <w:snapToGrid w:val="0"/>
              <w:rPr>
                <w:rFonts w:hint="default" w:ascii="Times New Roman" w:hAnsi="Times New Roman" w:eastAsia="宋体" w:cs="Times New Roman"/>
                <w:color w:val="auto"/>
                <w:lang w:val="en-US" w:eastAsia="zh-CN"/>
              </w:rPr>
            </w:pPr>
            <w:r>
              <w:rPr>
                <w:rFonts w:ascii="Times New Roman" w:hAnsi="Times New Roman" w:cs="Times New Roman"/>
                <w:color w:val="auto"/>
              </w:rPr>
              <w:t>2、废水：</w:t>
            </w:r>
            <w:r>
              <w:rPr>
                <w:rFonts w:hint="eastAsia" w:ascii="Times New Roman" w:hAnsi="Times New Roman" w:cs="Times New Roman"/>
                <w:color w:val="auto"/>
              </w:rPr>
              <w:t>试验废水经</w:t>
            </w:r>
            <w:r>
              <w:rPr>
                <w:rFonts w:hint="eastAsia" w:ascii="Times New Roman" w:hAnsi="Times New Roman" w:cs="Times New Roman"/>
                <w:color w:val="auto"/>
                <w:lang w:val="en-US" w:eastAsia="zh-CN"/>
              </w:rPr>
              <w:t>沉淀池后</w:t>
            </w:r>
            <w:r>
              <w:rPr>
                <w:rFonts w:hint="eastAsia" w:ascii="Times New Roman" w:hAnsi="Times New Roman" w:cs="Times New Roman"/>
                <w:color w:val="auto"/>
              </w:rPr>
              <w:t>与</w:t>
            </w:r>
            <w:r>
              <w:rPr>
                <w:rFonts w:hint="eastAsia" w:ascii="Times New Roman" w:hAnsi="Times New Roman" w:cs="Times New Roman"/>
                <w:color w:val="auto"/>
                <w:lang w:eastAsia="zh-CN"/>
              </w:rPr>
              <w:t>生活污水</w:t>
            </w:r>
            <w:r>
              <w:rPr>
                <w:rFonts w:hint="eastAsia" w:ascii="Times New Roman" w:hAnsi="Times New Roman" w:cs="Times New Roman"/>
                <w:color w:val="auto"/>
              </w:rPr>
              <w:t>一并</w:t>
            </w:r>
            <w:r>
              <w:rPr>
                <w:rFonts w:hint="eastAsia" w:ascii="Times New Roman" w:hAnsi="Times New Roman" w:cs="Times New Roman"/>
                <w:color w:val="auto"/>
                <w:lang w:val="en-US" w:eastAsia="zh-CN"/>
              </w:rPr>
              <w:t>经化粪池处理达标后排入</w:t>
            </w:r>
            <w:r>
              <w:rPr>
                <w:rFonts w:hint="eastAsia" w:ascii="Times New Roman" w:hAnsi="Times New Roman" w:cs="Times New Roman"/>
                <w:color w:val="auto"/>
              </w:rPr>
              <w:t>污水管网</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进入</w:t>
            </w:r>
            <w:r>
              <w:rPr>
                <w:rFonts w:hint="eastAsia" w:ascii="Times New Roman" w:hAnsi="Times New Roman" w:cs="Times New Roman"/>
                <w:color w:val="auto"/>
              </w:rPr>
              <w:t>西安净水处理有限责任公司第六再生水厂进一步处理，</w:t>
            </w:r>
            <w:r>
              <w:rPr>
                <w:rFonts w:hint="eastAsia" w:ascii="Times New Roman" w:hAnsi="Times New Roman" w:cs="Times New Roman"/>
                <w:color w:val="auto"/>
                <w:lang w:val="en-US" w:eastAsia="zh-CN"/>
              </w:rPr>
              <w:t>污水</w:t>
            </w:r>
            <w:r>
              <w:rPr>
                <w:rFonts w:ascii="Times New Roman" w:hAnsi="Times New Roman" w:cs="Times New Roman"/>
                <w:color w:val="auto"/>
              </w:rPr>
              <w:t>执行《污水排入城镇下水道水质标准》（GB/T31962-2015）中的</w:t>
            </w:r>
            <w:r>
              <w:rPr>
                <w:rFonts w:hint="eastAsia" w:ascii="Times New Roman" w:hAnsi="Times New Roman" w:cs="Times New Roman"/>
                <w:color w:val="auto"/>
                <w:lang w:val="en-US" w:eastAsia="zh-CN"/>
              </w:rPr>
              <w:t>A</w:t>
            </w:r>
            <w:r>
              <w:rPr>
                <w:rFonts w:hint="eastAsia" w:ascii="Times New Roman" w:hAnsi="Times New Roman" w:cs="Times New Roman"/>
                <w:color w:val="auto"/>
              </w:rPr>
              <w:t>级</w:t>
            </w:r>
            <w:r>
              <w:rPr>
                <w:rFonts w:ascii="Times New Roman" w:hAnsi="Times New Roman" w:cs="Times New Roman"/>
                <w:color w:val="auto"/>
              </w:rPr>
              <w:t>标准</w:t>
            </w:r>
            <w:r>
              <w:rPr>
                <w:rFonts w:hint="eastAsia" w:ascii="Times New Roman" w:hAnsi="Times New Roman" w:cs="Times New Roman"/>
                <w:color w:val="auto"/>
              </w:rPr>
              <w:t>及</w:t>
            </w:r>
            <w:r>
              <w:rPr>
                <w:rFonts w:ascii="Times New Roman" w:hAnsi="Times New Roman" w:cs="Times New Roman"/>
                <w:color w:val="auto"/>
              </w:rPr>
              <w:t>《污水综合排放标准》（GB8978-1996）中的三级标准</w:t>
            </w:r>
            <w:r>
              <w:rPr>
                <w:rFonts w:hint="eastAsia" w:ascii="Times New Roman" w:hAnsi="Times New Roman" w:cs="Times New Roman"/>
                <w:color w:val="auto"/>
              </w:rPr>
              <w:t>。</w:t>
            </w:r>
          </w:p>
          <w:p w14:paraId="0450805B">
            <w:pPr>
              <w:widowControl/>
              <w:jc w:val="center"/>
              <w:rPr>
                <w:b/>
                <w:bCs/>
                <w:color w:val="auto"/>
                <w:kern w:val="21"/>
                <w:sz w:val="24"/>
              </w:rPr>
            </w:pPr>
          </w:p>
          <w:p w14:paraId="6C256F7B">
            <w:pPr>
              <w:widowControl/>
              <w:jc w:val="center"/>
              <w:rPr>
                <w:b/>
                <w:bCs/>
                <w:color w:val="auto"/>
                <w:kern w:val="21"/>
                <w:sz w:val="24"/>
              </w:rPr>
            </w:pPr>
            <w:r>
              <w:rPr>
                <w:b/>
                <w:bCs/>
                <w:color w:val="auto"/>
                <w:kern w:val="21"/>
                <w:sz w:val="24"/>
              </w:rPr>
              <w:t>表</w:t>
            </w:r>
            <w:r>
              <w:rPr>
                <w:rFonts w:hint="eastAsia"/>
                <w:b/>
                <w:bCs/>
                <w:color w:val="auto"/>
                <w:kern w:val="21"/>
                <w:sz w:val="24"/>
              </w:rPr>
              <w:t>3-</w:t>
            </w:r>
            <w:r>
              <w:rPr>
                <w:rFonts w:hint="eastAsia"/>
                <w:b/>
                <w:bCs/>
                <w:color w:val="auto"/>
                <w:kern w:val="21"/>
                <w:sz w:val="24"/>
                <w:lang w:val="en-US" w:eastAsia="zh-CN"/>
              </w:rPr>
              <w:t>6</w:t>
            </w:r>
            <w:r>
              <w:rPr>
                <w:rFonts w:hint="eastAsia"/>
                <w:b/>
                <w:bCs/>
                <w:color w:val="auto"/>
                <w:kern w:val="21"/>
                <w:sz w:val="24"/>
              </w:rPr>
              <w:t xml:space="preserve">  </w:t>
            </w:r>
            <w:r>
              <w:rPr>
                <w:rFonts w:hint="eastAsia"/>
                <w:b/>
                <w:bCs/>
                <w:color w:val="auto"/>
                <w:kern w:val="21"/>
                <w:sz w:val="24"/>
                <w:lang w:val="en-US" w:eastAsia="zh-CN"/>
              </w:rPr>
              <w:t>污水</w:t>
            </w:r>
            <w:r>
              <w:rPr>
                <w:b/>
                <w:bCs/>
                <w:color w:val="auto"/>
                <w:kern w:val="21"/>
                <w:sz w:val="24"/>
              </w:rPr>
              <w:t>排放标准    单位：mg/L</w:t>
            </w:r>
          </w:p>
          <w:tbl>
            <w:tblPr>
              <w:tblStyle w:val="28"/>
              <w:tblW w:w="4922"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17"/>
              <w:gridCol w:w="2442"/>
              <w:gridCol w:w="933"/>
              <w:gridCol w:w="1436"/>
              <w:gridCol w:w="946"/>
              <w:gridCol w:w="1176"/>
            </w:tblGrid>
            <w:tr w14:paraId="621732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23" w:hRule="atLeast"/>
                <w:jc w:val="center"/>
              </w:trPr>
              <w:tc>
                <w:tcPr>
                  <w:tcW w:w="584" w:type="pct"/>
                  <w:vAlign w:val="center"/>
                </w:tcPr>
                <w:p w14:paraId="5C41B180">
                  <w:pPr>
                    <w:jc w:val="center"/>
                    <w:rPr>
                      <w:color w:val="auto"/>
                    </w:rPr>
                  </w:pPr>
                  <w:r>
                    <w:rPr>
                      <w:color w:val="auto"/>
                    </w:rPr>
                    <w:t>排放口</w:t>
                  </w:r>
                </w:p>
                <w:p w14:paraId="0B612BB9">
                  <w:pPr>
                    <w:jc w:val="center"/>
                    <w:rPr>
                      <w:color w:val="auto"/>
                    </w:rPr>
                  </w:pPr>
                  <w:r>
                    <w:rPr>
                      <w:color w:val="auto"/>
                    </w:rPr>
                    <w:t>名称</w:t>
                  </w:r>
                </w:p>
              </w:tc>
              <w:tc>
                <w:tcPr>
                  <w:tcW w:w="1555" w:type="pct"/>
                  <w:vAlign w:val="center"/>
                </w:tcPr>
                <w:p w14:paraId="326F4B6C">
                  <w:pPr>
                    <w:jc w:val="center"/>
                    <w:rPr>
                      <w:color w:val="auto"/>
                    </w:rPr>
                  </w:pPr>
                  <w:r>
                    <w:rPr>
                      <w:color w:val="auto"/>
                    </w:rPr>
                    <w:t>执行标准</w:t>
                  </w:r>
                </w:p>
              </w:tc>
              <w:tc>
                <w:tcPr>
                  <w:tcW w:w="594" w:type="pct"/>
                  <w:vAlign w:val="center"/>
                </w:tcPr>
                <w:p w14:paraId="686AC8C2">
                  <w:pPr>
                    <w:jc w:val="center"/>
                    <w:rPr>
                      <w:color w:val="auto"/>
                    </w:rPr>
                  </w:pPr>
                  <w:r>
                    <w:rPr>
                      <w:color w:val="auto"/>
                    </w:rPr>
                    <w:t>类别</w:t>
                  </w:r>
                </w:p>
              </w:tc>
              <w:tc>
                <w:tcPr>
                  <w:tcW w:w="914" w:type="pct"/>
                  <w:vAlign w:val="center"/>
                </w:tcPr>
                <w:p w14:paraId="58BCE2BF">
                  <w:pPr>
                    <w:jc w:val="center"/>
                    <w:rPr>
                      <w:color w:val="auto"/>
                    </w:rPr>
                  </w:pPr>
                  <w:r>
                    <w:rPr>
                      <w:color w:val="auto"/>
                    </w:rPr>
                    <w:t>污染物指标</w:t>
                  </w:r>
                </w:p>
              </w:tc>
              <w:tc>
                <w:tcPr>
                  <w:tcW w:w="602" w:type="pct"/>
                  <w:vAlign w:val="center"/>
                </w:tcPr>
                <w:p w14:paraId="00278697">
                  <w:pPr>
                    <w:jc w:val="center"/>
                    <w:rPr>
                      <w:color w:val="auto"/>
                    </w:rPr>
                  </w:pPr>
                  <w:r>
                    <w:rPr>
                      <w:color w:val="auto"/>
                    </w:rPr>
                    <w:t>单位</w:t>
                  </w:r>
                </w:p>
              </w:tc>
              <w:tc>
                <w:tcPr>
                  <w:tcW w:w="749" w:type="pct"/>
                  <w:vAlign w:val="center"/>
                </w:tcPr>
                <w:p w14:paraId="6165A69C">
                  <w:pPr>
                    <w:jc w:val="center"/>
                    <w:rPr>
                      <w:color w:val="auto"/>
                    </w:rPr>
                  </w:pPr>
                  <w:r>
                    <w:rPr>
                      <w:color w:val="auto"/>
                    </w:rPr>
                    <w:t>标准限值</w:t>
                  </w:r>
                </w:p>
              </w:tc>
            </w:tr>
            <w:tr w14:paraId="5DED3DF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restart"/>
                  <w:vAlign w:val="center"/>
                </w:tcPr>
                <w:p w14:paraId="4CEEF997">
                  <w:pPr>
                    <w:jc w:val="center"/>
                    <w:rPr>
                      <w:color w:val="auto"/>
                    </w:rPr>
                  </w:pPr>
                  <w:r>
                    <w:rPr>
                      <w:color w:val="auto"/>
                    </w:rPr>
                    <w:t>废水排放口</w:t>
                  </w:r>
                </w:p>
              </w:tc>
              <w:tc>
                <w:tcPr>
                  <w:tcW w:w="1555" w:type="pct"/>
                  <w:vMerge w:val="restart"/>
                  <w:vAlign w:val="center"/>
                </w:tcPr>
                <w:p w14:paraId="5CE2870C">
                  <w:pPr>
                    <w:jc w:val="center"/>
                    <w:rPr>
                      <w:color w:val="auto"/>
                    </w:rPr>
                  </w:pPr>
                  <w:r>
                    <w:rPr>
                      <w:color w:val="auto"/>
                    </w:rPr>
                    <w:t>《污水综合排放标准》（GB8978-1996）</w:t>
                  </w:r>
                </w:p>
              </w:tc>
              <w:tc>
                <w:tcPr>
                  <w:tcW w:w="594" w:type="pct"/>
                  <w:vMerge w:val="restart"/>
                  <w:vAlign w:val="center"/>
                </w:tcPr>
                <w:p w14:paraId="7C4F6C0F">
                  <w:pPr>
                    <w:jc w:val="center"/>
                    <w:rPr>
                      <w:color w:val="auto"/>
                    </w:rPr>
                  </w:pPr>
                  <w:r>
                    <w:rPr>
                      <w:color w:val="auto"/>
                    </w:rPr>
                    <w:t>表4三级标准</w:t>
                  </w:r>
                </w:p>
              </w:tc>
              <w:tc>
                <w:tcPr>
                  <w:tcW w:w="914" w:type="pct"/>
                  <w:vAlign w:val="center"/>
                </w:tcPr>
                <w:p w14:paraId="6D0AA635">
                  <w:pPr>
                    <w:jc w:val="center"/>
                    <w:rPr>
                      <w:color w:val="auto"/>
                    </w:rPr>
                  </w:pPr>
                  <w:r>
                    <w:rPr>
                      <w:color w:val="auto"/>
                    </w:rPr>
                    <w:t>pH</w:t>
                  </w:r>
                </w:p>
              </w:tc>
              <w:tc>
                <w:tcPr>
                  <w:tcW w:w="602" w:type="pct"/>
                  <w:vAlign w:val="center"/>
                </w:tcPr>
                <w:p w14:paraId="0857C3FB">
                  <w:pPr>
                    <w:jc w:val="center"/>
                    <w:rPr>
                      <w:color w:val="auto"/>
                    </w:rPr>
                  </w:pPr>
                  <w:r>
                    <w:rPr>
                      <w:color w:val="auto"/>
                    </w:rPr>
                    <w:t>无量纲</w:t>
                  </w:r>
                </w:p>
              </w:tc>
              <w:tc>
                <w:tcPr>
                  <w:tcW w:w="749" w:type="pct"/>
                  <w:vAlign w:val="center"/>
                </w:tcPr>
                <w:p w14:paraId="48F88436">
                  <w:pPr>
                    <w:jc w:val="center"/>
                    <w:rPr>
                      <w:color w:val="auto"/>
                    </w:rPr>
                  </w:pPr>
                  <w:r>
                    <w:rPr>
                      <w:color w:val="auto"/>
                    </w:rPr>
                    <w:t>6-9</w:t>
                  </w:r>
                </w:p>
              </w:tc>
            </w:tr>
            <w:tr w14:paraId="630453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continue"/>
                  <w:vAlign w:val="center"/>
                </w:tcPr>
                <w:p w14:paraId="4B1E7742">
                  <w:pPr>
                    <w:jc w:val="center"/>
                    <w:rPr>
                      <w:color w:val="auto"/>
                    </w:rPr>
                  </w:pPr>
                </w:p>
              </w:tc>
              <w:tc>
                <w:tcPr>
                  <w:tcW w:w="1555" w:type="pct"/>
                  <w:vMerge w:val="continue"/>
                  <w:vAlign w:val="center"/>
                </w:tcPr>
                <w:p w14:paraId="6F6CD202">
                  <w:pPr>
                    <w:jc w:val="center"/>
                    <w:rPr>
                      <w:color w:val="auto"/>
                    </w:rPr>
                  </w:pPr>
                </w:p>
              </w:tc>
              <w:tc>
                <w:tcPr>
                  <w:tcW w:w="594" w:type="pct"/>
                  <w:vMerge w:val="continue"/>
                  <w:vAlign w:val="center"/>
                </w:tcPr>
                <w:p w14:paraId="1E23815A">
                  <w:pPr>
                    <w:jc w:val="center"/>
                    <w:rPr>
                      <w:color w:val="auto"/>
                    </w:rPr>
                  </w:pPr>
                </w:p>
              </w:tc>
              <w:tc>
                <w:tcPr>
                  <w:tcW w:w="914" w:type="pct"/>
                  <w:vAlign w:val="center"/>
                </w:tcPr>
                <w:p w14:paraId="648D8BC1">
                  <w:pPr>
                    <w:jc w:val="center"/>
                    <w:rPr>
                      <w:color w:val="auto"/>
                    </w:rPr>
                  </w:pPr>
                  <w:r>
                    <w:rPr>
                      <w:color w:val="auto"/>
                    </w:rPr>
                    <w:t>COD</w:t>
                  </w:r>
                </w:p>
              </w:tc>
              <w:tc>
                <w:tcPr>
                  <w:tcW w:w="602" w:type="pct"/>
                  <w:vMerge w:val="restart"/>
                  <w:vAlign w:val="center"/>
                </w:tcPr>
                <w:p w14:paraId="3977E7D4">
                  <w:pPr>
                    <w:jc w:val="center"/>
                    <w:rPr>
                      <w:color w:val="auto"/>
                    </w:rPr>
                  </w:pPr>
                  <w:r>
                    <w:rPr>
                      <w:color w:val="auto"/>
                    </w:rPr>
                    <w:t>mg/L</w:t>
                  </w:r>
                </w:p>
              </w:tc>
              <w:tc>
                <w:tcPr>
                  <w:tcW w:w="749" w:type="pct"/>
                  <w:vAlign w:val="center"/>
                </w:tcPr>
                <w:p w14:paraId="26C0A8A9">
                  <w:pPr>
                    <w:jc w:val="center"/>
                    <w:rPr>
                      <w:color w:val="auto"/>
                    </w:rPr>
                  </w:pPr>
                  <w:r>
                    <w:rPr>
                      <w:color w:val="auto"/>
                    </w:rPr>
                    <w:t>500</w:t>
                  </w:r>
                </w:p>
              </w:tc>
            </w:tr>
            <w:tr w14:paraId="77BC4D3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continue"/>
                  <w:vAlign w:val="center"/>
                </w:tcPr>
                <w:p w14:paraId="6584C25F">
                  <w:pPr>
                    <w:jc w:val="center"/>
                    <w:rPr>
                      <w:color w:val="auto"/>
                    </w:rPr>
                  </w:pPr>
                </w:p>
              </w:tc>
              <w:tc>
                <w:tcPr>
                  <w:tcW w:w="1555" w:type="pct"/>
                  <w:vMerge w:val="continue"/>
                  <w:vAlign w:val="center"/>
                </w:tcPr>
                <w:p w14:paraId="5516641D">
                  <w:pPr>
                    <w:jc w:val="center"/>
                    <w:rPr>
                      <w:color w:val="auto"/>
                    </w:rPr>
                  </w:pPr>
                </w:p>
              </w:tc>
              <w:tc>
                <w:tcPr>
                  <w:tcW w:w="594" w:type="pct"/>
                  <w:vMerge w:val="continue"/>
                  <w:vAlign w:val="center"/>
                </w:tcPr>
                <w:p w14:paraId="6084C5A1">
                  <w:pPr>
                    <w:jc w:val="center"/>
                    <w:rPr>
                      <w:color w:val="auto"/>
                    </w:rPr>
                  </w:pPr>
                </w:p>
              </w:tc>
              <w:tc>
                <w:tcPr>
                  <w:tcW w:w="914" w:type="pct"/>
                  <w:vAlign w:val="center"/>
                </w:tcPr>
                <w:p w14:paraId="482F13EA">
                  <w:pPr>
                    <w:jc w:val="center"/>
                    <w:rPr>
                      <w:color w:val="auto"/>
                    </w:rPr>
                  </w:pPr>
                  <w:r>
                    <w:rPr>
                      <w:color w:val="auto"/>
                    </w:rPr>
                    <w:t>SS</w:t>
                  </w:r>
                </w:p>
              </w:tc>
              <w:tc>
                <w:tcPr>
                  <w:tcW w:w="602" w:type="pct"/>
                  <w:vMerge w:val="continue"/>
                  <w:vAlign w:val="center"/>
                </w:tcPr>
                <w:p w14:paraId="2B8D80D0">
                  <w:pPr>
                    <w:jc w:val="center"/>
                    <w:rPr>
                      <w:color w:val="auto"/>
                    </w:rPr>
                  </w:pPr>
                </w:p>
              </w:tc>
              <w:tc>
                <w:tcPr>
                  <w:tcW w:w="749" w:type="pct"/>
                  <w:vAlign w:val="center"/>
                </w:tcPr>
                <w:p w14:paraId="475A007E">
                  <w:pPr>
                    <w:jc w:val="center"/>
                    <w:rPr>
                      <w:color w:val="auto"/>
                    </w:rPr>
                  </w:pPr>
                  <w:r>
                    <w:rPr>
                      <w:color w:val="auto"/>
                    </w:rPr>
                    <w:t>400</w:t>
                  </w:r>
                </w:p>
              </w:tc>
            </w:tr>
            <w:tr w14:paraId="66DF951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continue"/>
                  <w:vAlign w:val="center"/>
                </w:tcPr>
                <w:p w14:paraId="2977568C">
                  <w:pPr>
                    <w:jc w:val="center"/>
                    <w:rPr>
                      <w:color w:val="auto"/>
                    </w:rPr>
                  </w:pPr>
                </w:p>
              </w:tc>
              <w:tc>
                <w:tcPr>
                  <w:tcW w:w="1555" w:type="pct"/>
                  <w:vMerge w:val="continue"/>
                  <w:vAlign w:val="center"/>
                </w:tcPr>
                <w:p w14:paraId="79371FC7">
                  <w:pPr>
                    <w:jc w:val="center"/>
                    <w:rPr>
                      <w:color w:val="auto"/>
                    </w:rPr>
                  </w:pPr>
                </w:p>
              </w:tc>
              <w:tc>
                <w:tcPr>
                  <w:tcW w:w="594" w:type="pct"/>
                  <w:vMerge w:val="continue"/>
                  <w:vAlign w:val="center"/>
                </w:tcPr>
                <w:p w14:paraId="4F787B6E">
                  <w:pPr>
                    <w:jc w:val="center"/>
                    <w:rPr>
                      <w:color w:val="auto"/>
                    </w:rPr>
                  </w:pPr>
                </w:p>
              </w:tc>
              <w:tc>
                <w:tcPr>
                  <w:tcW w:w="914" w:type="pct"/>
                  <w:vAlign w:val="center"/>
                </w:tcPr>
                <w:p w14:paraId="5A5E54CE">
                  <w:pPr>
                    <w:jc w:val="center"/>
                    <w:rPr>
                      <w:color w:val="auto"/>
                    </w:rPr>
                  </w:pPr>
                  <w:r>
                    <w:rPr>
                      <w:color w:val="auto"/>
                    </w:rPr>
                    <w:t>BOD</w:t>
                  </w:r>
                  <w:r>
                    <w:rPr>
                      <w:color w:val="auto"/>
                      <w:vertAlign w:val="subscript"/>
                    </w:rPr>
                    <w:t>5</w:t>
                  </w:r>
                </w:p>
              </w:tc>
              <w:tc>
                <w:tcPr>
                  <w:tcW w:w="602" w:type="pct"/>
                  <w:vMerge w:val="continue"/>
                  <w:vAlign w:val="center"/>
                </w:tcPr>
                <w:p w14:paraId="7406F0FE">
                  <w:pPr>
                    <w:jc w:val="center"/>
                    <w:rPr>
                      <w:color w:val="auto"/>
                    </w:rPr>
                  </w:pPr>
                </w:p>
              </w:tc>
              <w:tc>
                <w:tcPr>
                  <w:tcW w:w="749" w:type="pct"/>
                  <w:vAlign w:val="center"/>
                </w:tcPr>
                <w:p w14:paraId="08F2E844">
                  <w:pPr>
                    <w:jc w:val="center"/>
                    <w:rPr>
                      <w:color w:val="auto"/>
                    </w:rPr>
                  </w:pPr>
                  <w:r>
                    <w:rPr>
                      <w:color w:val="auto"/>
                    </w:rPr>
                    <w:t>300</w:t>
                  </w:r>
                </w:p>
              </w:tc>
            </w:tr>
            <w:tr w14:paraId="595EEB9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584" w:type="pct"/>
                  <w:vMerge w:val="continue"/>
                  <w:vAlign w:val="center"/>
                </w:tcPr>
                <w:p w14:paraId="6919AA7E">
                  <w:pPr>
                    <w:jc w:val="center"/>
                    <w:rPr>
                      <w:color w:val="auto"/>
                    </w:rPr>
                  </w:pPr>
                </w:p>
              </w:tc>
              <w:tc>
                <w:tcPr>
                  <w:tcW w:w="1555" w:type="pct"/>
                  <w:vMerge w:val="restart"/>
                  <w:vAlign w:val="center"/>
                </w:tcPr>
                <w:p w14:paraId="2DA48B4A">
                  <w:pPr>
                    <w:jc w:val="center"/>
                    <w:rPr>
                      <w:color w:val="auto"/>
                    </w:rPr>
                  </w:pPr>
                  <w:r>
                    <w:rPr>
                      <w:color w:val="auto"/>
                    </w:rPr>
                    <w:t>《污水排入城镇下水道水质标准》（GB/T 31962-2015）</w:t>
                  </w:r>
                </w:p>
              </w:tc>
              <w:tc>
                <w:tcPr>
                  <w:tcW w:w="594" w:type="pct"/>
                  <w:vMerge w:val="restart"/>
                  <w:vAlign w:val="center"/>
                </w:tcPr>
                <w:p w14:paraId="14AC684D">
                  <w:pPr>
                    <w:jc w:val="center"/>
                    <w:rPr>
                      <w:color w:val="auto"/>
                    </w:rPr>
                  </w:pPr>
                  <w:r>
                    <w:rPr>
                      <w:color w:val="auto"/>
                    </w:rPr>
                    <w:t>表1</w:t>
                  </w:r>
                  <w:r>
                    <w:rPr>
                      <w:rFonts w:hint="eastAsia"/>
                      <w:color w:val="auto"/>
                    </w:rPr>
                    <w:t>A</w:t>
                  </w:r>
                  <w:r>
                    <w:rPr>
                      <w:color w:val="auto"/>
                    </w:rPr>
                    <w:t>级标准</w:t>
                  </w:r>
                </w:p>
              </w:tc>
              <w:tc>
                <w:tcPr>
                  <w:tcW w:w="914" w:type="pct"/>
                  <w:vAlign w:val="center"/>
                </w:tcPr>
                <w:p w14:paraId="07D30AC1">
                  <w:pPr>
                    <w:jc w:val="center"/>
                    <w:rPr>
                      <w:color w:val="auto"/>
                    </w:rPr>
                  </w:pPr>
                  <w:r>
                    <w:rPr>
                      <w:color w:val="auto"/>
                    </w:rPr>
                    <w:t>氨氮</w:t>
                  </w:r>
                </w:p>
              </w:tc>
              <w:tc>
                <w:tcPr>
                  <w:tcW w:w="602" w:type="pct"/>
                  <w:vMerge w:val="continue"/>
                  <w:vAlign w:val="center"/>
                </w:tcPr>
                <w:p w14:paraId="29B12D22">
                  <w:pPr>
                    <w:jc w:val="center"/>
                    <w:rPr>
                      <w:color w:val="auto"/>
                    </w:rPr>
                  </w:pPr>
                </w:p>
              </w:tc>
              <w:tc>
                <w:tcPr>
                  <w:tcW w:w="749" w:type="pct"/>
                  <w:vAlign w:val="center"/>
                </w:tcPr>
                <w:p w14:paraId="5AD41B05">
                  <w:pPr>
                    <w:jc w:val="center"/>
                    <w:rPr>
                      <w:color w:val="auto"/>
                    </w:rPr>
                  </w:pPr>
                  <w:r>
                    <w:rPr>
                      <w:color w:val="auto"/>
                    </w:rPr>
                    <w:t>45</w:t>
                  </w:r>
                </w:p>
              </w:tc>
            </w:tr>
            <w:tr w14:paraId="7487BB4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584" w:type="pct"/>
                  <w:vMerge w:val="continue"/>
                  <w:vAlign w:val="center"/>
                </w:tcPr>
                <w:p w14:paraId="30D03F0B">
                  <w:pPr>
                    <w:jc w:val="center"/>
                    <w:rPr>
                      <w:color w:val="auto"/>
                    </w:rPr>
                  </w:pPr>
                </w:p>
              </w:tc>
              <w:tc>
                <w:tcPr>
                  <w:tcW w:w="1555" w:type="pct"/>
                  <w:vMerge w:val="continue"/>
                  <w:vAlign w:val="center"/>
                </w:tcPr>
                <w:p w14:paraId="6107915A">
                  <w:pPr>
                    <w:jc w:val="center"/>
                    <w:rPr>
                      <w:color w:val="auto"/>
                    </w:rPr>
                  </w:pPr>
                </w:p>
              </w:tc>
              <w:tc>
                <w:tcPr>
                  <w:tcW w:w="594" w:type="pct"/>
                  <w:vMerge w:val="continue"/>
                  <w:vAlign w:val="center"/>
                </w:tcPr>
                <w:p w14:paraId="7A46CB34">
                  <w:pPr>
                    <w:jc w:val="center"/>
                    <w:rPr>
                      <w:color w:val="auto"/>
                    </w:rPr>
                  </w:pPr>
                </w:p>
              </w:tc>
              <w:tc>
                <w:tcPr>
                  <w:tcW w:w="914" w:type="pct"/>
                  <w:vAlign w:val="center"/>
                </w:tcPr>
                <w:p w14:paraId="6DAA2A92">
                  <w:pPr>
                    <w:pStyle w:val="69"/>
                    <w:rPr>
                      <w:color w:val="auto"/>
                      <w:szCs w:val="21"/>
                    </w:rPr>
                  </w:pPr>
                  <w:r>
                    <w:rPr>
                      <w:rFonts w:hint="eastAsia"/>
                      <w:color w:val="auto"/>
                      <w:szCs w:val="21"/>
                    </w:rPr>
                    <w:t>TN</w:t>
                  </w:r>
                </w:p>
              </w:tc>
              <w:tc>
                <w:tcPr>
                  <w:tcW w:w="602" w:type="pct"/>
                  <w:vMerge w:val="continue"/>
                  <w:vAlign w:val="center"/>
                </w:tcPr>
                <w:p w14:paraId="68BDB35F">
                  <w:pPr>
                    <w:jc w:val="center"/>
                    <w:rPr>
                      <w:color w:val="auto"/>
                    </w:rPr>
                  </w:pPr>
                </w:p>
              </w:tc>
              <w:tc>
                <w:tcPr>
                  <w:tcW w:w="749" w:type="pct"/>
                  <w:vAlign w:val="center"/>
                </w:tcPr>
                <w:p w14:paraId="5F3F17ED">
                  <w:pPr>
                    <w:pStyle w:val="69"/>
                    <w:rPr>
                      <w:color w:val="auto"/>
                    </w:rPr>
                  </w:pPr>
                  <w:r>
                    <w:rPr>
                      <w:rFonts w:hint="eastAsia"/>
                      <w:color w:val="auto"/>
                    </w:rPr>
                    <w:t>70</w:t>
                  </w:r>
                </w:p>
              </w:tc>
            </w:tr>
            <w:tr w14:paraId="162D996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29" w:hRule="atLeast"/>
                <w:jc w:val="center"/>
              </w:trPr>
              <w:tc>
                <w:tcPr>
                  <w:tcW w:w="584" w:type="pct"/>
                  <w:vMerge w:val="continue"/>
                  <w:vAlign w:val="center"/>
                </w:tcPr>
                <w:p w14:paraId="57084705">
                  <w:pPr>
                    <w:jc w:val="center"/>
                    <w:rPr>
                      <w:color w:val="auto"/>
                    </w:rPr>
                  </w:pPr>
                </w:p>
              </w:tc>
              <w:tc>
                <w:tcPr>
                  <w:tcW w:w="1555" w:type="pct"/>
                  <w:vMerge w:val="continue"/>
                  <w:vAlign w:val="center"/>
                </w:tcPr>
                <w:p w14:paraId="526DF158">
                  <w:pPr>
                    <w:jc w:val="center"/>
                    <w:rPr>
                      <w:color w:val="auto"/>
                    </w:rPr>
                  </w:pPr>
                </w:p>
              </w:tc>
              <w:tc>
                <w:tcPr>
                  <w:tcW w:w="594" w:type="pct"/>
                  <w:vMerge w:val="continue"/>
                  <w:vAlign w:val="center"/>
                </w:tcPr>
                <w:p w14:paraId="58DC364C">
                  <w:pPr>
                    <w:jc w:val="center"/>
                    <w:rPr>
                      <w:color w:val="auto"/>
                    </w:rPr>
                  </w:pPr>
                </w:p>
              </w:tc>
              <w:tc>
                <w:tcPr>
                  <w:tcW w:w="914" w:type="pct"/>
                  <w:vAlign w:val="center"/>
                </w:tcPr>
                <w:p w14:paraId="1ED5F23B">
                  <w:pPr>
                    <w:pStyle w:val="69"/>
                    <w:rPr>
                      <w:color w:val="auto"/>
                      <w:szCs w:val="21"/>
                    </w:rPr>
                  </w:pPr>
                  <w:r>
                    <w:rPr>
                      <w:rFonts w:hint="eastAsia"/>
                      <w:color w:val="auto"/>
                      <w:szCs w:val="21"/>
                    </w:rPr>
                    <w:t>TP</w:t>
                  </w:r>
                </w:p>
              </w:tc>
              <w:tc>
                <w:tcPr>
                  <w:tcW w:w="602" w:type="pct"/>
                  <w:vMerge w:val="continue"/>
                  <w:vAlign w:val="center"/>
                </w:tcPr>
                <w:p w14:paraId="287FB3AF">
                  <w:pPr>
                    <w:jc w:val="center"/>
                    <w:rPr>
                      <w:color w:val="auto"/>
                    </w:rPr>
                  </w:pPr>
                </w:p>
              </w:tc>
              <w:tc>
                <w:tcPr>
                  <w:tcW w:w="749" w:type="pct"/>
                  <w:vAlign w:val="center"/>
                </w:tcPr>
                <w:p w14:paraId="4F954920">
                  <w:pPr>
                    <w:pStyle w:val="69"/>
                    <w:rPr>
                      <w:color w:val="auto"/>
                    </w:rPr>
                  </w:pPr>
                  <w:r>
                    <w:rPr>
                      <w:rFonts w:hint="eastAsia"/>
                      <w:color w:val="auto"/>
                    </w:rPr>
                    <w:t>8</w:t>
                  </w:r>
                </w:p>
              </w:tc>
            </w:tr>
          </w:tbl>
          <w:p w14:paraId="39679094">
            <w:pPr>
              <w:spacing w:line="360" w:lineRule="auto"/>
              <w:ind w:firstLine="480" w:firstLineChars="200"/>
              <w:rPr>
                <w:color w:val="auto"/>
                <w:sz w:val="24"/>
              </w:rPr>
            </w:pPr>
            <w:r>
              <w:rPr>
                <w:color w:val="auto"/>
                <w:sz w:val="24"/>
              </w:rPr>
              <w:t>3、噪声：施工期噪声执行《建筑施工场界环境噪声排放标准》（GB12523-2011）中的相关要求；运营期厂界噪声执行《工业企业厂界环境噪声排放标准》（GB12348-2008）</w:t>
            </w:r>
            <w:r>
              <w:rPr>
                <w:rFonts w:hint="eastAsia"/>
                <w:color w:val="auto"/>
                <w:sz w:val="24"/>
              </w:rPr>
              <w:t>2</w:t>
            </w:r>
            <w:r>
              <w:rPr>
                <w:color w:val="auto"/>
                <w:sz w:val="24"/>
              </w:rPr>
              <w:t>类标准限值。</w:t>
            </w:r>
          </w:p>
          <w:p w14:paraId="7BC85747">
            <w:pPr>
              <w:pStyle w:val="7"/>
              <w:jc w:val="center"/>
              <w:rPr>
                <w:rFonts w:ascii="Times New Roman" w:hAnsi="Times New Roman" w:eastAsia="宋体"/>
                <w:b/>
                <w:color w:val="auto"/>
                <w:sz w:val="24"/>
              </w:rPr>
            </w:pPr>
            <w:r>
              <w:rPr>
                <w:rFonts w:ascii="Times New Roman" w:hAnsi="Times New Roman" w:eastAsia="宋体"/>
                <w:b/>
                <w:color w:val="auto"/>
                <w:sz w:val="24"/>
              </w:rPr>
              <w:t>表3-</w:t>
            </w:r>
            <w:r>
              <w:rPr>
                <w:rFonts w:hint="eastAsia" w:ascii="Times New Roman" w:hAnsi="Times New Roman" w:eastAsia="宋体"/>
                <w:b/>
                <w:color w:val="auto"/>
                <w:sz w:val="24"/>
                <w:lang w:val="en-US" w:eastAsia="zh-CN"/>
              </w:rPr>
              <w:t>7</w:t>
            </w:r>
            <w:r>
              <w:rPr>
                <w:rFonts w:ascii="Times New Roman" w:hAnsi="Times New Roman" w:eastAsia="宋体"/>
                <w:b/>
                <w:color w:val="auto"/>
                <w:sz w:val="24"/>
              </w:rPr>
              <w:t xml:space="preserve"> </w:t>
            </w:r>
            <w:r>
              <w:rPr>
                <w:rFonts w:hint="eastAsia" w:ascii="Times New Roman" w:hAnsi="Times New Roman" w:eastAsia="宋体"/>
                <w:b/>
                <w:color w:val="auto"/>
                <w:sz w:val="24"/>
              </w:rPr>
              <w:t xml:space="preserve">  </w:t>
            </w:r>
            <w:r>
              <w:rPr>
                <w:rFonts w:ascii="Times New Roman" w:hAnsi="Times New Roman" w:eastAsia="宋体"/>
                <w:b/>
                <w:color w:val="auto"/>
                <w:sz w:val="24"/>
              </w:rPr>
              <w:t xml:space="preserve"> 噪声排放标准</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49"/>
              <w:gridCol w:w="1335"/>
              <w:gridCol w:w="1305"/>
              <w:gridCol w:w="1289"/>
              <w:gridCol w:w="2593"/>
            </w:tblGrid>
            <w:tr w14:paraId="0EC62F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vMerge w:val="restart"/>
                  <w:tcMar>
                    <w:top w:w="0" w:type="dxa"/>
                    <w:left w:w="57" w:type="dxa"/>
                    <w:bottom w:w="0" w:type="dxa"/>
                    <w:right w:w="57" w:type="dxa"/>
                  </w:tcMar>
                  <w:vAlign w:val="center"/>
                </w:tcPr>
                <w:p w14:paraId="1E388967">
                  <w:pPr>
                    <w:adjustRightInd w:val="0"/>
                    <w:snapToGrid w:val="0"/>
                    <w:jc w:val="center"/>
                    <w:rPr>
                      <w:b/>
                      <w:color w:val="auto"/>
                      <w:kern w:val="0"/>
                      <w:szCs w:val="21"/>
                    </w:rPr>
                  </w:pPr>
                  <w:r>
                    <w:rPr>
                      <w:b/>
                      <w:color w:val="auto"/>
                      <w:kern w:val="0"/>
                      <w:szCs w:val="21"/>
                    </w:rPr>
                    <w:t>项目阶段</w:t>
                  </w:r>
                </w:p>
              </w:tc>
              <w:tc>
                <w:tcPr>
                  <w:tcW w:w="837" w:type="pct"/>
                  <w:vMerge w:val="restart"/>
                  <w:vAlign w:val="center"/>
                </w:tcPr>
                <w:p w14:paraId="467689AD">
                  <w:pPr>
                    <w:adjustRightInd w:val="0"/>
                    <w:snapToGrid w:val="0"/>
                    <w:jc w:val="center"/>
                    <w:rPr>
                      <w:b/>
                      <w:color w:val="auto"/>
                      <w:kern w:val="0"/>
                      <w:szCs w:val="21"/>
                    </w:rPr>
                  </w:pPr>
                  <w:r>
                    <w:rPr>
                      <w:b/>
                      <w:color w:val="auto"/>
                      <w:kern w:val="0"/>
                      <w:szCs w:val="21"/>
                    </w:rPr>
                    <w:t>功能类别</w:t>
                  </w:r>
                </w:p>
              </w:tc>
              <w:tc>
                <w:tcPr>
                  <w:tcW w:w="1626" w:type="pct"/>
                  <w:gridSpan w:val="2"/>
                  <w:vAlign w:val="center"/>
                </w:tcPr>
                <w:p w14:paraId="61AD1A35">
                  <w:pPr>
                    <w:adjustRightInd w:val="0"/>
                    <w:snapToGrid w:val="0"/>
                    <w:jc w:val="center"/>
                    <w:rPr>
                      <w:b/>
                      <w:color w:val="auto"/>
                      <w:kern w:val="0"/>
                      <w:szCs w:val="21"/>
                    </w:rPr>
                  </w:pPr>
                  <w:r>
                    <w:rPr>
                      <w:b/>
                      <w:color w:val="auto"/>
                      <w:kern w:val="0"/>
                      <w:szCs w:val="21"/>
                    </w:rPr>
                    <w:t>限值</w:t>
                  </w:r>
                  <w:r>
                    <w:rPr>
                      <w:b/>
                      <w:bCs/>
                      <w:color w:val="auto"/>
                      <w:kern w:val="0"/>
                      <w:szCs w:val="21"/>
                    </w:rPr>
                    <w:t>dB(A)</w:t>
                  </w:r>
                </w:p>
              </w:tc>
              <w:tc>
                <w:tcPr>
                  <w:tcW w:w="1626" w:type="pct"/>
                  <w:vMerge w:val="restart"/>
                  <w:vAlign w:val="center"/>
                </w:tcPr>
                <w:p w14:paraId="2D7F6D6B">
                  <w:pPr>
                    <w:adjustRightInd w:val="0"/>
                    <w:snapToGrid w:val="0"/>
                    <w:jc w:val="center"/>
                    <w:rPr>
                      <w:b/>
                      <w:color w:val="auto"/>
                      <w:kern w:val="0"/>
                      <w:szCs w:val="21"/>
                    </w:rPr>
                  </w:pPr>
                  <w:r>
                    <w:rPr>
                      <w:rFonts w:hint="eastAsia"/>
                      <w:b/>
                      <w:color w:val="auto"/>
                      <w:kern w:val="0"/>
                      <w:szCs w:val="21"/>
                    </w:rPr>
                    <w:t>位置</w:t>
                  </w:r>
                </w:p>
              </w:tc>
            </w:tr>
            <w:tr w14:paraId="1C0793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vMerge w:val="continue"/>
                  <w:tcMar>
                    <w:top w:w="0" w:type="dxa"/>
                    <w:left w:w="57" w:type="dxa"/>
                    <w:bottom w:w="0" w:type="dxa"/>
                    <w:right w:w="57" w:type="dxa"/>
                  </w:tcMar>
                  <w:vAlign w:val="center"/>
                </w:tcPr>
                <w:p w14:paraId="1ECC9032">
                  <w:pPr>
                    <w:adjustRightInd w:val="0"/>
                    <w:snapToGrid w:val="0"/>
                    <w:jc w:val="center"/>
                    <w:rPr>
                      <w:b/>
                      <w:color w:val="auto"/>
                      <w:kern w:val="0"/>
                      <w:szCs w:val="21"/>
                    </w:rPr>
                  </w:pPr>
                </w:p>
              </w:tc>
              <w:tc>
                <w:tcPr>
                  <w:tcW w:w="837" w:type="pct"/>
                  <w:vMerge w:val="continue"/>
                  <w:vAlign w:val="center"/>
                </w:tcPr>
                <w:p w14:paraId="4DA3B9B8">
                  <w:pPr>
                    <w:adjustRightInd w:val="0"/>
                    <w:snapToGrid w:val="0"/>
                    <w:jc w:val="center"/>
                    <w:rPr>
                      <w:b/>
                      <w:color w:val="auto"/>
                      <w:kern w:val="0"/>
                      <w:szCs w:val="21"/>
                    </w:rPr>
                  </w:pPr>
                </w:p>
              </w:tc>
              <w:tc>
                <w:tcPr>
                  <w:tcW w:w="818" w:type="pct"/>
                  <w:vAlign w:val="center"/>
                </w:tcPr>
                <w:p w14:paraId="47ADCD65">
                  <w:pPr>
                    <w:adjustRightInd w:val="0"/>
                    <w:snapToGrid w:val="0"/>
                    <w:jc w:val="center"/>
                    <w:rPr>
                      <w:b/>
                      <w:bCs/>
                      <w:color w:val="auto"/>
                      <w:kern w:val="0"/>
                      <w:szCs w:val="21"/>
                    </w:rPr>
                  </w:pPr>
                  <w:r>
                    <w:rPr>
                      <w:b/>
                      <w:bCs/>
                      <w:color w:val="auto"/>
                      <w:kern w:val="0"/>
                      <w:szCs w:val="21"/>
                    </w:rPr>
                    <w:t>昼间</w:t>
                  </w:r>
                </w:p>
              </w:tc>
              <w:tc>
                <w:tcPr>
                  <w:tcW w:w="808" w:type="pct"/>
                  <w:vAlign w:val="center"/>
                </w:tcPr>
                <w:p w14:paraId="37FD16FD">
                  <w:pPr>
                    <w:adjustRightInd w:val="0"/>
                    <w:snapToGrid w:val="0"/>
                    <w:jc w:val="center"/>
                    <w:rPr>
                      <w:b/>
                      <w:bCs/>
                      <w:color w:val="auto"/>
                      <w:kern w:val="0"/>
                      <w:szCs w:val="21"/>
                    </w:rPr>
                  </w:pPr>
                  <w:r>
                    <w:rPr>
                      <w:b/>
                      <w:bCs/>
                      <w:color w:val="auto"/>
                      <w:kern w:val="0"/>
                      <w:szCs w:val="21"/>
                    </w:rPr>
                    <w:t>夜间</w:t>
                  </w:r>
                </w:p>
              </w:tc>
              <w:tc>
                <w:tcPr>
                  <w:tcW w:w="1626" w:type="pct"/>
                  <w:vMerge w:val="continue"/>
                  <w:vAlign w:val="center"/>
                </w:tcPr>
                <w:p w14:paraId="3D248F02">
                  <w:pPr>
                    <w:adjustRightInd w:val="0"/>
                    <w:snapToGrid w:val="0"/>
                    <w:jc w:val="center"/>
                    <w:rPr>
                      <w:b/>
                      <w:bCs/>
                      <w:color w:val="auto"/>
                      <w:kern w:val="0"/>
                      <w:szCs w:val="21"/>
                    </w:rPr>
                  </w:pPr>
                </w:p>
              </w:tc>
            </w:tr>
            <w:tr w14:paraId="58F1F5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tblHeader/>
                <w:jc w:val="center"/>
              </w:trPr>
              <w:tc>
                <w:tcPr>
                  <w:tcW w:w="909" w:type="pct"/>
                  <w:tcMar>
                    <w:top w:w="0" w:type="dxa"/>
                    <w:left w:w="57" w:type="dxa"/>
                    <w:bottom w:w="0" w:type="dxa"/>
                    <w:right w:w="57" w:type="dxa"/>
                  </w:tcMar>
                  <w:vAlign w:val="center"/>
                </w:tcPr>
                <w:p w14:paraId="192D65B3">
                  <w:pPr>
                    <w:adjustRightInd w:val="0"/>
                    <w:snapToGrid w:val="0"/>
                    <w:jc w:val="center"/>
                    <w:rPr>
                      <w:bCs/>
                      <w:color w:val="auto"/>
                      <w:kern w:val="0"/>
                      <w:szCs w:val="21"/>
                    </w:rPr>
                  </w:pPr>
                  <w:r>
                    <w:rPr>
                      <w:bCs/>
                      <w:color w:val="auto"/>
                      <w:kern w:val="0"/>
                      <w:szCs w:val="21"/>
                    </w:rPr>
                    <w:t>施工期</w:t>
                  </w:r>
                </w:p>
              </w:tc>
              <w:tc>
                <w:tcPr>
                  <w:tcW w:w="837" w:type="pct"/>
                  <w:vAlign w:val="center"/>
                </w:tcPr>
                <w:p w14:paraId="2C8EEA3C">
                  <w:pPr>
                    <w:adjustRightInd w:val="0"/>
                    <w:snapToGrid w:val="0"/>
                    <w:jc w:val="center"/>
                    <w:rPr>
                      <w:bCs/>
                      <w:color w:val="auto"/>
                      <w:kern w:val="0"/>
                      <w:szCs w:val="21"/>
                    </w:rPr>
                  </w:pPr>
                  <w:r>
                    <w:rPr>
                      <w:bCs/>
                      <w:color w:val="auto"/>
                      <w:kern w:val="0"/>
                      <w:szCs w:val="21"/>
                    </w:rPr>
                    <w:t>/</w:t>
                  </w:r>
                </w:p>
              </w:tc>
              <w:tc>
                <w:tcPr>
                  <w:tcW w:w="818" w:type="pct"/>
                  <w:vAlign w:val="center"/>
                </w:tcPr>
                <w:p w14:paraId="5FC1BE76">
                  <w:pPr>
                    <w:adjustRightInd w:val="0"/>
                    <w:snapToGrid w:val="0"/>
                    <w:jc w:val="center"/>
                    <w:rPr>
                      <w:bCs/>
                      <w:color w:val="auto"/>
                      <w:kern w:val="0"/>
                      <w:szCs w:val="21"/>
                    </w:rPr>
                  </w:pPr>
                  <w:r>
                    <w:rPr>
                      <w:bCs/>
                      <w:color w:val="auto"/>
                      <w:kern w:val="0"/>
                      <w:szCs w:val="21"/>
                    </w:rPr>
                    <w:t>70</w:t>
                  </w:r>
                </w:p>
              </w:tc>
              <w:tc>
                <w:tcPr>
                  <w:tcW w:w="808" w:type="pct"/>
                  <w:vAlign w:val="center"/>
                </w:tcPr>
                <w:p w14:paraId="12A38BD6">
                  <w:pPr>
                    <w:adjustRightInd w:val="0"/>
                    <w:snapToGrid w:val="0"/>
                    <w:jc w:val="center"/>
                    <w:rPr>
                      <w:bCs/>
                      <w:color w:val="auto"/>
                      <w:kern w:val="0"/>
                      <w:szCs w:val="21"/>
                    </w:rPr>
                  </w:pPr>
                  <w:r>
                    <w:rPr>
                      <w:bCs/>
                      <w:color w:val="auto"/>
                      <w:kern w:val="0"/>
                      <w:szCs w:val="21"/>
                    </w:rPr>
                    <w:t>55</w:t>
                  </w:r>
                </w:p>
              </w:tc>
              <w:tc>
                <w:tcPr>
                  <w:tcW w:w="1626" w:type="pct"/>
                  <w:vAlign w:val="center"/>
                </w:tcPr>
                <w:p w14:paraId="30F7EC0D">
                  <w:pPr>
                    <w:adjustRightInd w:val="0"/>
                    <w:snapToGrid w:val="0"/>
                    <w:jc w:val="center"/>
                    <w:rPr>
                      <w:bCs/>
                      <w:color w:val="auto"/>
                      <w:kern w:val="0"/>
                      <w:szCs w:val="21"/>
                    </w:rPr>
                  </w:pPr>
                  <w:r>
                    <w:rPr>
                      <w:rFonts w:hint="eastAsia"/>
                      <w:bCs/>
                      <w:color w:val="auto"/>
                      <w:kern w:val="0"/>
                      <w:szCs w:val="21"/>
                      <w:lang w:val="en-US" w:eastAsia="zh-CN"/>
                    </w:rPr>
                    <w:t>场</w:t>
                  </w:r>
                  <w:r>
                    <w:rPr>
                      <w:rFonts w:hint="eastAsia"/>
                      <w:bCs/>
                      <w:color w:val="auto"/>
                      <w:kern w:val="0"/>
                      <w:szCs w:val="21"/>
                    </w:rPr>
                    <w:t>界四周</w:t>
                  </w:r>
                </w:p>
              </w:tc>
            </w:tr>
            <w:tr w14:paraId="60B52F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pct"/>
                  <w:tcMar>
                    <w:top w:w="0" w:type="dxa"/>
                    <w:left w:w="57" w:type="dxa"/>
                    <w:bottom w:w="0" w:type="dxa"/>
                    <w:right w:w="57" w:type="dxa"/>
                  </w:tcMar>
                  <w:vAlign w:val="center"/>
                </w:tcPr>
                <w:p w14:paraId="76923A23">
                  <w:pPr>
                    <w:adjustRightInd w:val="0"/>
                    <w:snapToGrid w:val="0"/>
                    <w:jc w:val="center"/>
                    <w:rPr>
                      <w:color w:val="auto"/>
                      <w:kern w:val="0"/>
                      <w:szCs w:val="21"/>
                    </w:rPr>
                  </w:pPr>
                  <w:r>
                    <w:rPr>
                      <w:color w:val="auto"/>
                      <w:kern w:val="0"/>
                      <w:szCs w:val="21"/>
                    </w:rPr>
                    <w:t>运营期</w:t>
                  </w:r>
                </w:p>
              </w:tc>
              <w:tc>
                <w:tcPr>
                  <w:tcW w:w="837" w:type="pct"/>
                  <w:vAlign w:val="center"/>
                </w:tcPr>
                <w:p w14:paraId="25E15824">
                  <w:pPr>
                    <w:adjustRightInd w:val="0"/>
                    <w:snapToGrid w:val="0"/>
                    <w:jc w:val="center"/>
                    <w:rPr>
                      <w:color w:val="auto"/>
                      <w:kern w:val="0"/>
                      <w:szCs w:val="21"/>
                    </w:rPr>
                  </w:pPr>
                  <w:r>
                    <w:rPr>
                      <w:rFonts w:hint="eastAsia"/>
                      <w:color w:val="auto"/>
                      <w:kern w:val="0"/>
                      <w:szCs w:val="21"/>
                    </w:rPr>
                    <w:t>2</w:t>
                  </w:r>
                  <w:r>
                    <w:rPr>
                      <w:color w:val="auto"/>
                      <w:kern w:val="0"/>
                      <w:szCs w:val="21"/>
                    </w:rPr>
                    <w:t>类</w:t>
                  </w:r>
                </w:p>
              </w:tc>
              <w:tc>
                <w:tcPr>
                  <w:tcW w:w="818" w:type="pct"/>
                  <w:vAlign w:val="center"/>
                </w:tcPr>
                <w:p w14:paraId="7CD636ED">
                  <w:pPr>
                    <w:adjustRightInd w:val="0"/>
                    <w:snapToGrid w:val="0"/>
                    <w:jc w:val="center"/>
                    <w:rPr>
                      <w:color w:val="auto"/>
                      <w:kern w:val="0"/>
                      <w:szCs w:val="21"/>
                    </w:rPr>
                  </w:pPr>
                  <w:r>
                    <w:rPr>
                      <w:color w:val="auto"/>
                      <w:kern w:val="0"/>
                      <w:szCs w:val="21"/>
                    </w:rPr>
                    <w:t>6</w:t>
                  </w:r>
                  <w:r>
                    <w:rPr>
                      <w:rFonts w:hint="eastAsia"/>
                      <w:color w:val="auto"/>
                      <w:kern w:val="0"/>
                      <w:szCs w:val="21"/>
                    </w:rPr>
                    <w:t>0</w:t>
                  </w:r>
                </w:p>
              </w:tc>
              <w:tc>
                <w:tcPr>
                  <w:tcW w:w="808" w:type="pct"/>
                  <w:vAlign w:val="center"/>
                </w:tcPr>
                <w:p w14:paraId="114AF369">
                  <w:pPr>
                    <w:adjustRightInd w:val="0"/>
                    <w:snapToGrid w:val="0"/>
                    <w:jc w:val="center"/>
                    <w:rPr>
                      <w:color w:val="auto"/>
                      <w:kern w:val="0"/>
                      <w:szCs w:val="21"/>
                    </w:rPr>
                  </w:pPr>
                  <w:r>
                    <w:rPr>
                      <w:color w:val="auto"/>
                      <w:kern w:val="0"/>
                      <w:szCs w:val="21"/>
                    </w:rPr>
                    <w:t>5</w:t>
                  </w:r>
                  <w:r>
                    <w:rPr>
                      <w:rFonts w:hint="eastAsia"/>
                      <w:color w:val="auto"/>
                      <w:kern w:val="0"/>
                      <w:szCs w:val="21"/>
                    </w:rPr>
                    <w:t>0</w:t>
                  </w:r>
                </w:p>
              </w:tc>
              <w:tc>
                <w:tcPr>
                  <w:tcW w:w="1626" w:type="pct"/>
                  <w:vAlign w:val="center"/>
                </w:tcPr>
                <w:p w14:paraId="3C282FA9">
                  <w:pPr>
                    <w:adjustRightInd w:val="0"/>
                    <w:snapToGrid w:val="0"/>
                    <w:jc w:val="center"/>
                    <w:rPr>
                      <w:color w:val="auto"/>
                      <w:kern w:val="0"/>
                      <w:szCs w:val="21"/>
                    </w:rPr>
                  </w:pPr>
                  <w:r>
                    <w:rPr>
                      <w:rFonts w:hint="eastAsia"/>
                      <w:bCs/>
                      <w:color w:val="auto"/>
                      <w:kern w:val="0"/>
                      <w:szCs w:val="21"/>
                      <w:lang w:val="en-US" w:eastAsia="zh-CN"/>
                    </w:rPr>
                    <w:t>场</w:t>
                  </w:r>
                  <w:r>
                    <w:rPr>
                      <w:rFonts w:hint="eastAsia"/>
                      <w:bCs/>
                      <w:color w:val="auto"/>
                      <w:kern w:val="0"/>
                      <w:szCs w:val="21"/>
                    </w:rPr>
                    <w:t>界四周</w:t>
                  </w:r>
                </w:p>
              </w:tc>
            </w:tr>
          </w:tbl>
          <w:p w14:paraId="7CCD9908">
            <w:pPr>
              <w:tabs>
                <w:tab w:val="left" w:pos="1680"/>
              </w:tabs>
              <w:adjustRightInd w:val="0"/>
              <w:snapToGrid w:val="0"/>
              <w:spacing w:line="360" w:lineRule="auto"/>
              <w:ind w:firstLine="480" w:firstLineChars="200"/>
              <w:jc w:val="both"/>
              <w:rPr>
                <w:color w:val="auto"/>
                <w:kern w:val="0"/>
                <w:szCs w:val="21"/>
              </w:rPr>
            </w:pPr>
            <w:r>
              <w:rPr>
                <w:color w:val="auto"/>
                <w:sz w:val="24"/>
              </w:rPr>
              <w:t>4、固废：</w:t>
            </w:r>
            <w:r>
              <w:rPr>
                <w:rFonts w:hint="eastAsia"/>
                <w:color w:val="auto"/>
                <w:sz w:val="24"/>
              </w:rPr>
              <w:t>一般固废执行</w:t>
            </w:r>
            <w:r>
              <w:rPr>
                <w:color w:val="auto"/>
                <w:sz w:val="24"/>
              </w:rPr>
              <w:t>《一般工业固体废物贮存和填埋污染控制标准》（GB18599-2020）、危险废物执行《危险废物贮存污染控制标准》（GB18597-2023）中相关规定。</w:t>
            </w:r>
          </w:p>
        </w:tc>
      </w:tr>
      <w:tr w14:paraId="356E93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30" w:hRule="atLeast"/>
          <w:jc w:val="center"/>
        </w:trPr>
        <w:tc>
          <w:tcPr>
            <w:tcW w:w="800" w:type="dxa"/>
            <w:vAlign w:val="center"/>
          </w:tcPr>
          <w:p w14:paraId="5BC8ED5E">
            <w:pPr>
              <w:adjustRightInd w:val="0"/>
              <w:snapToGrid w:val="0"/>
              <w:jc w:val="center"/>
              <w:rPr>
                <w:rFonts w:ascii="宋体" w:hAnsi="宋体" w:cs="宋体"/>
                <w:color w:val="auto"/>
                <w:kern w:val="0"/>
                <w:szCs w:val="21"/>
              </w:rPr>
            </w:pPr>
            <w:r>
              <w:rPr>
                <w:rFonts w:hint="eastAsia" w:ascii="宋体" w:hAnsi="宋体" w:cs="宋体"/>
                <w:color w:val="auto"/>
                <w:kern w:val="0"/>
                <w:szCs w:val="21"/>
              </w:rPr>
              <w:t>总量</w:t>
            </w:r>
          </w:p>
          <w:p w14:paraId="6FC51E24">
            <w:pPr>
              <w:adjustRightInd w:val="0"/>
              <w:snapToGrid w:val="0"/>
              <w:jc w:val="center"/>
              <w:rPr>
                <w:rFonts w:ascii="宋体" w:hAnsi="宋体" w:cs="宋体"/>
                <w:color w:val="auto"/>
                <w:kern w:val="0"/>
                <w:szCs w:val="21"/>
              </w:rPr>
            </w:pPr>
            <w:r>
              <w:rPr>
                <w:rFonts w:hint="eastAsia" w:ascii="宋体" w:hAnsi="宋体" w:cs="宋体"/>
                <w:color w:val="auto"/>
                <w:kern w:val="0"/>
                <w:szCs w:val="21"/>
              </w:rPr>
              <w:t>控制</w:t>
            </w:r>
          </w:p>
          <w:p w14:paraId="2FBE94C7">
            <w:pPr>
              <w:adjustRightInd w:val="0"/>
              <w:snapToGrid w:val="0"/>
              <w:jc w:val="center"/>
              <w:rPr>
                <w:rFonts w:ascii="宋体" w:hAnsi="宋体" w:cs="宋体"/>
                <w:color w:val="auto"/>
                <w:kern w:val="0"/>
                <w:szCs w:val="21"/>
              </w:rPr>
            </w:pPr>
            <w:r>
              <w:rPr>
                <w:rFonts w:hint="eastAsia" w:ascii="宋体" w:hAnsi="宋体" w:cs="宋体"/>
                <w:color w:val="auto"/>
                <w:kern w:val="0"/>
                <w:szCs w:val="21"/>
              </w:rPr>
              <w:t>指标</w:t>
            </w:r>
          </w:p>
        </w:tc>
        <w:tc>
          <w:tcPr>
            <w:tcW w:w="8190" w:type="dxa"/>
            <w:vAlign w:val="center"/>
          </w:tcPr>
          <w:p w14:paraId="0C731539">
            <w:pPr>
              <w:spacing w:line="360" w:lineRule="auto"/>
              <w:ind w:firstLine="480" w:firstLineChars="200"/>
              <w:rPr>
                <w:color w:val="auto"/>
                <w:sz w:val="24"/>
              </w:rPr>
            </w:pPr>
          </w:p>
          <w:p w14:paraId="73E76E65">
            <w:pPr>
              <w:spacing w:line="360" w:lineRule="auto"/>
              <w:ind w:firstLine="480" w:firstLineChars="200"/>
              <w:rPr>
                <w:color w:val="auto"/>
                <w:kern w:val="0"/>
                <w:sz w:val="24"/>
              </w:rPr>
            </w:pPr>
            <w:r>
              <w:rPr>
                <w:rFonts w:hint="eastAsia"/>
                <w:color w:val="auto"/>
                <w:sz w:val="24"/>
              </w:rPr>
              <w:t>本项目</w:t>
            </w:r>
            <w:r>
              <w:rPr>
                <w:color w:val="auto"/>
                <w:sz w:val="24"/>
              </w:rPr>
              <w:t>污染物控制指标为VOCs</w:t>
            </w:r>
            <w:r>
              <w:rPr>
                <w:rFonts w:hint="eastAsia"/>
                <w:color w:val="auto"/>
                <w:sz w:val="24"/>
              </w:rPr>
              <w:t>（非甲烷总烃）：</w:t>
            </w:r>
            <w:r>
              <w:rPr>
                <w:rFonts w:hint="eastAsia"/>
                <w:color w:val="auto"/>
                <w:sz w:val="24"/>
                <w:lang w:val="en-US" w:eastAsia="zh-CN"/>
              </w:rPr>
              <w:t>0.0000686</w:t>
            </w:r>
            <w:r>
              <w:rPr>
                <w:color w:val="auto"/>
                <w:sz w:val="24"/>
              </w:rPr>
              <w:t>t/a</w:t>
            </w:r>
            <w:r>
              <w:rPr>
                <w:rFonts w:hint="eastAsia"/>
                <w:color w:val="auto"/>
                <w:sz w:val="24"/>
              </w:rPr>
              <w:t>，</w:t>
            </w:r>
            <w:r>
              <w:rPr>
                <w:color w:val="auto"/>
                <w:sz w:val="24"/>
              </w:rPr>
              <w:t>NH</w:t>
            </w:r>
            <w:r>
              <w:rPr>
                <w:color w:val="auto"/>
                <w:sz w:val="24"/>
                <w:vertAlign w:val="subscript"/>
              </w:rPr>
              <w:t>3</w:t>
            </w:r>
            <w:r>
              <w:rPr>
                <w:color w:val="auto"/>
                <w:sz w:val="24"/>
              </w:rPr>
              <w:t>-N</w:t>
            </w:r>
            <w:r>
              <w:rPr>
                <w:rFonts w:hint="eastAsia"/>
                <w:color w:val="auto"/>
                <w:sz w:val="24"/>
              </w:rPr>
              <w:t>：0.0</w:t>
            </w:r>
            <w:r>
              <w:rPr>
                <w:rFonts w:hint="eastAsia"/>
                <w:color w:val="auto"/>
                <w:sz w:val="24"/>
                <w:lang w:val="en-US" w:eastAsia="zh-CN"/>
              </w:rPr>
              <w:t>24</w:t>
            </w:r>
            <w:r>
              <w:rPr>
                <w:color w:val="auto"/>
                <w:sz w:val="24"/>
              </w:rPr>
              <w:t>t/a</w:t>
            </w:r>
            <w:r>
              <w:rPr>
                <w:rFonts w:hint="eastAsia"/>
                <w:color w:val="auto"/>
                <w:sz w:val="24"/>
              </w:rPr>
              <w:t>，</w:t>
            </w:r>
            <w:r>
              <w:rPr>
                <w:color w:val="auto"/>
                <w:sz w:val="24"/>
              </w:rPr>
              <w:t>COD</w:t>
            </w:r>
            <w:r>
              <w:rPr>
                <w:rFonts w:hint="eastAsia"/>
                <w:color w:val="auto"/>
                <w:sz w:val="24"/>
              </w:rPr>
              <w:t>：0.</w:t>
            </w:r>
            <w:r>
              <w:rPr>
                <w:rFonts w:hint="eastAsia"/>
                <w:color w:val="auto"/>
                <w:sz w:val="24"/>
                <w:lang w:val="en-US" w:eastAsia="zh-CN"/>
              </w:rPr>
              <w:t>191</w:t>
            </w:r>
            <w:r>
              <w:rPr>
                <w:color w:val="auto"/>
                <w:sz w:val="24"/>
              </w:rPr>
              <w:t>t/a</w:t>
            </w:r>
            <w:r>
              <w:rPr>
                <w:rFonts w:hint="eastAsia"/>
                <w:color w:val="auto"/>
                <w:sz w:val="24"/>
              </w:rPr>
              <w:t>。</w:t>
            </w:r>
            <w:r>
              <w:rPr>
                <w:color w:val="auto"/>
                <w:sz w:val="24"/>
                <w:szCs w:val="32"/>
              </w:rPr>
              <w:t>项目具体总量指标以当地环保部门批准的指标为准。</w:t>
            </w:r>
          </w:p>
          <w:p w14:paraId="0BBFA318">
            <w:pPr>
              <w:pStyle w:val="37"/>
              <w:rPr>
                <w:rFonts w:ascii="Times New Roman" w:cs="Times New Roman"/>
                <w:color w:val="auto"/>
                <w:kern w:val="0"/>
                <w:szCs w:val="20"/>
              </w:rPr>
            </w:pPr>
          </w:p>
        </w:tc>
      </w:tr>
    </w:tbl>
    <w:p w14:paraId="2272BAB1">
      <w:pPr>
        <w:pStyle w:val="25"/>
        <w:jc w:val="center"/>
        <w:rPr>
          <w:rFonts w:ascii="黑体" w:hAnsi="黑体" w:eastAsia="黑体"/>
          <w:snapToGrid w:val="0"/>
          <w:color w:val="000000" w:themeColor="text1"/>
          <w:sz w:val="36"/>
          <w:szCs w:val="36"/>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16BEC6C1">
      <w:pPr>
        <w:pStyle w:val="25"/>
        <w:jc w:val="center"/>
        <w:outlineLvl w:val="0"/>
        <w:rPr>
          <w:rFonts w:ascii="黑体" w:hAnsi="黑体" w:eastAsia="黑体"/>
          <w:snapToGrid w:val="0"/>
          <w:color w:val="000000" w:themeColor="text1"/>
          <w:sz w:val="30"/>
          <w:szCs w:val="30"/>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t>四、主要环境影响和保护措施</w:t>
      </w:r>
    </w:p>
    <w:tbl>
      <w:tblPr>
        <w:tblStyle w:val="28"/>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8239"/>
      </w:tblGrid>
      <w:tr w14:paraId="536937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11" w:hRule="atLeast"/>
          <w:jc w:val="center"/>
        </w:trPr>
        <w:tc>
          <w:tcPr>
            <w:tcW w:w="742" w:type="dxa"/>
            <w:tcMar>
              <w:left w:w="28" w:type="dxa"/>
              <w:right w:w="28" w:type="dxa"/>
            </w:tcMar>
            <w:vAlign w:val="center"/>
          </w:tcPr>
          <w:p w14:paraId="6F80EAB8">
            <w:pPr>
              <w:pStyle w:val="25"/>
              <w:adjustRightInd w:val="0"/>
              <w:snapToGrid w:val="0"/>
              <w:spacing w:before="0" w:beforeAutospacing="0" w:after="0" w:afterAutospacing="0"/>
              <w:jc w:val="center"/>
              <w:rPr>
                <w:rFonts w:cs="宋体"/>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施工</w:t>
            </w:r>
          </w:p>
          <w:p w14:paraId="670C4F3B">
            <w:pPr>
              <w:pStyle w:val="25"/>
              <w:adjustRightInd w:val="0"/>
              <w:snapToGrid w:val="0"/>
              <w:spacing w:before="0" w:beforeAutospacing="0" w:after="0" w:afterAutospacing="0"/>
              <w:jc w:val="center"/>
              <w:rPr>
                <w:rFonts w:cs="宋体"/>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期环</w:t>
            </w:r>
          </w:p>
          <w:p w14:paraId="22985D86">
            <w:pPr>
              <w:pStyle w:val="25"/>
              <w:adjustRightInd w:val="0"/>
              <w:snapToGrid w:val="0"/>
              <w:spacing w:before="0" w:beforeAutospacing="0" w:after="0" w:afterAutospacing="0"/>
              <w:jc w:val="center"/>
              <w:rPr>
                <w:rFonts w:cs="宋体"/>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境保</w:t>
            </w:r>
          </w:p>
          <w:p w14:paraId="15957FD7">
            <w:pPr>
              <w:pStyle w:val="25"/>
              <w:adjustRightInd w:val="0"/>
              <w:snapToGrid w:val="0"/>
              <w:spacing w:before="0" w:beforeAutospacing="0" w:after="0" w:afterAutospacing="0"/>
              <w:jc w:val="center"/>
              <w:rPr>
                <w:rFonts w:cs="宋体"/>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护措</w:t>
            </w:r>
          </w:p>
          <w:p w14:paraId="48D133B2">
            <w:pPr>
              <w:pStyle w:val="25"/>
              <w:adjustRightInd w:val="0"/>
              <w:snapToGrid w:val="0"/>
              <w:spacing w:before="0" w:beforeAutospacing="0" w:after="0" w:afterAutospacing="0"/>
              <w:jc w:val="center"/>
              <w:rPr>
                <w:rFonts w:cs="宋体"/>
                <w:bCs/>
                <w:color w:val="000000" w:themeColor="text1"/>
                <w:kern w:val="2"/>
                <w:sz w:val="21"/>
                <w:szCs w:val="21"/>
                <w14:textFill>
                  <w14:solidFill>
                    <w14:schemeClr w14:val="tx1"/>
                  </w14:solidFill>
                </w14:textFill>
              </w:rPr>
            </w:pPr>
            <w:r>
              <w:rPr>
                <w:rFonts w:hint="eastAsia" w:cs="宋体"/>
                <w:color w:val="000000" w:themeColor="text1"/>
                <w:kern w:val="2"/>
                <w:sz w:val="21"/>
                <w:szCs w:val="21"/>
                <w14:textFill>
                  <w14:solidFill>
                    <w14:schemeClr w14:val="tx1"/>
                  </w14:solidFill>
                </w14:textFill>
              </w:rPr>
              <w:t>施</w:t>
            </w:r>
          </w:p>
        </w:tc>
        <w:tc>
          <w:tcPr>
            <w:tcW w:w="8239" w:type="dxa"/>
            <w:vAlign w:val="center"/>
          </w:tcPr>
          <w:p w14:paraId="50866ED0">
            <w:pPr>
              <w:pStyle w:val="10"/>
              <w:adjustRightInd w:val="0"/>
              <w:snapToGrid w:val="0"/>
              <w:spacing w:after="0" w:line="360" w:lineRule="auto"/>
              <w:ind w:left="0" w:leftChars="0" w:firstLine="480" w:firstLineChars="200"/>
              <w:jc w:val="left"/>
              <w:rPr>
                <w:bCs/>
                <w:szCs w:val="24"/>
              </w:rPr>
            </w:pPr>
            <w:r>
              <w:rPr>
                <w:bCs/>
                <w:color w:val="000000" w:themeColor="text1"/>
                <w:szCs w:val="24"/>
                <w14:textFill>
                  <w14:solidFill>
                    <w14:schemeClr w14:val="tx1"/>
                  </w14:solidFill>
                </w14:textFill>
              </w:rPr>
              <w:t>本项目为</w:t>
            </w:r>
            <w:r>
              <w:rPr>
                <w:rFonts w:hint="eastAsia"/>
                <w:bCs/>
                <w:color w:val="000000" w:themeColor="text1"/>
                <w:szCs w:val="24"/>
                <w:lang w:val="en-US" w:eastAsia="zh-CN"/>
                <w14:textFill>
                  <w14:solidFill>
                    <w14:schemeClr w14:val="tx1"/>
                  </w14:solidFill>
                </w14:textFill>
              </w:rPr>
              <w:t>新建</w:t>
            </w:r>
            <w:r>
              <w:rPr>
                <w:bCs/>
                <w:color w:val="000000" w:themeColor="text1"/>
                <w:szCs w:val="24"/>
                <w14:textFill>
                  <w14:solidFill>
                    <w14:schemeClr w14:val="tx1"/>
                  </w14:solidFill>
                </w14:textFill>
              </w:rPr>
              <w:t>项目，利用</w:t>
            </w:r>
            <w:r>
              <w:rPr>
                <w:rFonts w:hint="eastAsia"/>
                <w:bCs/>
                <w:color w:val="000000" w:themeColor="text1"/>
                <w:szCs w:val="24"/>
                <w:lang w:val="en-US" w:eastAsia="zh-CN"/>
                <w14:textFill>
                  <w14:solidFill>
                    <w14:schemeClr w14:val="tx1"/>
                  </w14:solidFill>
                </w14:textFill>
              </w:rPr>
              <w:t>租用的已建成场地</w:t>
            </w:r>
            <w:r>
              <w:rPr>
                <w:bCs/>
                <w:szCs w:val="24"/>
              </w:rPr>
              <w:t>，进行</w:t>
            </w:r>
            <w:r>
              <w:rPr>
                <w:rFonts w:hint="eastAsia"/>
                <w:bCs/>
                <w:szCs w:val="24"/>
                <w:lang w:val="en-US" w:eastAsia="zh-CN"/>
              </w:rPr>
              <w:t>室内装修、</w:t>
            </w:r>
            <w:r>
              <w:rPr>
                <w:rFonts w:hint="eastAsia"/>
                <w:szCs w:val="24"/>
                <w:lang w:val="en-US" w:eastAsia="zh-CN"/>
              </w:rPr>
              <w:t>实验</w:t>
            </w:r>
            <w:r>
              <w:rPr>
                <w:szCs w:val="24"/>
              </w:rPr>
              <w:t>设备的安装、调试等作业</w:t>
            </w:r>
            <w:r>
              <w:rPr>
                <w:bCs/>
                <w:szCs w:val="24"/>
              </w:rPr>
              <w:t>。</w:t>
            </w:r>
          </w:p>
          <w:p w14:paraId="7F0345BD">
            <w:pPr>
              <w:pStyle w:val="60"/>
              <w:adjustRightInd w:val="0"/>
              <w:snapToGrid w:val="0"/>
              <w:spacing w:line="360" w:lineRule="auto"/>
              <w:ind w:firstLine="498"/>
              <w:rPr>
                <w:rFonts w:hAnsi="Times New Roman" w:cs="Times New Roman"/>
                <w:b/>
                <w:spacing w:val="4"/>
                <w:szCs w:val="24"/>
              </w:rPr>
            </w:pPr>
            <w:r>
              <w:rPr>
                <w:rFonts w:hAnsi="Times New Roman" w:cs="Times New Roman"/>
                <w:b/>
                <w:spacing w:val="4"/>
                <w:szCs w:val="24"/>
              </w:rPr>
              <w:t>1、</w:t>
            </w:r>
            <w:r>
              <w:rPr>
                <w:rFonts w:hAnsi="Times New Roman" w:cs="Times New Roman"/>
                <w:b/>
                <w:bCs/>
                <w:szCs w:val="24"/>
              </w:rPr>
              <w:t>施工期大气污染保护措施</w:t>
            </w:r>
          </w:p>
          <w:p w14:paraId="3064F5CF">
            <w:pPr>
              <w:adjustRightInd w:val="0"/>
              <w:snapToGrid w:val="0"/>
              <w:spacing w:line="360" w:lineRule="auto"/>
              <w:ind w:firstLine="480" w:firstLineChars="200"/>
              <w:jc w:val="left"/>
              <w:rPr>
                <w:sz w:val="24"/>
              </w:rPr>
            </w:pPr>
            <w:r>
              <w:rPr>
                <w:sz w:val="24"/>
              </w:rPr>
              <w:t>施工过程中产生的废气主要为</w:t>
            </w:r>
            <w:r>
              <w:rPr>
                <w:rFonts w:hint="eastAsia"/>
                <w:sz w:val="24"/>
              </w:rPr>
              <w:t>施工机械、车辆废气</w:t>
            </w:r>
            <w:r>
              <w:rPr>
                <w:rFonts w:hint="eastAsia"/>
                <w:sz w:val="24"/>
                <w:lang w:val="en-US" w:eastAsia="zh-CN"/>
              </w:rPr>
              <w:t>和装修废气</w:t>
            </w:r>
            <w:r>
              <w:rPr>
                <w:sz w:val="24"/>
              </w:rPr>
              <w:t>。</w:t>
            </w:r>
          </w:p>
          <w:p w14:paraId="63A5A09D">
            <w:pPr>
              <w:adjustRightInd w:val="0"/>
              <w:spacing w:line="360" w:lineRule="auto"/>
              <w:ind w:firstLine="480" w:firstLineChars="200"/>
              <w:rPr>
                <w:sz w:val="24"/>
              </w:rPr>
            </w:pPr>
            <w:r>
              <w:rPr>
                <w:rFonts w:hint="eastAsia"/>
                <w:sz w:val="24"/>
              </w:rPr>
              <w:t>（1）施工机械、车辆废气</w:t>
            </w:r>
          </w:p>
          <w:p w14:paraId="4B3DE5DC">
            <w:pPr>
              <w:adjustRightInd w:val="0"/>
              <w:spacing w:line="360" w:lineRule="auto"/>
              <w:ind w:firstLine="480" w:firstLineChars="200"/>
              <w:rPr>
                <w:sz w:val="24"/>
              </w:rPr>
            </w:pPr>
            <w:r>
              <w:rPr>
                <w:rFonts w:hint="eastAsia"/>
                <w:sz w:val="24"/>
              </w:rPr>
              <w:t>由于施工机械及车辆产生的废气主要污染物为</w:t>
            </w:r>
            <w:r>
              <w:rPr>
                <w:sz w:val="24"/>
              </w:rPr>
              <w:t xml:space="preserve"> NOx</w:t>
            </w:r>
            <w:r>
              <w:rPr>
                <w:rFonts w:hint="eastAsia"/>
                <w:sz w:val="24"/>
              </w:rPr>
              <w:t>、</w:t>
            </w:r>
            <w:r>
              <w:rPr>
                <w:sz w:val="24"/>
              </w:rPr>
              <w:t>CO</w:t>
            </w:r>
            <w:r>
              <w:rPr>
                <w:rFonts w:hint="eastAsia"/>
                <w:sz w:val="24"/>
              </w:rPr>
              <w:t>及</w:t>
            </w:r>
            <w:r>
              <w:rPr>
                <w:sz w:val="24"/>
              </w:rPr>
              <w:t>THC</w:t>
            </w:r>
            <w:r>
              <w:rPr>
                <w:rFonts w:hint="eastAsia"/>
                <w:sz w:val="24"/>
              </w:rPr>
              <w:t>等，间断排放，在加强施工车辆运行管理与维护保养情况下，可减少尾气排放对环境的污染。建设单位应加强施工车辆管理，减少废气排放。</w:t>
            </w:r>
          </w:p>
          <w:p w14:paraId="1E067664">
            <w:pPr>
              <w:adjustRightInd w:val="0"/>
              <w:spacing w:line="360" w:lineRule="auto"/>
              <w:ind w:firstLine="480" w:firstLineChars="200"/>
              <w:rPr>
                <w:sz w:val="24"/>
              </w:rPr>
            </w:pPr>
            <w:r>
              <w:rPr>
                <w:rFonts w:hint="eastAsia"/>
                <w:sz w:val="24"/>
              </w:rPr>
              <w:t>（2）装修废气</w:t>
            </w:r>
          </w:p>
          <w:p w14:paraId="31C27782">
            <w:pPr>
              <w:adjustRightInd w:val="0"/>
              <w:spacing w:line="360" w:lineRule="auto"/>
              <w:ind w:firstLine="480" w:firstLineChars="200"/>
              <w:rPr>
                <w:sz w:val="24"/>
              </w:rPr>
            </w:pPr>
            <w:r>
              <w:rPr>
                <w:rFonts w:hint="eastAsia"/>
                <w:sz w:val="24"/>
              </w:rPr>
              <w:t>装修废气因采用的材料种类不同而异，其中，如甲醛、氨等废气将在运营期仍在缓慢释放，由于装修时的油漆耗量、油漆品牌等无法确定，该部分废气较难定量预测分析，本评价着重提出原则性的要求及措施：</w:t>
            </w:r>
          </w:p>
          <w:p w14:paraId="55D57075">
            <w:pPr>
              <w:adjustRightInd w:val="0"/>
              <w:spacing w:line="360" w:lineRule="auto"/>
              <w:ind w:firstLine="480" w:firstLineChars="200"/>
              <w:rPr>
                <w:sz w:val="24"/>
              </w:rPr>
            </w:pPr>
            <w:r>
              <w:rPr>
                <w:rFonts w:hint="eastAsia" w:ascii="宋体" w:hAnsi="宋体"/>
                <w:sz w:val="24"/>
              </w:rPr>
              <w:t>①</w:t>
            </w:r>
            <w:r>
              <w:rPr>
                <w:rFonts w:hint="eastAsia"/>
                <w:sz w:val="24"/>
              </w:rPr>
              <w:t>采用优质的建筑材料，达到相应国家标准；</w:t>
            </w:r>
          </w:p>
          <w:p w14:paraId="076E041B">
            <w:pPr>
              <w:adjustRightInd w:val="0"/>
              <w:spacing w:line="360" w:lineRule="auto"/>
              <w:ind w:firstLine="480" w:firstLineChars="200"/>
              <w:rPr>
                <w:sz w:val="24"/>
              </w:rPr>
            </w:pPr>
            <w:r>
              <w:rPr>
                <w:rFonts w:hint="eastAsia" w:ascii="宋体" w:hAnsi="宋体"/>
                <w:sz w:val="24"/>
              </w:rPr>
              <w:t>②</w:t>
            </w:r>
            <w:r>
              <w:rPr>
                <w:rFonts w:hint="eastAsia"/>
                <w:sz w:val="24"/>
              </w:rPr>
              <w:t>装修中应采用符合国家标准的室内装饰和装修材料，建议采用符合环保要求的环保漆，以减少环境污染；</w:t>
            </w:r>
          </w:p>
          <w:p w14:paraId="09C0F48F">
            <w:pPr>
              <w:adjustRightInd w:val="0"/>
              <w:spacing w:line="360" w:lineRule="auto"/>
              <w:ind w:firstLine="480" w:firstLineChars="200"/>
              <w:rPr>
                <w:sz w:val="24"/>
              </w:rPr>
            </w:pPr>
            <w:r>
              <w:rPr>
                <w:rFonts w:hint="eastAsia" w:ascii="宋体" w:hAnsi="宋体"/>
                <w:sz w:val="24"/>
              </w:rPr>
              <w:t>③</w:t>
            </w:r>
            <w:r>
              <w:rPr>
                <w:rFonts w:hint="eastAsia"/>
                <w:sz w:val="24"/>
              </w:rPr>
              <w:t>装修后的房间不宜立即投入使用，通常要通风换气</w:t>
            </w:r>
            <w:r>
              <w:rPr>
                <w:sz w:val="24"/>
              </w:rPr>
              <w:t>30</w:t>
            </w:r>
            <w:r>
              <w:rPr>
                <w:rFonts w:hint="eastAsia"/>
                <w:sz w:val="24"/>
              </w:rPr>
              <w:t>天左右；</w:t>
            </w:r>
          </w:p>
          <w:p w14:paraId="1DECB3CE">
            <w:pPr>
              <w:adjustRightInd w:val="0"/>
              <w:spacing w:line="360" w:lineRule="auto"/>
              <w:ind w:firstLine="480" w:firstLineChars="200"/>
              <w:rPr>
                <w:sz w:val="24"/>
              </w:rPr>
            </w:pPr>
            <w:r>
              <w:rPr>
                <w:rFonts w:hint="eastAsia" w:ascii="宋体" w:hAnsi="宋体"/>
                <w:sz w:val="24"/>
              </w:rPr>
              <w:t>④</w:t>
            </w:r>
            <w:r>
              <w:rPr>
                <w:rFonts w:hint="eastAsia"/>
                <w:sz w:val="24"/>
              </w:rPr>
              <w:t>保持室内的空气流通或选用室内空气净化器清除室内的有害气体；</w:t>
            </w:r>
          </w:p>
          <w:p w14:paraId="2A3DA3C5">
            <w:pPr>
              <w:adjustRightInd w:val="0"/>
              <w:spacing w:line="360" w:lineRule="auto"/>
              <w:ind w:firstLine="480" w:firstLineChars="200"/>
              <w:rPr>
                <w:sz w:val="24"/>
              </w:rPr>
            </w:pPr>
            <w:r>
              <w:rPr>
                <w:rFonts w:hint="eastAsia" w:ascii="宋体" w:hAnsi="宋体"/>
                <w:sz w:val="24"/>
              </w:rPr>
              <w:t>⑤</w:t>
            </w:r>
            <w:r>
              <w:rPr>
                <w:rFonts w:hint="eastAsia"/>
                <w:sz w:val="24"/>
              </w:rPr>
              <w:t>在室内有选择的进行养花植草，既可美化室内环境，又可降低室内有害气体的浓度。</w:t>
            </w:r>
          </w:p>
          <w:p w14:paraId="73C81D09">
            <w:pPr>
              <w:adjustRightInd w:val="0"/>
              <w:snapToGrid w:val="0"/>
              <w:spacing w:line="360" w:lineRule="auto"/>
              <w:ind w:firstLine="480" w:firstLineChars="200"/>
              <w:rPr>
                <w:bCs/>
                <w:sz w:val="24"/>
              </w:rPr>
            </w:pPr>
            <w:r>
              <w:rPr>
                <w:rFonts w:hint="eastAsia"/>
                <w:sz w:val="24"/>
              </w:rPr>
              <w:t>综上所述，项目施工期间对大气环境的影响较小。</w:t>
            </w:r>
          </w:p>
          <w:p w14:paraId="14EDA322">
            <w:pPr>
              <w:pStyle w:val="60"/>
              <w:adjustRightInd w:val="0"/>
              <w:snapToGrid w:val="0"/>
              <w:spacing w:line="360" w:lineRule="auto"/>
              <w:ind w:firstLine="498"/>
              <w:rPr>
                <w:rFonts w:hAnsi="Times New Roman" w:cs="Times New Roman"/>
                <w:b/>
                <w:spacing w:val="4"/>
                <w:szCs w:val="24"/>
              </w:rPr>
            </w:pPr>
            <w:r>
              <w:rPr>
                <w:rFonts w:hAnsi="Times New Roman" w:cs="Times New Roman"/>
                <w:b/>
                <w:spacing w:val="4"/>
                <w:szCs w:val="24"/>
              </w:rPr>
              <w:t>2、</w:t>
            </w:r>
            <w:r>
              <w:rPr>
                <w:rFonts w:hAnsi="Times New Roman" w:cs="Times New Roman"/>
                <w:b/>
                <w:bCs/>
                <w:szCs w:val="24"/>
              </w:rPr>
              <w:t>施工期声环境污染保护措施</w:t>
            </w:r>
          </w:p>
          <w:p w14:paraId="516F0622">
            <w:pPr>
              <w:pStyle w:val="61"/>
              <w:adjustRightInd w:val="0"/>
              <w:snapToGrid w:val="0"/>
              <w:rPr>
                <w:bCs/>
                <w:color w:val="000000" w:themeColor="text1"/>
                <w14:textFill>
                  <w14:solidFill>
                    <w14:schemeClr w14:val="tx1"/>
                  </w14:solidFill>
                </w14:textFill>
              </w:rPr>
            </w:pPr>
            <w:r>
              <w:rPr>
                <w:rFonts w:hint="eastAsia"/>
              </w:rPr>
              <w:t>施工期</w:t>
            </w:r>
            <w:r>
              <w:t>噪声主要为</w:t>
            </w:r>
            <w:r>
              <w:rPr>
                <w:rFonts w:hint="eastAsia"/>
                <w:color w:val="000000" w:themeColor="text1"/>
                <w:sz w:val="24"/>
                <w:lang w:val="en-US" w:eastAsia="zh-CN"/>
                <w14:textFill>
                  <w14:solidFill>
                    <w14:schemeClr w14:val="tx1"/>
                  </w14:solidFill>
                </w14:textFill>
              </w:rPr>
              <w:t>装修、设备安装、调试过程中产生的噪声</w:t>
            </w:r>
            <w:r>
              <w:t>。通过严格控制高噪声设备的作业时间、禁止夜间进行施工作业、尽量采取低噪声机械进行作业、加强环境管理</w:t>
            </w:r>
            <w:r>
              <w:rPr>
                <w:bCs/>
                <w:color w:val="000000" w:themeColor="text1"/>
                <w14:textFill>
                  <w14:solidFill>
                    <w14:schemeClr w14:val="tx1"/>
                  </w14:solidFill>
                </w14:textFill>
              </w:rPr>
              <w:t>。</w:t>
            </w:r>
          </w:p>
          <w:p w14:paraId="7C2C9A03">
            <w:pPr>
              <w:pStyle w:val="60"/>
              <w:adjustRightInd w:val="0"/>
              <w:snapToGrid w:val="0"/>
              <w:spacing w:line="360" w:lineRule="auto"/>
              <w:ind w:firstLine="498"/>
              <w:rPr>
                <w:rFonts w:hAnsi="Times New Roman" w:cs="Times New Roman"/>
                <w:b/>
                <w:color w:val="000000" w:themeColor="text1"/>
                <w:spacing w:val="4"/>
                <w:szCs w:val="24"/>
                <w14:textFill>
                  <w14:solidFill>
                    <w14:schemeClr w14:val="tx1"/>
                  </w14:solidFill>
                </w14:textFill>
              </w:rPr>
            </w:pPr>
            <w:r>
              <w:rPr>
                <w:rFonts w:hAnsi="Times New Roman" w:cs="Times New Roman"/>
                <w:b/>
                <w:color w:val="000000" w:themeColor="text1"/>
                <w:spacing w:val="4"/>
                <w:szCs w:val="24"/>
                <w14:textFill>
                  <w14:solidFill>
                    <w14:schemeClr w14:val="tx1"/>
                  </w14:solidFill>
                </w14:textFill>
              </w:rPr>
              <w:t>3、</w:t>
            </w:r>
            <w:r>
              <w:rPr>
                <w:rFonts w:hAnsi="Times New Roman" w:cs="Times New Roman"/>
                <w:b/>
                <w:bCs/>
                <w:color w:val="000000" w:themeColor="text1"/>
                <w:szCs w:val="24"/>
                <w14:textFill>
                  <w14:solidFill>
                    <w14:schemeClr w14:val="tx1"/>
                  </w14:solidFill>
                </w14:textFill>
              </w:rPr>
              <w:t>施工期水污染保护措施</w:t>
            </w:r>
          </w:p>
          <w:p w14:paraId="7FBD296F">
            <w:pPr>
              <w:adjustRightInd w:val="0"/>
              <w:snapToGrid w:val="0"/>
              <w:spacing w:line="360" w:lineRule="auto"/>
              <w:ind w:firstLine="480" w:firstLineChars="200"/>
              <w:rPr>
                <w:rFonts w:hAnsi="Times New Roman" w:cs="Times New Roman"/>
                <w:color w:val="000000" w:themeColor="text1"/>
                <w:spacing w:val="-4"/>
                <w:sz w:val="24"/>
                <w:szCs w:val="32"/>
                <w14:textFill>
                  <w14:solidFill>
                    <w14:schemeClr w14:val="tx1"/>
                  </w14:solidFill>
                </w14:textFill>
              </w:rPr>
            </w:pPr>
            <w:r>
              <w:rPr>
                <w:color w:val="000000" w:themeColor="text1"/>
                <w:sz w:val="24"/>
                <w14:textFill>
                  <w14:solidFill>
                    <w14:schemeClr w14:val="tx1"/>
                  </w14:solidFill>
                </w14:textFill>
              </w:rPr>
              <w:t>施工过程中产生的废水主要为施工人员排放的生活污水。</w:t>
            </w:r>
            <w:r>
              <w:rPr>
                <w:rFonts w:hAnsi="Times New Roman" w:cs="Times New Roman"/>
                <w:color w:val="000000" w:themeColor="text1"/>
                <w:sz w:val="24"/>
                <w:szCs w:val="32"/>
                <w14:textFill>
                  <w14:solidFill>
                    <w14:schemeClr w14:val="tx1"/>
                  </w14:solidFill>
                </w14:textFill>
              </w:rPr>
              <w:t>本项目施工场地内无施工人员临时住所，项目施工期短，</w:t>
            </w:r>
            <w:r>
              <w:rPr>
                <w:rFonts w:hint="eastAsia" w:cs="Times New Roman"/>
                <w:color w:val="000000" w:themeColor="text1"/>
                <w:sz w:val="24"/>
                <w:szCs w:val="32"/>
                <w:lang w:val="en-US" w:eastAsia="zh-CN"/>
                <w14:textFill>
                  <w14:solidFill>
                    <w14:schemeClr w14:val="tx1"/>
                  </w14:solidFill>
                </w14:textFill>
              </w:rPr>
              <w:t>生活污水</w:t>
            </w:r>
            <w:r>
              <w:rPr>
                <w:rFonts w:hAnsi="Times New Roman" w:cs="Times New Roman"/>
                <w:color w:val="000000" w:themeColor="text1"/>
                <w:sz w:val="24"/>
                <w:szCs w:val="32"/>
                <w14:textFill>
                  <w14:solidFill>
                    <w14:schemeClr w14:val="tx1"/>
                  </w14:solidFill>
                </w14:textFill>
              </w:rPr>
              <w:t>依托</w:t>
            </w:r>
            <w:r>
              <w:rPr>
                <w:rFonts w:hint="eastAsia" w:cs="Times New Roman"/>
                <w:color w:val="000000" w:themeColor="text1"/>
                <w:sz w:val="24"/>
                <w:szCs w:val="32"/>
                <w:lang w:val="en-US" w:eastAsia="zh-CN"/>
                <w14:textFill>
                  <w14:solidFill>
                    <w14:schemeClr w14:val="tx1"/>
                  </w14:solidFill>
                </w14:textFill>
              </w:rPr>
              <w:t>所在楼层</w:t>
            </w:r>
            <w:r>
              <w:rPr>
                <w:rFonts w:hAnsi="Times New Roman" w:cs="Times New Roman"/>
                <w:color w:val="000000" w:themeColor="text1"/>
                <w:sz w:val="24"/>
                <w:szCs w:val="32"/>
                <w14:textFill>
                  <w14:solidFill>
                    <w14:schemeClr w14:val="tx1"/>
                  </w14:solidFill>
                </w14:textFill>
              </w:rPr>
              <w:t>已有的卫生设施。</w:t>
            </w:r>
          </w:p>
          <w:p w14:paraId="1586E545">
            <w:pPr>
              <w:adjustRightInd w:val="0"/>
              <w:snapToGrid w:val="0"/>
              <w:spacing w:line="360" w:lineRule="auto"/>
              <w:ind w:firstLine="498" w:firstLineChars="200"/>
              <w:rPr>
                <w:b/>
                <w:color w:val="000000" w:themeColor="text1"/>
                <w:spacing w:val="4"/>
                <w:sz w:val="24"/>
                <w14:textFill>
                  <w14:solidFill>
                    <w14:schemeClr w14:val="tx1"/>
                  </w14:solidFill>
                </w14:textFill>
              </w:rPr>
            </w:pPr>
            <w:r>
              <w:rPr>
                <w:b/>
                <w:color w:val="000000" w:themeColor="text1"/>
                <w:spacing w:val="4"/>
                <w:sz w:val="24"/>
                <w14:textFill>
                  <w14:solidFill>
                    <w14:schemeClr w14:val="tx1"/>
                  </w14:solidFill>
                </w14:textFill>
              </w:rPr>
              <w:t>4、</w:t>
            </w:r>
            <w:r>
              <w:rPr>
                <w:b/>
                <w:bCs/>
                <w:color w:val="000000" w:themeColor="text1"/>
                <w:sz w:val="24"/>
                <w14:textFill>
                  <w14:solidFill>
                    <w14:schemeClr w14:val="tx1"/>
                  </w14:solidFill>
                </w14:textFill>
              </w:rPr>
              <w:t>固体废物污染防治措施</w:t>
            </w:r>
          </w:p>
          <w:p w14:paraId="2237BF72">
            <w:pPr>
              <w:autoSpaceDE w:val="0"/>
              <w:autoSpaceDN w:val="0"/>
              <w:adjustRightInd w:val="0"/>
              <w:spacing w:line="360" w:lineRule="auto"/>
              <w:ind w:firstLine="480" w:firstLineChars="200"/>
              <w:jc w:val="left"/>
              <w:rPr>
                <w:rFonts w:hint="eastAsia" w:eastAsia="宋体"/>
                <w:color w:val="000000" w:themeColor="text1"/>
                <w:lang w:eastAsia="zh-CN"/>
                <w14:textFill>
                  <w14:solidFill>
                    <w14:schemeClr w14:val="tx1"/>
                  </w14:solidFill>
                </w14:textFill>
              </w:rPr>
            </w:pPr>
            <w:r>
              <w:rPr>
                <w:rFonts w:hint="eastAsia"/>
                <w:sz w:val="24"/>
              </w:rPr>
              <w:t>施工阶段产生的固体废物主要是设备包装垃圾、废涂料桶及施工人员产生的生活垃圾，其中生活垃圾和废包装垃圾可直接交由环卫部门处理；施工期装修阶段会使用涂料，使用过程中会产生废涂料桶，根据《国家危险废物名录》（202</w:t>
            </w:r>
            <w:r>
              <w:rPr>
                <w:rFonts w:hint="eastAsia"/>
                <w:sz w:val="24"/>
                <w:lang w:val="en-US" w:eastAsia="zh-CN"/>
              </w:rPr>
              <w:t>5</w:t>
            </w:r>
            <w:r>
              <w:rPr>
                <w:rFonts w:hint="eastAsia"/>
                <w:sz w:val="24"/>
              </w:rPr>
              <w:t>年版）中规定，废涂料桶应属于危险废物，废物类别为</w:t>
            </w:r>
            <w:r>
              <w:rPr>
                <w:sz w:val="24"/>
              </w:rPr>
              <w:t xml:space="preserve">“HW49 </w:t>
            </w:r>
            <w:r>
              <w:rPr>
                <w:rFonts w:hint="eastAsia"/>
                <w:sz w:val="24"/>
              </w:rPr>
              <w:t>其他废物</w:t>
            </w:r>
            <w:r>
              <w:rPr>
                <w:sz w:val="24"/>
              </w:rPr>
              <w:t>900-041-49”</w:t>
            </w:r>
            <w:r>
              <w:rPr>
                <w:rFonts w:hint="eastAsia"/>
                <w:sz w:val="24"/>
              </w:rPr>
              <w:t>，建设单位应将其委托有资质单位进行处理。</w:t>
            </w:r>
          </w:p>
        </w:tc>
      </w:tr>
    </w:tbl>
    <w:p w14:paraId="44B5FC67">
      <w:pPr>
        <w:rPr>
          <w:color w:val="000000" w:themeColor="text1"/>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8"/>
        <w:tblW w:w="508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76"/>
        <w:gridCol w:w="8865"/>
      </w:tblGrid>
      <w:tr w14:paraId="2D1E25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29" w:hRule="atLeast"/>
          <w:jc w:val="center"/>
        </w:trPr>
        <w:tc>
          <w:tcPr>
            <w:tcW w:w="151" w:type="pct"/>
            <w:tcMar>
              <w:left w:w="28" w:type="dxa"/>
              <w:right w:w="28" w:type="dxa"/>
            </w:tcMar>
            <w:vAlign w:val="center"/>
          </w:tcPr>
          <w:p w14:paraId="4848F746">
            <w:pPr>
              <w:adjustRightInd w:val="0"/>
              <w:snapToGrid w:val="0"/>
              <w:jc w:val="center"/>
              <w:rPr>
                <w:bCs/>
                <w:color w:val="auto"/>
                <w:szCs w:val="21"/>
              </w:rPr>
            </w:pPr>
            <w:r>
              <w:rPr>
                <w:bCs/>
                <w:color w:val="auto"/>
                <w:szCs w:val="21"/>
              </w:rPr>
              <w:t>运营</w:t>
            </w:r>
          </w:p>
          <w:p w14:paraId="515BCA15">
            <w:pPr>
              <w:adjustRightInd w:val="0"/>
              <w:snapToGrid w:val="0"/>
              <w:jc w:val="center"/>
              <w:rPr>
                <w:bCs/>
                <w:color w:val="auto"/>
                <w:szCs w:val="21"/>
              </w:rPr>
            </w:pPr>
            <w:r>
              <w:rPr>
                <w:bCs/>
                <w:color w:val="auto"/>
                <w:szCs w:val="21"/>
              </w:rPr>
              <w:t>期环</w:t>
            </w:r>
          </w:p>
          <w:p w14:paraId="33DE00FD">
            <w:pPr>
              <w:adjustRightInd w:val="0"/>
              <w:snapToGrid w:val="0"/>
              <w:jc w:val="center"/>
              <w:rPr>
                <w:bCs/>
                <w:color w:val="auto"/>
                <w:szCs w:val="21"/>
              </w:rPr>
            </w:pPr>
            <w:r>
              <w:rPr>
                <w:bCs/>
                <w:color w:val="auto"/>
                <w:szCs w:val="21"/>
              </w:rPr>
              <w:t>境影</w:t>
            </w:r>
          </w:p>
          <w:p w14:paraId="48798B2F">
            <w:pPr>
              <w:adjustRightInd w:val="0"/>
              <w:snapToGrid w:val="0"/>
              <w:jc w:val="center"/>
              <w:rPr>
                <w:bCs/>
                <w:color w:val="auto"/>
                <w:szCs w:val="21"/>
              </w:rPr>
            </w:pPr>
            <w:r>
              <w:rPr>
                <w:bCs/>
                <w:color w:val="auto"/>
                <w:szCs w:val="21"/>
              </w:rPr>
              <w:t>响和</w:t>
            </w:r>
          </w:p>
          <w:p w14:paraId="00F42D01">
            <w:pPr>
              <w:adjustRightInd w:val="0"/>
              <w:snapToGrid w:val="0"/>
              <w:jc w:val="center"/>
              <w:rPr>
                <w:bCs/>
                <w:color w:val="auto"/>
                <w:szCs w:val="21"/>
              </w:rPr>
            </w:pPr>
            <w:r>
              <w:rPr>
                <w:bCs/>
                <w:color w:val="auto"/>
                <w:szCs w:val="21"/>
              </w:rPr>
              <w:t>保护</w:t>
            </w:r>
          </w:p>
          <w:p w14:paraId="327D7851">
            <w:pPr>
              <w:adjustRightInd w:val="0"/>
              <w:snapToGrid w:val="0"/>
              <w:jc w:val="center"/>
              <w:rPr>
                <w:bCs/>
                <w:color w:val="auto"/>
                <w:szCs w:val="21"/>
              </w:rPr>
            </w:pPr>
            <w:r>
              <w:rPr>
                <w:bCs/>
                <w:color w:val="auto"/>
                <w:szCs w:val="21"/>
              </w:rPr>
              <w:t>措施</w:t>
            </w:r>
          </w:p>
        </w:tc>
        <w:tc>
          <w:tcPr>
            <w:tcW w:w="4848" w:type="pct"/>
            <w:vAlign w:val="center"/>
          </w:tcPr>
          <w:p w14:paraId="16612DE2">
            <w:pPr>
              <w:keepNext/>
              <w:keepLines/>
              <w:adjustRightInd w:val="0"/>
              <w:snapToGrid w:val="0"/>
              <w:spacing w:line="360" w:lineRule="auto"/>
              <w:ind w:firstLine="482" w:firstLineChars="200"/>
              <w:jc w:val="left"/>
              <w:rPr>
                <w:b/>
                <w:color w:val="auto"/>
                <w:sz w:val="24"/>
                <w:highlight w:val="none"/>
              </w:rPr>
            </w:pPr>
            <w:r>
              <w:rPr>
                <w:b/>
                <w:color w:val="auto"/>
                <w:sz w:val="24"/>
                <w:highlight w:val="none"/>
              </w:rPr>
              <w:t>1、大气环境影响分析及</w:t>
            </w:r>
            <w:r>
              <w:rPr>
                <w:rFonts w:hint="eastAsia"/>
                <w:b/>
                <w:color w:val="auto"/>
                <w:sz w:val="24"/>
                <w:highlight w:val="none"/>
              </w:rPr>
              <w:t>防治</w:t>
            </w:r>
            <w:r>
              <w:rPr>
                <w:b/>
                <w:color w:val="auto"/>
                <w:sz w:val="24"/>
                <w:highlight w:val="none"/>
              </w:rPr>
              <w:t>措施</w:t>
            </w:r>
          </w:p>
          <w:p w14:paraId="07144F64">
            <w:pPr>
              <w:adjustRightInd w:val="0"/>
              <w:snapToGrid w:val="0"/>
              <w:spacing w:line="360" w:lineRule="auto"/>
              <w:ind w:firstLine="480" w:firstLineChars="200"/>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本</w:t>
            </w:r>
            <w:r>
              <w:rPr>
                <w:rFonts w:hint="eastAsia" w:ascii="Times New Roman" w:hAnsi="Times New Roman" w:eastAsia="宋体" w:cs="Times New Roman"/>
                <w:color w:val="auto"/>
                <w:kern w:val="0"/>
                <w:sz w:val="24"/>
                <w:lang w:val="en-US" w:eastAsia="zh-CN"/>
              </w:rPr>
              <w:t>项目</w:t>
            </w:r>
            <w:r>
              <w:rPr>
                <w:rFonts w:hint="eastAsia" w:ascii="Times New Roman" w:hAnsi="Times New Roman" w:eastAsia="宋体" w:cs="Times New Roman"/>
                <w:color w:val="auto"/>
                <w:kern w:val="0"/>
                <w:sz w:val="24"/>
              </w:rPr>
              <w:t>营运期沥青烟、苯并〔α〕芘、非甲烷总烃经收集后，采用</w:t>
            </w:r>
            <w:r>
              <w:rPr>
                <w:rFonts w:hint="eastAsia" w:ascii="Times New Roman" w:hAnsi="Times New Roman" w:eastAsia="宋体" w:cs="Times New Roman"/>
                <w:color w:val="auto"/>
                <w:kern w:val="0"/>
                <w:sz w:val="24"/>
                <w:lang w:val="en-US" w:eastAsia="zh-CN"/>
              </w:rPr>
              <w:t>二级</w:t>
            </w:r>
            <w:r>
              <w:rPr>
                <w:rFonts w:hint="eastAsia" w:ascii="Times New Roman" w:hAnsi="Times New Roman" w:eastAsia="宋体" w:cs="Times New Roman"/>
                <w:color w:val="auto"/>
                <w:kern w:val="0"/>
                <w:sz w:val="24"/>
              </w:rPr>
              <w:t>活性炭吸附装置处理后经</w:t>
            </w:r>
            <w:r>
              <w:rPr>
                <w:rFonts w:hint="eastAsia" w:ascii="Times New Roman" w:hAnsi="Times New Roman" w:eastAsia="宋体" w:cs="Times New Roman"/>
                <w:color w:val="auto"/>
                <w:kern w:val="0"/>
                <w:sz w:val="24"/>
                <w:lang w:val="en-US" w:eastAsia="zh-CN"/>
              </w:rPr>
              <w:t>23</w:t>
            </w:r>
            <w:r>
              <w:rPr>
                <w:rFonts w:hint="eastAsia" w:ascii="Times New Roman" w:hAnsi="Times New Roman" w:eastAsia="宋体" w:cs="Times New Roman"/>
                <w:color w:val="auto"/>
                <w:kern w:val="0"/>
                <w:sz w:val="24"/>
              </w:rPr>
              <w:t>m排气筒（DA00</w:t>
            </w:r>
            <w:r>
              <w:rPr>
                <w:rFonts w:hint="eastAsia" w:ascii="Times New Roman" w:hAnsi="Times New Roman" w:eastAsia="宋体" w:cs="Times New Roman"/>
                <w:color w:val="auto"/>
                <w:kern w:val="0"/>
                <w:sz w:val="24"/>
                <w:lang w:val="en-US" w:eastAsia="zh-CN"/>
              </w:rPr>
              <w:t>1</w:t>
            </w:r>
            <w:r>
              <w:rPr>
                <w:rFonts w:hint="eastAsia" w:ascii="Times New Roman" w:hAnsi="Times New Roman" w:eastAsia="宋体" w:cs="Times New Roman"/>
                <w:color w:val="auto"/>
                <w:kern w:val="0"/>
                <w:sz w:val="24"/>
              </w:rPr>
              <w:t>）外排，排放浓度和排放速率均满足《大气污染物综合排放标准》（GB16297-1996）表2中最高允许排放浓度和相应高度的排放速率限值。</w:t>
            </w:r>
          </w:p>
          <w:p w14:paraId="4BB9F4A7">
            <w:pPr>
              <w:adjustRightInd w:val="0"/>
              <w:snapToGrid w:val="0"/>
              <w:spacing w:line="360" w:lineRule="auto"/>
              <w:ind w:firstLine="480" w:firstLineChars="200"/>
              <w:rPr>
                <w:rFonts w:hint="eastAsia" w:ascii="Times New Roman" w:hAnsi="Times New Roman" w:eastAsia="宋体" w:cs="Times New Roman"/>
                <w:color w:val="auto"/>
                <w:kern w:val="0"/>
                <w:sz w:val="24"/>
              </w:rPr>
            </w:pPr>
            <w:r>
              <w:rPr>
                <w:rFonts w:hint="default" w:ascii="Times New Roman" w:hAnsi="Times New Roman" w:eastAsia="宋体" w:cs="Times New Roman"/>
                <w:color w:val="auto"/>
                <w:kern w:val="0"/>
                <w:sz w:val="24"/>
                <w:lang w:val="en-US" w:eastAsia="zh-CN"/>
              </w:rPr>
              <w:t>因项目盐酸、乙醇等相关化学试剂使用量少，挥发后产生的化学实验废气量较少</w:t>
            </w:r>
            <w:r>
              <w:rPr>
                <w:rFonts w:hint="default" w:ascii="Times New Roman" w:hAnsi="Times New Roman" w:eastAsia="宋体" w:cs="Times New Roman"/>
                <w:color w:val="auto"/>
                <w:kern w:val="0"/>
                <w:sz w:val="24"/>
              </w:rPr>
              <w:t>，处理设施对超低浓度废气的净化效率难以估计，故难以对废气排放情况进行准确计量</w:t>
            </w:r>
            <w:r>
              <w:rPr>
                <w:rFonts w:hint="eastAsia" w:ascii="Times New Roman" w:hAnsi="Times New Roman" w:eastAsia="宋体" w:cs="Times New Roman"/>
                <w:color w:val="auto"/>
                <w:kern w:val="0"/>
                <w:sz w:val="24"/>
                <w:lang w:eastAsia="zh-CN"/>
              </w:rPr>
              <w:t>，</w:t>
            </w:r>
            <w:r>
              <w:rPr>
                <w:rFonts w:hint="eastAsia" w:ascii="Times New Roman" w:hAnsi="Times New Roman" w:eastAsia="宋体" w:cs="Times New Roman"/>
                <w:color w:val="auto"/>
                <w:kern w:val="0"/>
                <w:sz w:val="24"/>
                <w:lang w:val="en-US" w:eastAsia="zh-CN"/>
              </w:rPr>
              <w:t>因此本次环评仅作定性的讨论，不再单独进行总量排放的核算。试验过程</w:t>
            </w:r>
            <w:r>
              <w:rPr>
                <w:rFonts w:hint="eastAsia" w:ascii="Times New Roman" w:hAnsi="Times New Roman" w:eastAsia="宋体" w:cs="Times New Roman"/>
                <w:color w:val="auto"/>
                <w:kern w:val="0"/>
                <w:sz w:val="24"/>
              </w:rPr>
              <w:t>产生的酸雾和有机废气（以非甲烷总烃计）经</w:t>
            </w:r>
            <w:r>
              <w:rPr>
                <w:rFonts w:hint="eastAsia" w:ascii="Times New Roman" w:hAnsi="Times New Roman" w:eastAsia="宋体" w:cs="Times New Roman"/>
                <w:color w:val="auto"/>
                <w:kern w:val="0"/>
                <w:sz w:val="24"/>
                <w:lang w:val="en-US" w:eastAsia="zh-CN"/>
              </w:rPr>
              <w:t>通风橱收集后经23m高排气筒DA002</w:t>
            </w:r>
            <w:r>
              <w:rPr>
                <w:rFonts w:hint="eastAsia" w:ascii="Times New Roman" w:hAnsi="Times New Roman" w:eastAsia="宋体" w:cs="Times New Roman"/>
                <w:color w:val="auto"/>
                <w:kern w:val="0"/>
                <w:sz w:val="24"/>
              </w:rPr>
              <w:t>排放。</w:t>
            </w:r>
          </w:p>
          <w:p w14:paraId="128A70A8">
            <w:pPr>
              <w:adjustRightInd w:val="0"/>
              <w:snapToGrid w:val="0"/>
              <w:spacing w:line="360" w:lineRule="auto"/>
              <w:ind w:firstLine="480" w:firstLineChars="200"/>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大气环境影响评价具体评价内容详见大气环境影响评价专项</w:t>
            </w:r>
            <w:r>
              <w:rPr>
                <w:rFonts w:hint="eastAsia" w:ascii="Times New Roman" w:hAnsi="Times New Roman" w:eastAsia="宋体" w:cs="Times New Roman"/>
                <w:color w:val="auto"/>
                <w:kern w:val="0"/>
                <w:sz w:val="24"/>
                <w:lang w:eastAsia="zh-CN"/>
              </w:rPr>
              <w:t>。</w:t>
            </w:r>
          </w:p>
          <w:p w14:paraId="4F290DDB">
            <w:pPr>
              <w:tabs>
                <w:tab w:val="left" w:pos="2851"/>
              </w:tabs>
              <w:adjustRightInd w:val="0"/>
              <w:snapToGrid w:val="0"/>
              <w:spacing w:line="360" w:lineRule="auto"/>
              <w:ind w:firstLine="442" w:firstLineChars="200"/>
              <w:rPr>
                <w:b/>
                <w:color w:val="auto"/>
                <w:spacing w:val="-10"/>
                <w:sz w:val="24"/>
              </w:rPr>
            </w:pPr>
            <w:r>
              <w:rPr>
                <w:b/>
                <w:color w:val="auto"/>
                <w:spacing w:val="-10"/>
                <w:sz w:val="24"/>
              </w:rPr>
              <w:t>2、废水</w:t>
            </w:r>
          </w:p>
          <w:p w14:paraId="33527330">
            <w:pPr>
              <w:adjustRightInd w:val="0"/>
              <w:snapToGrid w:val="0"/>
              <w:spacing w:line="360" w:lineRule="auto"/>
              <w:ind w:firstLine="480" w:firstLineChars="200"/>
              <w:rPr>
                <w:color w:val="auto"/>
                <w:kern w:val="0"/>
                <w:sz w:val="24"/>
              </w:rPr>
            </w:pPr>
            <w:r>
              <w:rPr>
                <w:rFonts w:hint="eastAsia"/>
                <w:color w:val="auto"/>
                <w:kern w:val="0"/>
                <w:sz w:val="24"/>
              </w:rPr>
              <w:t>本项目工作人员</w:t>
            </w:r>
            <w:r>
              <w:rPr>
                <w:rFonts w:hint="eastAsia"/>
                <w:color w:val="auto"/>
                <w:kern w:val="0"/>
                <w:sz w:val="24"/>
                <w:lang w:val="en-US" w:eastAsia="zh-CN"/>
              </w:rPr>
              <w:t>34</w:t>
            </w:r>
            <w:r>
              <w:rPr>
                <w:rFonts w:hint="eastAsia"/>
                <w:color w:val="auto"/>
                <w:kern w:val="0"/>
                <w:sz w:val="24"/>
              </w:rPr>
              <w:t>人，生活污水经化粪池处理后排入市政污水管网。</w:t>
            </w:r>
            <w:r>
              <w:rPr>
                <w:rFonts w:hint="eastAsia"/>
                <w:color w:val="auto"/>
                <w:kern w:val="0"/>
                <w:sz w:val="24"/>
                <w:lang w:val="en-US" w:eastAsia="zh-CN"/>
              </w:rPr>
              <w:t>实验室器皿</w:t>
            </w:r>
            <w:r>
              <w:rPr>
                <w:rFonts w:hint="eastAsia"/>
                <w:color w:val="auto"/>
                <w:kern w:val="0"/>
                <w:sz w:val="24"/>
              </w:rPr>
              <w:t>清洗</w:t>
            </w:r>
            <w:r>
              <w:rPr>
                <w:rFonts w:hint="eastAsia"/>
                <w:color w:val="auto"/>
                <w:kern w:val="0"/>
                <w:sz w:val="24"/>
                <w:lang w:val="en-US" w:eastAsia="zh-CN"/>
              </w:rPr>
              <w:t>用</w:t>
            </w:r>
            <w:r>
              <w:rPr>
                <w:rFonts w:hint="eastAsia"/>
                <w:color w:val="auto"/>
                <w:kern w:val="0"/>
                <w:sz w:val="24"/>
              </w:rPr>
              <w:t>水</w:t>
            </w:r>
            <w:r>
              <w:rPr>
                <w:rFonts w:hint="eastAsia"/>
                <w:color w:val="auto"/>
                <w:kern w:val="0"/>
                <w:sz w:val="24"/>
                <w:lang w:eastAsia="zh-CN"/>
              </w:rPr>
              <w:t>、</w:t>
            </w:r>
            <w:r>
              <w:rPr>
                <w:rFonts w:hint="eastAsia"/>
                <w:color w:val="auto"/>
                <w:kern w:val="0"/>
                <w:sz w:val="24"/>
                <w:lang w:val="en-US" w:eastAsia="zh-CN"/>
              </w:rPr>
              <w:t>物理检测用水、清洁用水经沉淀池收集后排入化粪池，处理后排入市政污水管网</w:t>
            </w:r>
            <w:r>
              <w:rPr>
                <w:rFonts w:hint="eastAsia"/>
                <w:color w:val="auto"/>
                <w:kern w:val="0"/>
                <w:sz w:val="24"/>
              </w:rPr>
              <w:t xml:space="preserve">。           </w:t>
            </w:r>
          </w:p>
          <w:p w14:paraId="3115DD64">
            <w:pPr>
              <w:spacing w:line="360" w:lineRule="auto"/>
              <w:ind w:firstLine="480" w:firstLineChars="200"/>
              <w:rPr>
                <w:rFonts w:hint="eastAsia"/>
                <w:color w:val="auto"/>
                <w:sz w:val="24"/>
              </w:rPr>
            </w:pPr>
            <w:r>
              <w:rPr>
                <w:rFonts w:hint="eastAsia"/>
                <w:bCs/>
                <w:color w:val="auto"/>
                <w:sz w:val="24"/>
              </w:rPr>
              <w:t>根据前文给排水分析，生活污水排水量为</w:t>
            </w:r>
            <w:r>
              <w:rPr>
                <w:rFonts w:hint="eastAsia"/>
                <w:color w:val="auto"/>
                <w:sz w:val="24"/>
                <w:lang w:val="en-US" w:eastAsia="zh-CN"/>
              </w:rPr>
              <w:t>680</w:t>
            </w:r>
            <w:r>
              <w:rPr>
                <w:rFonts w:hint="eastAsia"/>
                <w:color w:val="auto"/>
                <w:sz w:val="24"/>
              </w:rPr>
              <w:t>m</w:t>
            </w:r>
            <w:r>
              <w:rPr>
                <w:rFonts w:hint="eastAsia"/>
                <w:color w:val="auto"/>
                <w:sz w:val="24"/>
                <w:vertAlign w:val="superscript"/>
              </w:rPr>
              <w:t>3</w:t>
            </w:r>
            <w:r>
              <w:rPr>
                <w:rFonts w:hint="eastAsia"/>
                <w:color w:val="auto"/>
                <w:sz w:val="24"/>
              </w:rPr>
              <w:t>/a，</w:t>
            </w:r>
            <w:r>
              <w:rPr>
                <w:color w:val="auto"/>
                <w:sz w:val="24"/>
              </w:rPr>
              <w:t>生活污水中主要污染物为COD、BOD</w:t>
            </w:r>
            <w:r>
              <w:rPr>
                <w:color w:val="auto"/>
                <w:sz w:val="24"/>
                <w:vertAlign w:val="subscript"/>
              </w:rPr>
              <w:t>5</w:t>
            </w:r>
            <w:r>
              <w:rPr>
                <w:color w:val="auto"/>
                <w:sz w:val="24"/>
              </w:rPr>
              <w:t>、SS、氨氮</w:t>
            </w:r>
            <w:r>
              <w:rPr>
                <w:rFonts w:hint="eastAsia"/>
                <w:color w:val="auto"/>
                <w:sz w:val="24"/>
              </w:rPr>
              <w:t>、总磷、总氮</w:t>
            </w:r>
            <w:r>
              <w:rPr>
                <w:color w:val="auto"/>
                <w:sz w:val="24"/>
              </w:rPr>
              <w:t>等，</w:t>
            </w:r>
            <w:r>
              <w:rPr>
                <w:rFonts w:hint="eastAsia"/>
                <w:color w:val="auto"/>
                <w:sz w:val="24"/>
                <w:lang w:val="en-US" w:eastAsia="zh-CN"/>
              </w:rPr>
              <w:t>生活污水</w:t>
            </w:r>
            <w:r>
              <w:rPr>
                <w:color w:val="auto"/>
                <w:sz w:val="24"/>
              </w:rPr>
              <w:t>水质参考《给排水设计手册》（第五分册）典型生活污水水质</w:t>
            </w:r>
            <w:r>
              <w:rPr>
                <w:rFonts w:hint="eastAsia"/>
                <w:color w:val="auto"/>
                <w:sz w:val="24"/>
              </w:rPr>
              <w:t>。</w:t>
            </w:r>
          </w:p>
          <w:p w14:paraId="4FE79884">
            <w:pPr>
              <w:spacing w:line="360" w:lineRule="auto"/>
              <w:ind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本项目化学实验过程中废液作为危废处置，废液和废水中的有机物、高浓度</w:t>
            </w:r>
            <w:r>
              <w:rPr>
                <w:rFonts w:hint="default" w:ascii="Times New Roman" w:hAnsi="Times New Roman" w:eastAsia="宋体" w:cs="Times New Roman"/>
                <w:color w:val="auto"/>
                <w:sz w:val="24"/>
                <w:highlight w:val="none"/>
                <w:lang w:val="en-US" w:eastAsia="zh-CN"/>
              </w:rPr>
              <w:t>H</w:t>
            </w:r>
            <w:r>
              <w:rPr>
                <w:rFonts w:hint="default" w:ascii="Times New Roman" w:hAnsi="Times New Roman" w:eastAsia="宋体" w:cs="Times New Roman"/>
                <w:color w:val="auto"/>
                <w:sz w:val="24"/>
                <w:highlight w:val="none"/>
                <w:vertAlign w:val="superscript"/>
                <w:lang w:val="en-US" w:eastAsia="zh-CN"/>
              </w:rPr>
              <w:t>+</w:t>
            </w:r>
            <w:r>
              <w:rPr>
                <w:rFonts w:hint="eastAsia" w:ascii="Times New Roman" w:hAnsi="Times New Roman" w:eastAsia="宋体" w:cs="Times New Roman"/>
                <w:color w:val="auto"/>
                <w:sz w:val="24"/>
                <w:highlight w:val="none"/>
                <w:lang w:val="en-US" w:eastAsia="zh-CN"/>
              </w:rPr>
              <w:t>均进入危废中，仅产生少量器皿清洗废水（</w:t>
            </w:r>
            <w:r>
              <w:rPr>
                <w:rFonts w:hint="eastAsia"/>
                <w:color w:val="auto"/>
                <w:sz w:val="24"/>
                <w:highlight w:val="none"/>
                <w:lang w:val="en-US" w:eastAsia="zh-CN"/>
              </w:rPr>
              <w:t>本环评要求器皿润洗前两次清洗废液按危废处理，纳入实验废液进行管理</w:t>
            </w:r>
            <w:r>
              <w:rPr>
                <w:rFonts w:hint="eastAsia" w:ascii="Times New Roman" w:hAnsi="Times New Roman" w:eastAsia="宋体" w:cs="Times New Roman"/>
                <w:color w:val="auto"/>
                <w:sz w:val="24"/>
                <w:highlight w:val="none"/>
                <w:lang w:val="en-US" w:eastAsia="zh-CN"/>
              </w:rPr>
              <w:t>），主要为COD、SS，参考同类型项目，浓度约为50mg/L、30mg/L；</w:t>
            </w:r>
            <w:r>
              <w:rPr>
                <w:rFonts w:hint="eastAsia"/>
                <w:color w:val="auto"/>
                <w:kern w:val="0"/>
                <w:sz w:val="24"/>
                <w:lang w:val="en-US" w:eastAsia="zh-CN"/>
              </w:rPr>
              <w:t>物理检测废水中主要污染物为</w:t>
            </w:r>
            <w:r>
              <w:rPr>
                <w:rFonts w:hint="eastAsia" w:ascii="Times New Roman" w:hAnsi="Times New Roman" w:eastAsia="宋体" w:cs="Times New Roman"/>
                <w:color w:val="auto"/>
                <w:sz w:val="24"/>
                <w:highlight w:val="none"/>
                <w:lang w:val="en-US" w:eastAsia="zh-CN"/>
              </w:rPr>
              <w:t>SS，参考同类型项目，浓度约为100mg/L；</w:t>
            </w:r>
            <w:r>
              <w:rPr>
                <w:rFonts w:hint="eastAsia"/>
                <w:color w:val="auto"/>
                <w:kern w:val="0"/>
                <w:sz w:val="24"/>
                <w:lang w:val="en-US" w:eastAsia="zh-CN"/>
              </w:rPr>
              <w:t>清洁废水中主要污染物为</w:t>
            </w:r>
            <w:r>
              <w:rPr>
                <w:rFonts w:hint="eastAsia" w:ascii="Times New Roman" w:hAnsi="Times New Roman" w:eastAsia="宋体" w:cs="Times New Roman"/>
                <w:color w:val="auto"/>
                <w:sz w:val="24"/>
                <w:highlight w:val="none"/>
                <w:lang w:val="en-US" w:eastAsia="zh-CN"/>
              </w:rPr>
              <w:t>COD、SS，参考同类型项目，浓度约为100mg/L、300mg/L</w:t>
            </w:r>
            <w:r>
              <w:rPr>
                <w:rFonts w:hint="eastAsia"/>
                <w:color w:val="auto"/>
                <w:kern w:val="0"/>
                <w:sz w:val="24"/>
                <w:lang w:val="en-US" w:eastAsia="zh-CN"/>
              </w:rPr>
              <w:t>。这三种废水</w:t>
            </w:r>
            <w:r>
              <w:rPr>
                <w:rFonts w:hint="eastAsia" w:ascii="Times New Roman" w:hAnsi="Times New Roman" w:eastAsia="宋体" w:cs="Times New Roman"/>
                <w:color w:val="auto"/>
                <w:sz w:val="24"/>
                <w:highlight w:val="none"/>
                <w:lang w:val="en-US" w:eastAsia="zh-CN"/>
              </w:rPr>
              <w:t>经沉淀池收集后排入化粪池，处理后排入市政污水管网。</w:t>
            </w:r>
          </w:p>
          <w:p w14:paraId="49642877">
            <w:pPr>
              <w:pStyle w:val="60"/>
              <w:jc w:val="center"/>
              <w:rPr>
                <w:rFonts w:hint="eastAsia" w:ascii="Times New Roman" w:hAnsi="Times New Roman" w:eastAsia="宋体" w:cs="Times New Roman"/>
                <w:b/>
                <w:bCs/>
                <w:color w:val="auto"/>
                <w:kern w:val="21"/>
                <w:sz w:val="24"/>
                <w:szCs w:val="24"/>
                <w:lang w:val="en-US" w:eastAsia="zh-CN"/>
              </w:rPr>
            </w:pPr>
          </w:p>
          <w:p w14:paraId="1AB5196D">
            <w:pPr>
              <w:pStyle w:val="60"/>
              <w:jc w:val="center"/>
              <w:rPr>
                <w:rFonts w:hint="eastAsia" w:ascii="Times New Roman" w:hAnsi="Times New Roman" w:eastAsia="宋体" w:cs="Times New Roman"/>
                <w:b/>
                <w:bCs/>
                <w:color w:val="auto"/>
                <w:kern w:val="21"/>
                <w:sz w:val="24"/>
                <w:szCs w:val="24"/>
                <w:lang w:val="en-US" w:eastAsia="zh-CN"/>
              </w:rPr>
            </w:pPr>
          </w:p>
          <w:p w14:paraId="403EAD65">
            <w:pPr>
              <w:pStyle w:val="60"/>
              <w:jc w:val="center"/>
              <w:rPr>
                <w:rFonts w:hint="default" w:ascii="Times New Roman" w:hAnsi="Times New Roman" w:eastAsia="宋体" w:cs="Times New Roman"/>
                <w:b/>
                <w:bCs/>
                <w:color w:val="auto"/>
                <w:kern w:val="21"/>
                <w:sz w:val="24"/>
                <w:szCs w:val="24"/>
                <w:lang w:val="en-US" w:eastAsia="zh-CN"/>
              </w:rPr>
            </w:pPr>
            <w:r>
              <w:rPr>
                <w:rFonts w:hint="eastAsia" w:ascii="Times New Roman" w:hAnsi="Times New Roman" w:eastAsia="宋体" w:cs="Times New Roman"/>
                <w:b/>
                <w:bCs/>
                <w:color w:val="auto"/>
                <w:kern w:val="21"/>
                <w:sz w:val="24"/>
                <w:szCs w:val="24"/>
                <w:lang w:val="en-US" w:eastAsia="zh-CN"/>
              </w:rPr>
              <w:t>表4-</w:t>
            </w:r>
            <w:r>
              <w:rPr>
                <w:rFonts w:hint="eastAsia" w:hAnsi="Times New Roman" w:cs="Times New Roman"/>
                <w:b/>
                <w:bCs/>
                <w:color w:val="auto"/>
                <w:kern w:val="21"/>
                <w:sz w:val="24"/>
                <w:szCs w:val="24"/>
                <w:lang w:val="en-US" w:eastAsia="zh-CN"/>
              </w:rPr>
              <w:t>1</w:t>
            </w:r>
            <w:r>
              <w:rPr>
                <w:rFonts w:hint="eastAsia" w:ascii="Times New Roman" w:hAnsi="Times New Roman" w:eastAsia="宋体" w:cs="Times New Roman"/>
                <w:b/>
                <w:bCs/>
                <w:color w:val="auto"/>
                <w:kern w:val="21"/>
                <w:sz w:val="24"/>
                <w:szCs w:val="24"/>
                <w:lang w:val="en-US" w:eastAsia="zh-CN"/>
              </w:rPr>
              <w:t xml:space="preserve">   </w:t>
            </w:r>
            <w:r>
              <w:rPr>
                <w:rFonts w:hint="eastAsia" w:hAnsi="Times New Roman" w:cs="Times New Roman"/>
                <w:b/>
                <w:bCs/>
                <w:color w:val="auto"/>
                <w:kern w:val="21"/>
                <w:sz w:val="24"/>
                <w:szCs w:val="24"/>
                <w:lang w:val="en-US" w:eastAsia="zh-CN"/>
              </w:rPr>
              <w:t>综合</w:t>
            </w:r>
            <w:r>
              <w:rPr>
                <w:rFonts w:hint="eastAsia" w:ascii="Times New Roman" w:hAnsi="Times New Roman" w:eastAsia="宋体" w:cs="Times New Roman"/>
                <w:b/>
                <w:bCs/>
                <w:color w:val="auto"/>
                <w:kern w:val="21"/>
                <w:sz w:val="24"/>
                <w:szCs w:val="24"/>
                <w:lang w:val="en-US" w:eastAsia="zh-CN"/>
              </w:rPr>
              <w:t>废水产排情况</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4"/>
              <w:gridCol w:w="911"/>
              <w:gridCol w:w="1185"/>
              <w:gridCol w:w="1197"/>
              <w:gridCol w:w="799"/>
              <w:gridCol w:w="1001"/>
              <w:gridCol w:w="1470"/>
              <w:gridCol w:w="1287"/>
            </w:tblGrid>
            <w:tr w14:paraId="41721F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restart"/>
                  <w:tcBorders>
                    <w:tl2br w:val="nil"/>
                    <w:tr2bl w:val="nil"/>
                  </w:tcBorders>
                  <w:vAlign w:val="center"/>
                </w:tcPr>
                <w:p w14:paraId="6D6C1A95">
                  <w:pPr>
                    <w:pStyle w:val="6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污水类型</w:t>
                  </w:r>
                </w:p>
              </w:tc>
              <w:tc>
                <w:tcPr>
                  <w:tcW w:w="526" w:type="pct"/>
                  <w:vMerge w:val="restart"/>
                  <w:tcBorders>
                    <w:tl2br w:val="nil"/>
                    <w:tr2bl w:val="nil"/>
                  </w:tcBorders>
                  <w:vAlign w:val="center"/>
                </w:tcPr>
                <w:p w14:paraId="1DADEC02">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污染物</w:t>
                  </w:r>
                </w:p>
              </w:tc>
              <w:tc>
                <w:tcPr>
                  <w:tcW w:w="1377" w:type="pct"/>
                  <w:gridSpan w:val="2"/>
                  <w:tcBorders>
                    <w:tl2br w:val="nil"/>
                    <w:tr2bl w:val="nil"/>
                  </w:tcBorders>
                  <w:vAlign w:val="center"/>
                </w:tcPr>
                <w:p w14:paraId="044F438C">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产生情况</w:t>
                  </w:r>
                </w:p>
              </w:tc>
              <w:tc>
                <w:tcPr>
                  <w:tcW w:w="462" w:type="pct"/>
                  <w:vMerge w:val="restart"/>
                  <w:tcBorders>
                    <w:tl2br w:val="nil"/>
                    <w:tr2bl w:val="nil"/>
                  </w:tcBorders>
                  <w:vAlign w:val="center"/>
                </w:tcPr>
                <w:p w14:paraId="0C9DDFA2">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治理措施</w:t>
                  </w:r>
                </w:p>
              </w:tc>
              <w:tc>
                <w:tcPr>
                  <w:tcW w:w="579" w:type="pct"/>
                  <w:vMerge w:val="restart"/>
                  <w:tcBorders>
                    <w:tl2br w:val="nil"/>
                    <w:tr2bl w:val="nil"/>
                  </w:tcBorders>
                  <w:vAlign w:val="center"/>
                </w:tcPr>
                <w:p w14:paraId="35680F46">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去除率%</w:t>
                  </w:r>
                </w:p>
              </w:tc>
              <w:tc>
                <w:tcPr>
                  <w:tcW w:w="1594" w:type="pct"/>
                  <w:gridSpan w:val="2"/>
                  <w:tcBorders>
                    <w:tl2br w:val="nil"/>
                    <w:tr2bl w:val="nil"/>
                  </w:tcBorders>
                  <w:vAlign w:val="center"/>
                </w:tcPr>
                <w:p w14:paraId="1512239E">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排放情况</w:t>
                  </w:r>
                </w:p>
              </w:tc>
            </w:tr>
            <w:tr w14:paraId="0FE2D6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trPr>
              <w:tc>
                <w:tcPr>
                  <w:tcW w:w="459" w:type="pct"/>
                  <w:vMerge w:val="continue"/>
                  <w:tcBorders>
                    <w:tl2br w:val="nil"/>
                    <w:tr2bl w:val="nil"/>
                  </w:tcBorders>
                  <w:vAlign w:val="center"/>
                </w:tcPr>
                <w:p w14:paraId="375EEAA2">
                  <w:pPr>
                    <w:pStyle w:val="69"/>
                    <w:jc w:val="center"/>
                    <w:rPr>
                      <w:rFonts w:hint="default" w:ascii="Times New Roman" w:hAnsi="Times New Roman" w:cs="Times New Roman"/>
                      <w:color w:val="auto"/>
                      <w:sz w:val="21"/>
                      <w:szCs w:val="21"/>
                    </w:rPr>
                  </w:pPr>
                </w:p>
              </w:tc>
              <w:tc>
                <w:tcPr>
                  <w:tcW w:w="526" w:type="pct"/>
                  <w:vMerge w:val="continue"/>
                  <w:tcBorders>
                    <w:tl2br w:val="nil"/>
                    <w:tr2bl w:val="nil"/>
                  </w:tcBorders>
                  <w:vAlign w:val="center"/>
                </w:tcPr>
                <w:p w14:paraId="4ADFE29D">
                  <w:pPr>
                    <w:pStyle w:val="69"/>
                    <w:jc w:val="center"/>
                    <w:rPr>
                      <w:rFonts w:hint="default" w:ascii="Times New Roman" w:hAnsi="Times New Roman" w:cs="Times New Roman"/>
                      <w:color w:val="auto"/>
                      <w:sz w:val="21"/>
                      <w:szCs w:val="21"/>
                    </w:rPr>
                  </w:pPr>
                </w:p>
              </w:tc>
              <w:tc>
                <w:tcPr>
                  <w:tcW w:w="685" w:type="pct"/>
                  <w:tcBorders>
                    <w:tl2br w:val="nil"/>
                    <w:tr2bl w:val="nil"/>
                  </w:tcBorders>
                  <w:vAlign w:val="center"/>
                </w:tcPr>
                <w:p w14:paraId="545F2D12">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浓度(mg/L)</w:t>
                  </w:r>
                </w:p>
              </w:tc>
              <w:tc>
                <w:tcPr>
                  <w:tcW w:w="692" w:type="pct"/>
                  <w:tcBorders>
                    <w:tl2br w:val="nil"/>
                    <w:tr2bl w:val="nil"/>
                  </w:tcBorders>
                  <w:vAlign w:val="center"/>
                </w:tcPr>
                <w:p w14:paraId="65913E4F">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产生量(t/a)</w:t>
                  </w:r>
                </w:p>
              </w:tc>
              <w:tc>
                <w:tcPr>
                  <w:tcW w:w="462" w:type="pct"/>
                  <w:vMerge w:val="continue"/>
                  <w:tcBorders>
                    <w:tl2br w:val="nil"/>
                    <w:tr2bl w:val="nil"/>
                  </w:tcBorders>
                  <w:vAlign w:val="center"/>
                </w:tcPr>
                <w:p w14:paraId="167349F7">
                  <w:pPr>
                    <w:pStyle w:val="69"/>
                    <w:jc w:val="center"/>
                    <w:rPr>
                      <w:rFonts w:hint="default" w:ascii="Times New Roman" w:hAnsi="Times New Roman" w:cs="Times New Roman"/>
                      <w:color w:val="auto"/>
                      <w:sz w:val="21"/>
                      <w:szCs w:val="21"/>
                    </w:rPr>
                  </w:pPr>
                </w:p>
              </w:tc>
              <w:tc>
                <w:tcPr>
                  <w:tcW w:w="579" w:type="pct"/>
                  <w:vMerge w:val="continue"/>
                  <w:tcBorders>
                    <w:tl2br w:val="nil"/>
                    <w:tr2bl w:val="nil"/>
                  </w:tcBorders>
                  <w:vAlign w:val="center"/>
                </w:tcPr>
                <w:p w14:paraId="3EDE0887">
                  <w:pPr>
                    <w:pStyle w:val="69"/>
                    <w:jc w:val="center"/>
                    <w:rPr>
                      <w:rFonts w:hint="default" w:ascii="Times New Roman" w:hAnsi="Times New Roman" w:cs="Times New Roman"/>
                      <w:color w:val="auto"/>
                      <w:sz w:val="21"/>
                      <w:szCs w:val="21"/>
                    </w:rPr>
                  </w:pPr>
                </w:p>
              </w:tc>
              <w:tc>
                <w:tcPr>
                  <w:tcW w:w="850" w:type="pct"/>
                  <w:tcBorders>
                    <w:tl2br w:val="nil"/>
                    <w:tr2bl w:val="nil"/>
                  </w:tcBorders>
                  <w:vAlign w:val="center"/>
                </w:tcPr>
                <w:p w14:paraId="7C8D9427">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浓度(mg/L)</w:t>
                  </w:r>
                </w:p>
              </w:tc>
              <w:tc>
                <w:tcPr>
                  <w:tcW w:w="744" w:type="pct"/>
                  <w:tcBorders>
                    <w:tl2br w:val="nil"/>
                    <w:tr2bl w:val="nil"/>
                  </w:tcBorders>
                  <w:vAlign w:val="center"/>
                </w:tcPr>
                <w:p w14:paraId="274E1825">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排放量(t/a)</w:t>
                  </w:r>
                </w:p>
              </w:tc>
            </w:tr>
            <w:tr w14:paraId="63E079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59" w:type="pct"/>
                  <w:vMerge w:val="restart"/>
                  <w:tcBorders>
                    <w:tl2br w:val="nil"/>
                    <w:tr2bl w:val="nil"/>
                  </w:tcBorders>
                  <w:vAlign w:val="center"/>
                </w:tcPr>
                <w:p w14:paraId="619867DF">
                  <w:pPr>
                    <w:pStyle w:val="6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生活污水</w:t>
                  </w:r>
                </w:p>
              </w:tc>
              <w:tc>
                <w:tcPr>
                  <w:tcW w:w="526" w:type="pct"/>
                  <w:tcBorders>
                    <w:tl2br w:val="nil"/>
                    <w:tr2bl w:val="nil"/>
                  </w:tcBorders>
                  <w:vAlign w:val="center"/>
                </w:tcPr>
                <w:p w14:paraId="6D495522">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水量</w:t>
                  </w:r>
                </w:p>
              </w:tc>
              <w:tc>
                <w:tcPr>
                  <w:tcW w:w="685" w:type="pct"/>
                  <w:tcBorders>
                    <w:tl2br w:val="nil"/>
                    <w:tr2bl w:val="nil"/>
                  </w:tcBorders>
                  <w:vAlign w:val="center"/>
                </w:tcPr>
                <w:p w14:paraId="6674ECF9">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692" w:type="pct"/>
                  <w:tcBorders>
                    <w:tl2br w:val="nil"/>
                    <w:tr2bl w:val="nil"/>
                  </w:tcBorders>
                  <w:vAlign w:val="center"/>
                </w:tcPr>
                <w:p w14:paraId="11953F25">
                  <w:pPr>
                    <w:widowControl/>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680</w:t>
                  </w:r>
                </w:p>
              </w:tc>
              <w:tc>
                <w:tcPr>
                  <w:tcW w:w="462" w:type="pct"/>
                  <w:vMerge w:val="restart"/>
                  <w:tcBorders>
                    <w:tl2br w:val="nil"/>
                    <w:tr2bl w:val="nil"/>
                  </w:tcBorders>
                  <w:vAlign w:val="center"/>
                </w:tcPr>
                <w:p w14:paraId="67DE7024">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化粪池</w:t>
                  </w:r>
                </w:p>
              </w:tc>
              <w:tc>
                <w:tcPr>
                  <w:tcW w:w="579" w:type="pct"/>
                  <w:tcBorders>
                    <w:tl2br w:val="nil"/>
                    <w:tr2bl w:val="nil"/>
                  </w:tcBorders>
                  <w:vAlign w:val="center"/>
                </w:tcPr>
                <w:p w14:paraId="6AC4C4C7">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850" w:type="pct"/>
                  <w:tcBorders>
                    <w:tl2br w:val="nil"/>
                    <w:tr2bl w:val="nil"/>
                  </w:tcBorders>
                  <w:vAlign w:val="center"/>
                </w:tcPr>
                <w:p w14:paraId="4F38C65B">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44" w:type="pct"/>
                  <w:tcBorders>
                    <w:tl2br w:val="nil"/>
                    <w:tr2bl w:val="nil"/>
                  </w:tcBorders>
                  <w:vAlign w:val="center"/>
                </w:tcPr>
                <w:p w14:paraId="783C788B">
                  <w:pPr>
                    <w:pStyle w:val="6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680</w:t>
                  </w:r>
                </w:p>
              </w:tc>
            </w:tr>
            <w:tr w14:paraId="4FD7C8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continue"/>
                  <w:tcBorders>
                    <w:tl2br w:val="nil"/>
                    <w:tr2bl w:val="nil"/>
                  </w:tcBorders>
                  <w:vAlign w:val="center"/>
                </w:tcPr>
                <w:p w14:paraId="481C7EE3">
                  <w:pPr>
                    <w:pStyle w:val="69"/>
                    <w:jc w:val="center"/>
                    <w:rPr>
                      <w:rFonts w:hint="default" w:ascii="Times New Roman" w:hAnsi="Times New Roman" w:cs="Times New Roman"/>
                      <w:color w:val="auto"/>
                      <w:sz w:val="21"/>
                      <w:szCs w:val="21"/>
                    </w:rPr>
                  </w:pPr>
                </w:p>
              </w:tc>
              <w:tc>
                <w:tcPr>
                  <w:tcW w:w="526" w:type="pct"/>
                  <w:tcBorders>
                    <w:tl2br w:val="nil"/>
                    <w:tr2bl w:val="nil"/>
                  </w:tcBorders>
                  <w:vAlign w:val="center"/>
                </w:tcPr>
                <w:p w14:paraId="020B7B5F">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p>
              </w:tc>
              <w:tc>
                <w:tcPr>
                  <w:tcW w:w="685" w:type="pct"/>
                  <w:tcBorders>
                    <w:tl2br w:val="nil"/>
                    <w:tr2bl w:val="nil"/>
                  </w:tcBorders>
                  <w:vAlign w:val="center"/>
                </w:tcPr>
                <w:p w14:paraId="1362E88F">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350</w:t>
                  </w:r>
                </w:p>
              </w:tc>
              <w:tc>
                <w:tcPr>
                  <w:tcW w:w="692" w:type="pct"/>
                  <w:tcBorders>
                    <w:tl2br w:val="nil"/>
                    <w:tr2bl w:val="nil"/>
                  </w:tcBorders>
                  <w:vAlign w:val="center"/>
                </w:tcPr>
                <w:p w14:paraId="1409C90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0.238</w:t>
                  </w:r>
                </w:p>
              </w:tc>
              <w:tc>
                <w:tcPr>
                  <w:tcW w:w="462" w:type="pct"/>
                  <w:vMerge w:val="continue"/>
                  <w:tcBorders>
                    <w:tl2br w:val="nil"/>
                    <w:tr2bl w:val="nil"/>
                  </w:tcBorders>
                  <w:vAlign w:val="center"/>
                </w:tcPr>
                <w:p w14:paraId="27EB8468">
                  <w:pPr>
                    <w:pStyle w:val="69"/>
                    <w:jc w:val="center"/>
                    <w:rPr>
                      <w:rFonts w:hint="default" w:ascii="Times New Roman" w:hAnsi="Times New Roman" w:cs="Times New Roman"/>
                      <w:color w:val="auto"/>
                      <w:sz w:val="21"/>
                      <w:szCs w:val="21"/>
                    </w:rPr>
                  </w:pPr>
                </w:p>
              </w:tc>
              <w:tc>
                <w:tcPr>
                  <w:tcW w:w="579" w:type="pct"/>
                  <w:tcBorders>
                    <w:tl2br w:val="nil"/>
                    <w:tr2bl w:val="nil"/>
                  </w:tcBorders>
                  <w:vAlign w:val="center"/>
                </w:tcPr>
                <w:p w14:paraId="709854F6">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850" w:type="pct"/>
                  <w:tcBorders>
                    <w:tl2br w:val="nil"/>
                    <w:tr2bl w:val="nil"/>
                  </w:tcBorders>
                  <w:vAlign w:val="center"/>
                </w:tcPr>
                <w:p w14:paraId="44700BEC">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280</w:t>
                  </w:r>
                </w:p>
              </w:tc>
              <w:tc>
                <w:tcPr>
                  <w:tcW w:w="744" w:type="pct"/>
                  <w:tcBorders>
                    <w:tl2br w:val="nil"/>
                    <w:tr2bl w:val="nil"/>
                  </w:tcBorders>
                  <w:vAlign w:val="center"/>
                </w:tcPr>
                <w:p w14:paraId="2652E16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0.1904</w:t>
                  </w:r>
                </w:p>
              </w:tc>
            </w:tr>
            <w:tr w14:paraId="30746C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continue"/>
                  <w:tcBorders>
                    <w:tl2br w:val="nil"/>
                    <w:tr2bl w:val="nil"/>
                  </w:tcBorders>
                  <w:vAlign w:val="center"/>
                </w:tcPr>
                <w:p w14:paraId="120D5FDF">
                  <w:pPr>
                    <w:pStyle w:val="69"/>
                    <w:jc w:val="center"/>
                    <w:rPr>
                      <w:rFonts w:hint="default" w:ascii="Times New Roman" w:hAnsi="Times New Roman" w:cs="Times New Roman"/>
                      <w:color w:val="auto"/>
                      <w:sz w:val="21"/>
                      <w:szCs w:val="21"/>
                    </w:rPr>
                  </w:pPr>
                </w:p>
              </w:tc>
              <w:tc>
                <w:tcPr>
                  <w:tcW w:w="526" w:type="pct"/>
                  <w:tcBorders>
                    <w:tl2br w:val="nil"/>
                    <w:tr2bl w:val="nil"/>
                  </w:tcBorders>
                  <w:vAlign w:val="center"/>
                </w:tcPr>
                <w:p w14:paraId="4A9E6DC8">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BOD</w:t>
                  </w:r>
                  <w:r>
                    <w:rPr>
                      <w:rFonts w:hint="default" w:ascii="Times New Roman" w:hAnsi="Times New Roman" w:cs="Times New Roman"/>
                      <w:color w:val="auto"/>
                      <w:sz w:val="21"/>
                      <w:szCs w:val="21"/>
                      <w:vertAlign w:val="subscript"/>
                    </w:rPr>
                    <w:t>5</w:t>
                  </w:r>
                </w:p>
              </w:tc>
              <w:tc>
                <w:tcPr>
                  <w:tcW w:w="685" w:type="pct"/>
                  <w:tcBorders>
                    <w:tl2br w:val="nil"/>
                    <w:tr2bl w:val="nil"/>
                  </w:tcBorders>
                  <w:vAlign w:val="center"/>
                </w:tcPr>
                <w:p w14:paraId="58E872D5">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220</w:t>
                  </w:r>
                </w:p>
              </w:tc>
              <w:tc>
                <w:tcPr>
                  <w:tcW w:w="692" w:type="pct"/>
                  <w:tcBorders>
                    <w:tl2br w:val="nil"/>
                    <w:tr2bl w:val="nil"/>
                  </w:tcBorders>
                  <w:vAlign w:val="center"/>
                </w:tcPr>
                <w:p w14:paraId="25819FA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0.1496</w:t>
                  </w:r>
                </w:p>
              </w:tc>
              <w:tc>
                <w:tcPr>
                  <w:tcW w:w="462" w:type="pct"/>
                  <w:vMerge w:val="continue"/>
                  <w:tcBorders>
                    <w:tl2br w:val="nil"/>
                    <w:tr2bl w:val="nil"/>
                  </w:tcBorders>
                  <w:vAlign w:val="center"/>
                </w:tcPr>
                <w:p w14:paraId="0E8A75C2">
                  <w:pPr>
                    <w:pStyle w:val="69"/>
                    <w:jc w:val="center"/>
                    <w:rPr>
                      <w:rFonts w:hint="default" w:ascii="Times New Roman" w:hAnsi="Times New Roman" w:cs="Times New Roman"/>
                      <w:color w:val="auto"/>
                      <w:sz w:val="21"/>
                      <w:szCs w:val="21"/>
                    </w:rPr>
                  </w:pPr>
                </w:p>
              </w:tc>
              <w:tc>
                <w:tcPr>
                  <w:tcW w:w="579" w:type="pct"/>
                  <w:tcBorders>
                    <w:tl2br w:val="nil"/>
                    <w:tr2bl w:val="nil"/>
                  </w:tcBorders>
                  <w:vAlign w:val="center"/>
                </w:tcPr>
                <w:p w14:paraId="1FF48CFD">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850" w:type="pct"/>
                  <w:tcBorders>
                    <w:tl2br w:val="nil"/>
                    <w:tr2bl w:val="nil"/>
                  </w:tcBorders>
                  <w:vAlign w:val="center"/>
                </w:tcPr>
                <w:p w14:paraId="359C7CE9">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176</w:t>
                  </w:r>
                </w:p>
              </w:tc>
              <w:tc>
                <w:tcPr>
                  <w:tcW w:w="744" w:type="pct"/>
                  <w:tcBorders>
                    <w:tl2br w:val="nil"/>
                    <w:tr2bl w:val="nil"/>
                  </w:tcBorders>
                  <w:vAlign w:val="center"/>
                </w:tcPr>
                <w:p w14:paraId="1ADA974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0.11968</w:t>
                  </w:r>
                </w:p>
              </w:tc>
            </w:tr>
            <w:tr w14:paraId="68C138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continue"/>
                  <w:tcBorders>
                    <w:tl2br w:val="nil"/>
                    <w:tr2bl w:val="nil"/>
                  </w:tcBorders>
                  <w:vAlign w:val="center"/>
                </w:tcPr>
                <w:p w14:paraId="4F60DB20">
                  <w:pPr>
                    <w:pStyle w:val="69"/>
                    <w:jc w:val="center"/>
                    <w:rPr>
                      <w:rFonts w:hint="default" w:ascii="Times New Roman" w:hAnsi="Times New Roman" w:cs="Times New Roman"/>
                      <w:color w:val="auto"/>
                      <w:sz w:val="21"/>
                      <w:szCs w:val="21"/>
                    </w:rPr>
                  </w:pPr>
                </w:p>
              </w:tc>
              <w:tc>
                <w:tcPr>
                  <w:tcW w:w="526" w:type="pct"/>
                  <w:tcBorders>
                    <w:tl2br w:val="nil"/>
                    <w:tr2bl w:val="nil"/>
                  </w:tcBorders>
                  <w:vAlign w:val="center"/>
                </w:tcPr>
                <w:p w14:paraId="5E980A22">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t>
                  </w:r>
                </w:p>
              </w:tc>
              <w:tc>
                <w:tcPr>
                  <w:tcW w:w="685" w:type="pct"/>
                  <w:tcBorders>
                    <w:tl2br w:val="nil"/>
                    <w:tr2bl w:val="nil"/>
                  </w:tcBorders>
                  <w:vAlign w:val="center"/>
                </w:tcPr>
                <w:p w14:paraId="5CD885A0">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300</w:t>
                  </w:r>
                </w:p>
              </w:tc>
              <w:tc>
                <w:tcPr>
                  <w:tcW w:w="692" w:type="pct"/>
                  <w:tcBorders>
                    <w:tl2br w:val="nil"/>
                    <w:tr2bl w:val="nil"/>
                  </w:tcBorders>
                  <w:vAlign w:val="center"/>
                </w:tcPr>
                <w:p w14:paraId="3B60EBE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0.204</w:t>
                  </w:r>
                </w:p>
              </w:tc>
              <w:tc>
                <w:tcPr>
                  <w:tcW w:w="462" w:type="pct"/>
                  <w:vMerge w:val="continue"/>
                  <w:tcBorders>
                    <w:tl2br w:val="nil"/>
                    <w:tr2bl w:val="nil"/>
                  </w:tcBorders>
                  <w:vAlign w:val="center"/>
                </w:tcPr>
                <w:p w14:paraId="2AE8E86C">
                  <w:pPr>
                    <w:pStyle w:val="69"/>
                    <w:jc w:val="center"/>
                    <w:rPr>
                      <w:rFonts w:hint="default" w:ascii="Times New Roman" w:hAnsi="Times New Roman" w:cs="Times New Roman"/>
                      <w:color w:val="auto"/>
                      <w:sz w:val="21"/>
                      <w:szCs w:val="21"/>
                    </w:rPr>
                  </w:pPr>
                </w:p>
              </w:tc>
              <w:tc>
                <w:tcPr>
                  <w:tcW w:w="579" w:type="pct"/>
                  <w:tcBorders>
                    <w:tl2br w:val="nil"/>
                    <w:tr2bl w:val="nil"/>
                  </w:tcBorders>
                  <w:vAlign w:val="center"/>
                </w:tcPr>
                <w:p w14:paraId="00AA5C37">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850" w:type="pct"/>
                  <w:tcBorders>
                    <w:tl2br w:val="nil"/>
                    <w:tr2bl w:val="nil"/>
                  </w:tcBorders>
                  <w:vAlign w:val="center"/>
                </w:tcPr>
                <w:p w14:paraId="18A80586">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270</w:t>
                  </w:r>
                </w:p>
              </w:tc>
              <w:tc>
                <w:tcPr>
                  <w:tcW w:w="744" w:type="pct"/>
                  <w:tcBorders>
                    <w:tl2br w:val="nil"/>
                    <w:tr2bl w:val="nil"/>
                  </w:tcBorders>
                  <w:vAlign w:val="center"/>
                </w:tcPr>
                <w:p w14:paraId="6685F70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0.1836</w:t>
                  </w:r>
                </w:p>
              </w:tc>
            </w:tr>
            <w:tr w14:paraId="7D5ED2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continue"/>
                  <w:tcBorders>
                    <w:tl2br w:val="nil"/>
                    <w:tr2bl w:val="nil"/>
                  </w:tcBorders>
                  <w:vAlign w:val="center"/>
                </w:tcPr>
                <w:p w14:paraId="66A5BD0F">
                  <w:pPr>
                    <w:pStyle w:val="69"/>
                    <w:jc w:val="center"/>
                    <w:rPr>
                      <w:rFonts w:hint="default" w:ascii="Times New Roman" w:hAnsi="Times New Roman" w:cs="Times New Roman"/>
                      <w:color w:val="auto"/>
                      <w:sz w:val="21"/>
                      <w:szCs w:val="21"/>
                    </w:rPr>
                  </w:pPr>
                </w:p>
              </w:tc>
              <w:tc>
                <w:tcPr>
                  <w:tcW w:w="526" w:type="pct"/>
                  <w:tcBorders>
                    <w:tl2br w:val="nil"/>
                    <w:tr2bl w:val="nil"/>
                  </w:tcBorders>
                  <w:vAlign w:val="center"/>
                </w:tcPr>
                <w:p w14:paraId="43946FDD">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p>
              </w:tc>
              <w:tc>
                <w:tcPr>
                  <w:tcW w:w="685" w:type="pct"/>
                  <w:tcBorders>
                    <w:tl2br w:val="nil"/>
                    <w:tr2bl w:val="nil"/>
                  </w:tcBorders>
                  <w:vAlign w:val="center"/>
                </w:tcPr>
                <w:p w14:paraId="1FB0A6ED">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36</w:t>
                  </w:r>
                </w:p>
              </w:tc>
              <w:tc>
                <w:tcPr>
                  <w:tcW w:w="692" w:type="pct"/>
                  <w:tcBorders>
                    <w:tl2br w:val="nil"/>
                    <w:tr2bl w:val="nil"/>
                  </w:tcBorders>
                  <w:vAlign w:val="center"/>
                </w:tcPr>
                <w:p w14:paraId="0CBD6281">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0.02448</w:t>
                  </w:r>
                </w:p>
              </w:tc>
              <w:tc>
                <w:tcPr>
                  <w:tcW w:w="462" w:type="pct"/>
                  <w:vMerge w:val="continue"/>
                  <w:tcBorders>
                    <w:tl2br w:val="nil"/>
                    <w:tr2bl w:val="nil"/>
                  </w:tcBorders>
                  <w:vAlign w:val="center"/>
                </w:tcPr>
                <w:p w14:paraId="1CA21FB6">
                  <w:pPr>
                    <w:pStyle w:val="69"/>
                    <w:jc w:val="center"/>
                    <w:rPr>
                      <w:rFonts w:hint="default" w:ascii="Times New Roman" w:hAnsi="Times New Roman" w:cs="Times New Roman"/>
                      <w:color w:val="auto"/>
                      <w:sz w:val="21"/>
                      <w:szCs w:val="21"/>
                    </w:rPr>
                  </w:pPr>
                </w:p>
              </w:tc>
              <w:tc>
                <w:tcPr>
                  <w:tcW w:w="579" w:type="pct"/>
                  <w:tcBorders>
                    <w:tl2br w:val="nil"/>
                    <w:tr2bl w:val="nil"/>
                  </w:tcBorders>
                  <w:vAlign w:val="center"/>
                </w:tcPr>
                <w:p w14:paraId="1A7093B2">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850" w:type="pct"/>
                  <w:tcBorders>
                    <w:tl2br w:val="nil"/>
                    <w:tr2bl w:val="nil"/>
                  </w:tcBorders>
                  <w:vAlign w:val="center"/>
                </w:tcPr>
                <w:p w14:paraId="281F515F">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36</w:t>
                  </w:r>
                </w:p>
              </w:tc>
              <w:tc>
                <w:tcPr>
                  <w:tcW w:w="744" w:type="pct"/>
                  <w:tcBorders>
                    <w:tl2br w:val="nil"/>
                    <w:tr2bl w:val="nil"/>
                  </w:tcBorders>
                  <w:vAlign w:val="center"/>
                </w:tcPr>
                <w:p w14:paraId="2B8F7EBE">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0.02448</w:t>
                  </w:r>
                </w:p>
              </w:tc>
            </w:tr>
            <w:tr w14:paraId="662A4A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continue"/>
                  <w:tcBorders>
                    <w:tl2br w:val="nil"/>
                    <w:tr2bl w:val="nil"/>
                  </w:tcBorders>
                  <w:vAlign w:val="center"/>
                </w:tcPr>
                <w:p w14:paraId="568006AF">
                  <w:pPr>
                    <w:pStyle w:val="69"/>
                    <w:jc w:val="center"/>
                    <w:rPr>
                      <w:rFonts w:hint="default" w:ascii="Times New Roman" w:hAnsi="Times New Roman" w:cs="Times New Roman"/>
                      <w:color w:val="auto"/>
                      <w:sz w:val="21"/>
                      <w:szCs w:val="21"/>
                    </w:rPr>
                  </w:pPr>
                </w:p>
              </w:tc>
              <w:tc>
                <w:tcPr>
                  <w:tcW w:w="526" w:type="pct"/>
                  <w:tcBorders>
                    <w:tl2br w:val="nil"/>
                    <w:tr2bl w:val="nil"/>
                  </w:tcBorders>
                  <w:vAlign w:val="center"/>
                </w:tcPr>
                <w:p w14:paraId="2439F84D">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TN</w:t>
                  </w:r>
                </w:p>
              </w:tc>
              <w:tc>
                <w:tcPr>
                  <w:tcW w:w="685" w:type="pct"/>
                  <w:tcBorders>
                    <w:tl2br w:val="nil"/>
                    <w:tr2bl w:val="nil"/>
                  </w:tcBorders>
                  <w:vAlign w:val="center"/>
                </w:tcPr>
                <w:p w14:paraId="6AC96129">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w:t>
                  </w:r>
                </w:p>
              </w:tc>
              <w:tc>
                <w:tcPr>
                  <w:tcW w:w="692" w:type="pct"/>
                  <w:tcBorders>
                    <w:tl2br w:val="nil"/>
                    <w:tr2bl w:val="nil"/>
                  </w:tcBorders>
                  <w:vAlign w:val="center"/>
                </w:tcPr>
                <w:p w14:paraId="2958922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0.034</w:t>
                  </w:r>
                </w:p>
              </w:tc>
              <w:tc>
                <w:tcPr>
                  <w:tcW w:w="462" w:type="pct"/>
                  <w:vMerge w:val="continue"/>
                  <w:tcBorders>
                    <w:tl2br w:val="nil"/>
                    <w:tr2bl w:val="nil"/>
                  </w:tcBorders>
                  <w:vAlign w:val="center"/>
                </w:tcPr>
                <w:p w14:paraId="28D241BD">
                  <w:pPr>
                    <w:pStyle w:val="69"/>
                    <w:jc w:val="center"/>
                    <w:rPr>
                      <w:rFonts w:hint="default" w:ascii="Times New Roman" w:hAnsi="Times New Roman" w:cs="Times New Roman"/>
                      <w:color w:val="auto"/>
                      <w:sz w:val="21"/>
                      <w:szCs w:val="21"/>
                    </w:rPr>
                  </w:pPr>
                </w:p>
              </w:tc>
              <w:tc>
                <w:tcPr>
                  <w:tcW w:w="579" w:type="pct"/>
                  <w:tcBorders>
                    <w:tl2br w:val="nil"/>
                    <w:tr2bl w:val="nil"/>
                  </w:tcBorders>
                  <w:vAlign w:val="center"/>
                </w:tcPr>
                <w:p w14:paraId="1377C863">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850" w:type="pct"/>
                  <w:tcBorders>
                    <w:tl2br w:val="nil"/>
                    <w:tr2bl w:val="nil"/>
                  </w:tcBorders>
                  <w:vAlign w:val="center"/>
                </w:tcPr>
                <w:p w14:paraId="2C04CAD2">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w:t>
                  </w:r>
                </w:p>
              </w:tc>
              <w:tc>
                <w:tcPr>
                  <w:tcW w:w="744" w:type="pct"/>
                  <w:tcBorders>
                    <w:tl2br w:val="nil"/>
                    <w:tr2bl w:val="nil"/>
                  </w:tcBorders>
                  <w:vAlign w:val="center"/>
                </w:tcPr>
                <w:p w14:paraId="4802DC66">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0.034</w:t>
                  </w:r>
                </w:p>
              </w:tc>
            </w:tr>
            <w:tr w14:paraId="2A7144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continue"/>
                  <w:tcBorders>
                    <w:tl2br w:val="nil"/>
                    <w:tr2bl w:val="nil"/>
                  </w:tcBorders>
                  <w:vAlign w:val="center"/>
                </w:tcPr>
                <w:p w14:paraId="12D0D1A1">
                  <w:pPr>
                    <w:pStyle w:val="69"/>
                    <w:jc w:val="center"/>
                    <w:rPr>
                      <w:rFonts w:hint="default" w:ascii="Times New Roman" w:hAnsi="Times New Roman" w:cs="Times New Roman"/>
                      <w:color w:val="auto"/>
                      <w:sz w:val="21"/>
                      <w:szCs w:val="21"/>
                    </w:rPr>
                  </w:pPr>
                </w:p>
              </w:tc>
              <w:tc>
                <w:tcPr>
                  <w:tcW w:w="526" w:type="pct"/>
                  <w:tcBorders>
                    <w:tl2br w:val="nil"/>
                    <w:tr2bl w:val="nil"/>
                  </w:tcBorders>
                  <w:vAlign w:val="center"/>
                </w:tcPr>
                <w:p w14:paraId="1B682304">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TP</w:t>
                  </w:r>
                </w:p>
              </w:tc>
              <w:tc>
                <w:tcPr>
                  <w:tcW w:w="685" w:type="pct"/>
                  <w:tcBorders>
                    <w:tl2br w:val="nil"/>
                    <w:tr2bl w:val="nil"/>
                  </w:tcBorders>
                  <w:vAlign w:val="center"/>
                </w:tcPr>
                <w:p w14:paraId="15DD07A0">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692" w:type="pct"/>
                  <w:tcBorders>
                    <w:tl2br w:val="nil"/>
                    <w:tr2bl w:val="nil"/>
                  </w:tcBorders>
                  <w:vAlign w:val="center"/>
                </w:tcPr>
                <w:p w14:paraId="69359CC2">
                  <w:pPr>
                    <w:pStyle w:val="69"/>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0.0034</w:t>
                  </w:r>
                </w:p>
              </w:tc>
              <w:tc>
                <w:tcPr>
                  <w:tcW w:w="462" w:type="pct"/>
                  <w:vMerge w:val="continue"/>
                  <w:tcBorders>
                    <w:tl2br w:val="nil"/>
                    <w:tr2bl w:val="nil"/>
                  </w:tcBorders>
                  <w:vAlign w:val="center"/>
                </w:tcPr>
                <w:p w14:paraId="36C513FB">
                  <w:pPr>
                    <w:pStyle w:val="69"/>
                    <w:jc w:val="center"/>
                    <w:rPr>
                      <w:rFonts w:hint="default" w:ascii="Times New Roman" w:hAnsi="Times New Roman" w:cs="Times New Roman"/>
                      <w:color w:val="auto"/>
                      <w:sz w:val="21"/>
                      <w:szCs w:val="21"/>
                    </w:rPr>
                  </w:pPr>
                </w:p>
              </w:tc>
              <w:tc>
                <w:tcPr>
                  <w:tcW w:w="579" w:type="pct"/>
                  <w:tcBorders>
                    <w:tl2br w:val="nil"/>
                    <w:tr2bl w:val="nil"/>
                  </w:tcBorders>
                  <w:vAlign w:val="center"/>
                </w:tcPr>
                <w:p w14:paraId="1E6858FB">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850" w:type="pct"/>
                  <w:tcBorders>
                    <w:tl2br w:val="nil"/>
                    <w:tr2bl w:val="nil"/>
                  </w:tcBorders>
                  <w:vAlign w:val="center"/>
                </w:tcPr>
                <w:p w14:paraId="6C87C6A8">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744" w:type="pct"/>
                  <w:tcBorders>
                    <w:tl2br w:val="nil"/>
                    <w:tr2bl w:val="nil"/>
                  </w:tcBorders>
                  <w:vAlign w:val="center"/>
                </w:tcPr>
                <w:p w14:paraId="4564D39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0.0034</w:t>
                  </w:r>
                </w:p>
              </w:tc>
            </w:tr>
            <w:tr w14:paraId="3950E6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restart"/>
                  <w:tcBorders>
                    <w:tl2br w:val="nil"/>
                    <w:tr2bl w:val="nil"/>
                  </w:tcBorders>
                  <w:vAlign w:val="center"/>
                </w:tcPr>
                <w:p w14:paraId="68D8426D">
                  <w:pPr>
                    <w:pStyle w:val="69"/>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highlight w:val="none"/>
                      <w:lang w:val="en-US" w:eastAsia="zh-CN"/>
                    </w:rPr>
                    <w:t>器皿清洗废水</w:t>
                  </w:r>
                </w:p>
              </w:tc>
              <w:tc>
                <w:tcPr>
                  <w:tcW w:w="526" w:type="pct"/>
                  <w:tcBorders>
                    <w:tl2br w:val="nil"/>
                    <w:tr2bl w:val="nil"/>
                  </w:tcBorders>
                  <w:vAlign w:val="center"/>
                </w:tcPr>
                <w:p w14:paraId="08DE5034">
                  <w:pPr>
                    <w:pStyle w:val="6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水量</w:t>
                  </w:r>
                </w:p>
              </w:tc>
              <w:tc>
                <w:tcPr>
                  <w:tcW w:w="685" w:type="pct"/>
                  <w:tcBorders>
                    <w:tl2br w:val="nil"/>
                    <w:tr2bl w:val="nil"/>
                  </w:tcBorders>
                  <w:vAlign w:val="center"/>
                </w:tcPr>
                <w:p w14:paraId="782D86C9">
                  <w:pPr>
                    <w:pStyle w:val="69"/>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692" w:type="pct"/>
                  <w:tcBorders>
                    <w:tl2br w:val="nil"/>
                    <w:tr2bl w:val="nil"/>
                  </w:tcBorders>
                  <w:vAlign w:val="center"/>
                </w:tcPr>
                <w:p w14:paraId="7ED35362">
                  <w:pPr>
                    <w:pStyle w:val="69"/>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w:t>
                  </w:r>
                </w:p>
              </w:tc>
              <w:tc>
                <w:tcPr>
                  <w:tcW w:w="462" w:type="pct"/>
                  <w:vMerge w:val="restart"/>
                  <w:tcBorders>
                    <w:tl2br w:val="nil"/>
                    <w:tr2bl w:val="nil"/>
                  </w:tcBorders>
                  <w:vAlign w:val="center"/>
                </w:tcPr>
                <w:p w14:paraId="1CFB6AC0">
                  <w:pPr>
                    <w:pStyle w:val="6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沉淀池+化粪池</w:t>
                  </w:r>
                </w:p>
              </w:tc>
              <w:tc>
                <w:tcPr>
                  <w:tcW w:w="579" w:type="pct"/>
                  <w:tcBorders>
                    <w:tl2br w:val="nil"/>
                    <w:tr2bl w:val="nil"/>
                  </w:tcBorders>
                  <w:shd w:val="clear" w:color="auto" w:fill="auto"/>
                  <w:vAlign w:val="center"/>
                </w:tcPr>
                <w:p w14:paraId="31E7297F">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rPr>
                    <w:t>/</w:t>
                  </w:r>
                </w:p>
              </w:tc>
              <w:tc>
                <w:tcPr>
                  <w:tcW w:w="850" w:type="pct"/>
                  <w:tcBorders>
                    <w:tl2br w:val="nil"/>
                    <w:tr2bl w:val="nil"/>
                  </w:tcBorders>
                  <w:shd w:val="clear" w:color="auto" w:fill="auto"/>
                  <w:vAlign w:val="center"/>
                </w:tcPr>
                <w:p w14:paraId="798918C5">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rPr>
                    <w:t>/</w:t>
                  </w:r>
                </w:p>
              </w:tc>
              <w:tc>
                <w:tcPr>
                  <w:tcW w:w="744" w:type="pct"/>
                  <w:tcBorders>
                    <w:tl2br w:val="nil"/>
                    <w:tr2bl w:val="nil"/>
                  </w:tcBorders>
                  <w:shd w:val="clear" w:color="auto" w:fill="auto"/>
                  <w:vAlign w:val="center"/>
                </w:tcPr>
                <w:p w14:paraId="0C93BCAA">
                  <w:pPr>
                    <w:pStyle w:val="69"/>
                    <w:jc w:val="center"/>
                    <w:rPr>
                      <w:rFonts w:hint="default"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rPr>
                    <w:t>1.6</w:t>
                  </w:r>
                </w:p>
              </w:tc>
            </w:tr>
            <w:tr w14:paraId="172203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continue"/>
                  <w:tcBorders>
                    <w:tl2br w:val="nil"/>
                    <w:tr2bl w:val="nil"/>
                  </w:tcBorders>
                  <w:vAlign w:val="center"/>
                </w:tcPr>
                <w:p w14:paraId="65BB0BF2">
                  <w:pPr>
                    <w:pStyle w:val="69"/>
                    <w:jc w:val="center"/>
                    <w:rPr>
                      <w:rFonts w:hint="default" w:ascii="Times New Roman" w:hAnsi="Times New Roman" w:cs="Times New Roman"/>
                      <w:color w:val="auto"/>
                      <w:sz w:val="21"/>
                      <w:szCs w:val="21"/>
                    </w:rPr>
                  </w:pPr>
                </w:p>
              </w:tc>
              <w:tc>
                <w:tcPr>
                  <w:tcW w:w="526" w:type="pct"/>
                  <w:tcBorders>
                    <w:tl2br w:val="nil"/>
                    <w:tr2bl w:val="nil"/>
                  </w:tcBorders>
                  <w:vAlign w:val="center"/>
                </w:tcPr>
                <w:p w14:paraId="33DA4D02">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p>
              </w:tc>
              <w:tc>
                <w:tcPr>
                  <w:tcW w:w="685" w:type="pct"/>
                  <w:tcBorders>
                    <w:tl2br w:val="nil"/>
                    <w:tr2bl w:val="nil"/>
                  </w:tcBorders>
                  <w:vAlign w:val="center"/>
                </w:tcPr>
                <w:p w14:paraId="7B24D59A">
                  <w:pPr>
                    <w:pStyle w:val="6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c>
                <w:tcPr>
                  <w:tcW w:w="692" w:type="pct"/>
                  <w:tcBorders>
                    <w:tl2br w:val="nil"/>
                    <w:tr2bl w:val="nil"/>
                  </w:tcBorders>
                  <w:vAlign w:val="center"/>
                </w:tcPr>
                <w:p w14:paraId="448DC34C">
                  <w:pPr>
                    <w:keepNext w:val="0"/>
                    <w:keepLines w:val="0"/>
                    <w:widowControl/>
                    <w:suppressLineNumbers w:val="0"/>
                    <w:jc w:val="center"/>
                    <w:textAlignment w:val="center"/>
                    <w:rPr>
                      <w:rFonts w:hint="default" w:ascii="Times New Roman" w:hAnsi="Times New Roman" w:cs="Times New Roman"/>
                      <w:color w:val="auto"/>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0.000</w:t>
                  </w:r>
                  <w:r>
                    <w:rPr>
                      <w:rFonts w:hint="eastAsia" w:cs="Times New Roman"/>
                      <w:i w:val="0"/>
                      <w:iCs w:val="0"/>
                      <w:color w:val="auto"/>
                      <w:kern w:val="0"/>
                      <w:sz w:val="21"/>
                      <w:szCs w:val="21"/>
                      <w:u w:val="none"/>
                      <w:lang w:val="en-US" w:eastAsia="zh-CN" w:bidi="ar"/>
                    </w:rPr>
                    <w:t>08</w:t>
                  </w:r>
                </w:p>
              </w:tc>
              <w:tc>
                <w:tcPr>
                  <w:tcW w:w="462" w:type="pct"/>
                  <w:vMerge w:val="continue"/>
                  <w:tcBorders>
                    <w:tl2br w:val="nil"/>
                    <w:tr2bl w:val="nil"/>
                  </w:tcBorders>
                  <w:vAlign w:val="center"/>
                </w:tcPr>
                <w:p w14:paraId="14005DC7">
                  <w:pPr>
                    <w:pStyle w:val="69"/>
                    <w:jc w:val="center"/>
                    <w:rPr>
                      <w:rFonts w:hint="default" w:ascii="Times New Roman" w:hAnsi="Times New Roman" w:cs="Times New Roman"/>
                      <w:color w:val="auto"/>
                      <w:sz w:val="21"/>
                      <w:szCs w:val="21"/>
                    </w:rPr>
                  </w:pPr>
                </w:p>
              </w:tc>
              <w:tc>
                <w:tcPr>
                  <w:tcW w:w="579" w:type="pct"/>
                  <w:tcBorders>
                    <w:tl2br w:val="nil"/>
                    <w:tr2bl w:val="nil"/>
                  </w:tcBorders>
                  <w:vAlign w:val="center"/>
                </w:tcPr>
                <w:p w14:paraId="4C8FF39C">
                  <w:pPr>
                    <w:pStyle w:val="6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20</w:t>
                  </w:r>
                </w:p>
              </w:tc>
              <w:tc>
                <w:tcPr>
                  <w:tcW w:w="850" w:type="pct"/>
                  <w:tcBorders>
                    <w:tl2br w:val="nil"/>
                    <w:tr2bl w:val="nil"/>
                  </w:tcBorders>
                  <w:vAlign w:val="center"/>
                </w:tcPr>
                <w:p w14:paraId="60C631A8">
                  <w:pPr>
                    <w:pStyle w:val="69"/>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r>
                    <w:rPr>
                      <w:rFonts w:hint="default" w:ascii="Times New Roman" w:hAnsi="Times New Roman" w:cs="Times New Roman"/>
                      <w:color w:val="auto"/>
                      <w:sz w:val="21"/>
                      <w:szCs w:val="21"/>
                      <w:lang w:val="en-US" w:eastAsia="zh-CN"/>
                    </w:rPr>
                    <w:t>0</w:t>
                  </w:r>
                </w:p>
              </w:tc>
              <w:tc>
                <w:tcPr>
                  <w:tcW w:w="744" w:type="pct"/>
                  <w:tcBorders>
                    <w:tl2br w:val="nil"/>
                    <w:tr2bl w:val="nil"/>
                  </w:tcBorders>
                  <w:shd w:val="clear" w:color="auto" w:fill="auto"/>
                  <w:vAlign w:val="center"/>
                </w:tcPr>
                <w:p w14:paraId="365262F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0.0000</w:t>
                  </w:r>
                  <w:r>
                    <w:rPr>
                      <w:rFonts w:hint="eastAsia" w:cs="Times New Roman"/>
                      <w:i w:val="0"/>
                      <w:iCs w:val="0"/>
                      <w:color w:val="auto"/>
                      <w:kern w:val="0"/>
                      <w:sz w:val="21"/>
                      <w:szCs w:val="21"/>
                      <w:u w:val="none"/>
                      <w:lang w:val="en-US" w:eastAsia="zh-CN" w:bidi="ar"/>
                    </w:rPr>
                    <w:t>64</w:t>
                  </w:r>
                </w:p>
              </w:tc>
            </w:tr>
            <w:tr w14:paraId="738504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continue"/>
                  <w:tcBorders>
                    <w:tl2br w:val="nil"/>
                    <w:tr2bl w:val="nil"/>
                  </w:tcBorders>
                  <w:vAlign w:val="center"/>
                </w:tcPr>
                <w:p w14:paraId="29ED6D64">
                  <w:pPr>
                    <w:pStyle w:val="69"/>
                    <w:jc w:val="center"/>
                    <w:rPr>
                      <w:rFonts w:hint="default" w:ascii="Times New Roman" w:hAnsi="Times New Roman" w:cs="Times New Roman"/>
                      <w:color w:val="auto"/>
                      <w:sz w:val="21"/>
                      <w:szCs w:val="21"/>
                    </w:rPr>
                  </w:pPr>
                </w:p>
              </w:tc>
              <w:tc>
                <w:tcPr>
                  <w:tcW w:w="526" w:type="pct"/>
                  <w:tcBorders>
                    <w:tl2br w:val="nil"/>
                    <w:tr2bl w:val="nil"/>
                  </w:tcBorders>
                  <w:vAlign w:val="center"/>
                </w:tcPr>
                <w:p w14:paraId="49865693">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t>
                  </w:r>
                </w:p>
              </w:tc>
              <w:tc>
                <w:tcPr>
                  <w:tcW w:w="685" w:type="pct"/>
                  <w:tcBorders>
                    <w:tl2br w:val="nil"/>
                    <w:tr2bl w:val="nil"/>
                  </w:tcBorders>
                  <w:vAlign w:val="center"/>
                </w:tcPr>
                <w:p w14:paraId="7DECC642">
                  <w:pPr>
                    <w:pStyle w:val="6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30</w:t>
                  </w:r>
                </w:p>
              </w:tc>
              <w:tc>
                <w:tcPr>
                  <w:tcW w:w="692" w:type="pct"/>
                  <w:tcBorders>
                    <w:tl2br w:val="nil"/>
                    <w:tr2bl w:val="nil"/>
                  </w:tcBorders>
                  <w:vAlign w:val="center"/>
                </w:tcPr>
                <w:p w14:paraId="18ADE1ED">
                  <w:pPr>
                    <w:keepNext w:val="0"/>
                    <w:keepLines w:val="0"/>
                    <w:widowControl/>
                    <w:suppressLineNumbers w:val="0"/>
                    <w:jc w:val="center"/>
                    <w:textAlignment w:val="center"/>
                    <w:rPr>
                      <w:rFonts w:hint="default" w:ascii="Times New Roman" w:hAnsi="Times New Roman" w:cs="Times New Roman"/>
                      <w:color w:val="auto"/>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0.0000</w:t>
                  </w:r>
                  <w:r>
                    <w:rPr>
                      <w:rFonts w:hint="eastAsia" w:cs="Times New Roman"/>
                      <w:i w:val="0"/>
                      <w:iCs w:val="0"/>
                      <w:color w:val="auto"/>
                      <w:kern w:val="0"/>
                      <w:sz w:val="21"/>
                      <w:szCs w:val="21"/>
                      <w:u w:val="none"/>
                      <w:lang w:val="en-US" w:eastAsia="zh-CN" w:bidi="ar"/>
                    </w:rPr>
                    <w:t>48</w:t>
                  </w:r>
                </w:p>
              </w:tc>
              <w:tc>
                <w:tcPr>
                  <w:tcW w:w="462" w:type="pct"/>
                  <w:vMerge w:val="continue"/>
                  <w:tcBorders>
                    <w:tl2br w:val="nil"/>
                    <w:tr2bl w:val="nil"/>
                  </w:tcBorders>
                  <w:vAlign w:val="center"/>
                </w:tcPr>
                <w:p w14:paraId="3E73B64C">
                  <w:pPr>
                    <w:pStyle w:val="69"/>
                    <w:jc w:val="center"/>
                    <w:rPr>
                      <w:rFonts w:hint="default" w:ascii="Times New Roman" w:hAnsi="Times New Roman" w:cs="Times New Roman"/>
                      <w:color w:val="auto"/>
                      <w:sz w:val="21"/>
                      <w:szCs w:val="21"/>
                    </w:rPr>
                  </w:pPr>
                </w:p>
              </w:tc>
              <w:tc>
                <w:tcPr>
                  <w:tcW w:w="579" w:type="pct"/>
                  <w:tcBorders>
                    <w:tl2br w:val="nil"/>
                    <w:tr2bl w:val="nil"/>
                  </w:tcBorders>
                  <w:vAlign w:val="center"/>
                </w:tcPr>
                <w:p w14:paraId="75F7A334">
                  <w:pPr>
                    <w:pStyle w:val="6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40</w:t>
                  </w:r>
                </w:p>
              </w:tc>
              <w:tc>
                <w:tcPr>
                  <w:tcW w:w="850" w:type="pct"/>
                  <w:tcBorders>
                    <w:tl2br w:val="nil"/>
                    <w:tr2bl w:val="nil"/>
                  </w:tcBorders>
                  <w:vAlign w:val="center"/>
                </w:tcPr>
                <w:p w14:paraId="3F88DEC3">
                  <w:pPr>
                    <w:pStyle w:val="69"/>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18</w:t>
                  </w:r>
                </w:p>
              </w:tc>
              <w:tc>
                <w:tcPr>
                  <w:tcW w:w="744" w:type="pct"/>
                  <w:tcBorders>
                    <w:tl2br w:val="nil"/>
                    <w:tr2bl w:val="nil"/>
                  </w:tcBorders>
                  <w:shd w:val="clear" w:color="auto" w:fill="auto"/>
                  <w:vAlign w:val="center"/>
                </w:tcPr>
                <w:p w14:paraId="2846725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0.0000</w:t>
                  </w:r>
                  <w:r>
                    <w:rPr>
                      <w:rFonts w:hint="eastAsia" w:cs="Times New Roman"/>
                      <w:i w:val="0"/>
                      <w:iCs w:val="0"/>
                      <w:color w:val="auto"/>
                      <w:kern w:val="0"/>
                      <w:sz w:val="21"/>
                      <w:szCs w:val="21"/>
                      <w:u w:val="none"/>
                      <w:lang w:val="en-US" w:eastAsia="zh-CN" w:bidi="ar"/>
                    </w:rPr>
                    <w:t>288</w:t>
                  </w:r>
                </w:p>
              </w:tc>
            </w:tr>
            <w:tr w14:paraId="4DFFE0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restart"/>
                  <w:tcBorders>
                    <w:tl2br w:val="nil"/>
                    <w:tr2bl w:val="nil"/>
                  </w:tcBorders>
                  <w:vAlign w:val="center"/>
                </w:tcPr>
                <w:p w14:paraId="465AEF06">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val="en-US" w:eastAsia="zh-CN"/>
                    </w:rPr>
                    <w:t>物理检测废水</w:t>
                  </w:r>
                </w:p>
              </w:tc>
              <w:tc>
                <w:tcPr>
                  <w:tcW w:w="526" w:type="pct"/>
                  <w:tcBorders>
                    <w:tl2br w:val="nil"/>
                    <w:tr2bl w:val="nil"/>
                  </w:tcBorders>
                  <w:shd w:val="clear" w:color="auto" w:fill="auto"/>
                  <w:vAlign w:val="center"/>
                </w:tcPr>
                <w:p w14:paraId="5931D1C4">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水量</w:t>
                  </w:r>
                </w:p>
              </w:tc>
              <w:tc>
                <w:tcPr>
                  <w:tcW w:w="685" w:type="pct"/>
                  <w:tcBorders>
                    <w:tl2br w:val="nil"/>
                    <w:tr2bl w:val="nil"/>
                  </w:tcBorders>
                  <w:shd w:val="clear" w:color="auto" w:fill="auto"/>
                  <w:vAlign w:val="center"/>
                </w:tcPr>
                <w:p w14:paraId="05713CAE">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w:t>
                  </w:r>
                </w:p>
              </w:tc>
              <w:tc>
                <w:tcPr>
                  <w:tcW w:w="692" w:type="pct"/>
                  <w:tcBorders>
                    <w:tl2br w:val="nil"/>
                    <w:tr2bl w:val="nil"/>
                  </w:tcBorders>
                  <w:vAlign w:val="center"/>
                </w:tcPr>
                <w:p w14:paraId="67A92C05">
                  <w:pPr>
                    <w:pStyle w:val="6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462" w:type="pct"/>
                  <w:vMerge w:val="continue"/>
                  <w:tcBorders>
                    <w:tl2br w:val="nil"/>
                    <w:tr2bl w:val="nil"/>
                  </w:tcBorders>
                  <w:vAlign w:val="center"/>
                </w:tcPr>
                <w:p w14:paraId="394D474A">
                  <w:pPr>
                    <w:pStyle w:val="69"/>
                    <w:jc w:val="center"/>
                    <w:rPr>
                      <w:rFonts w:hint="default" w:ascii="Times New Roman" w:hAnsi="Times New Roman" w:cs="Times New Roman"/>
                      <w:color w:val="auto"/>
                      <w:sz w:val="21"/>
                      <w:szCs w:val="21"/>
                    </w:rPr>
                  </w:pPr>
                </w:p>
              </w:tc>
              <w:tc>
                <w:tcPr>
                  <w:tcW w:w="579" w:type="pct"/>
                  <w:tcBorders>
                    <w:tl2br w:val="nil"/>
                    <w:tr2bl w:val="nil"/>
                  </w:tcBorders>
                  <w:shd w:val="clear" w:color="auto" w:fill="auto"/>
                  <w:vAlign w:val="center"/>
                </w:tcPr>
                <w:p w14:paraId="2B39BD9E">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rPr>
                    <w:t>/</w:t>
                  </w:r>
                </w:p>
              </w:tc>
              <w:tc>
                <w:tcPr>
                  <w:tcW w:w="850" w:type="pct"/>
                  <w:tcBorders>
                    <w:tl2br w:val="nil"/>
                    <w:tr2bl w:val="nil"/>
                  </w:tcBorders>
                  <w:shd w:val="clear" w:color="auto" w:fill="auto"/>
                  <w:vAlign w:val="center"/>
                </w:tcPr>
                <w:p w14:paraId="167AEAFC">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rPr>
                    <w:t>/</w:t>
                  </w:r>
                </w:p>
              </w:tc>
              <w:tc>
                <w:tcPr>
                  <w:tcW w:w="744" w:type="pct"/>
                  <w:tcBorders>
                    <w:tl2br w:val="nil"/>
                    <w:tr2bl w:val="nil"/>
                  </w:tcBorders>
                  <w:shd w:val="clear" w:color="auto" w:fill="auto"/>
                  <w:vAlign w:val="center"/>
                </w:tcPr>
                <w:p w14:paraId="57C94DE1">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10</w:t>
                  </w:r>
                </w:p>
              </w:tc>
            </w:tr>
            <w:tr w14:paraId="36E75E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continue"/>
                  <w:tcBorders>
                    <w:tl2br w:val="nil"/>
                    <w:tr2bl w:val="nil"/>
                  </w:tcBorders>
                  <w:vAlign w:val="center"/>
                </w:tcPr>
                <w:p w14:paraId="1D443E29">
                  <w:pPr>
                    <w:pStyle w:val="69"/>
                    <w:jc w:val="center"/>
                    <w:rPr>
                      <w:rFonts w:hint="default" w:ascii="Times New Roman" w:hAnsi="Times New Roman" w:cs="Times New Roman"/>
                      <w:color w:val="auto"/>
                      <w:sz w:val="21"/>
                      <w:szCs w:val="21"/>
                    </w:rPr>
                  </w:pPr>
                </w:p>
              </w:tc>
              <w:tc>
                <w:tcPr>
                  <w:tcW w:w="526" w:type="pct"/>
                  <w:tcBorders>
                    <w:tl2br w:val="nil"/>
                    <w:tr2bl w:val="nil"/>
                  </w:tcBorders>
                  <w:shd w:val="clear" w:color="auto" w:fill="auto"/>
                  <w:vAlign w:val="center"/>
                </w:tcPr>
                <w:p w14:paraId="03357E14">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rPr>
                    <w:t>SS</w:t>
                  </w:r>
                </w:p>
              </w:tc>
              <w:tc>
                <w:tcPr>
                  <w:tcW w:w="685" w:type="pct"/>
                  <w:tcBorders>
                    <w:tl2br w:val="nil"/>
                    <w:tr2bl w:val="nil"/>
                  </w:tcBorders>
                  <w:shd w:val="clear" w:color="auto" w:fill="auto"/>
                  <w:vAlign w:val="center"/>
                </w:tcPr>
                <w:p w14:paraId="0E1D9C47">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100</w:t>
                  </w:r>
                </w:p>
              </w:tc>
              <w:tc>
                <w:tcPr>
                  <w:tcW w:w="692" w:type="pct"/>
                  <w:tcBorders>
                    <w:tl2br w:val="nil"/>
                    <w:tr2bl w:val="nil"/>
                  </w:tcBorders>
                  <w:vAlign w:val="center"/>
                </w:tcPr>
                <w:p w14:paraId="393F05FA">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0.001</w:t>
                  </w:r>
                </w:p>
              </w:tc>
              <w:tc>
                <w:tcPr>
                  <w:tcW w:w="462" w:type="pct"/>
                  <w:vMerge w:val="continue"/>
                  <w:tcBorders>
                    <w:tl2br w:val="nil"/>
                    <w:tr2bl w:val="nil"/>
                  </w:tcBorders>
                  <w:vAlign w:val="center"/>
                </w:tcPr>
                <w:p w14:paraId="6AF49A99">
                  <w:pPr>
                    <w:pStyle w:val="69"/>
                    <w:jc w:val="center"/>
                    <w:rPr>
                      <w:rFonts w:hint="default" w:ascii="Times New Roman" w:hAnsi="Times New Roman" w:cs="Times New Roman"/>
                      <w:color w:val="auto"/>
                      <w:sz w:val="21"/>
                      <w:szCs w:val="21"/>
                    </w:rPr>
                  </w:pPr>
                </w:p>
              </w:tc>
              <w:tc>
                <w:tcPr>
                  <w:tcW w:w="579" w:type="pct"/>
                  <w:tcBorders>
                    <w:tl2br w:val="nil"/>
                    <w:tr2bl w:val="nil"/>
                  </w:tcBorders>
                  <w:shd w:val="clear" w:color="auto" w:fill="auto"/>
                  <w:vAlign w:val="center"/>
                </w:tcPr>
                <w:p w14:paraId="07A64668">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40</w:t>
                  </w:r>
                </w:p>
              </w:tc>
              <w:tc>
                <w:tcPr>
                  <w:tcW w:w="850" w:type="pct"/>
                  <w:tcBorders>
                    <w:tl2br w:val="nil"/>
                    <w:tr2bl w:val="nil"/>
                  </w:tcBorders>
                  <w:shd w:val="clear" w:color="auto" w:fill="auto"/>
                  <w:vAlign w:val="center"/>
                </w:tcPr>
                <w:p w14:paraId="16D3BE0F">
                  <w:pPr>
                    <w:pStyle w:val="69"/>
                    <w:jc w:val="center"/>
                    <w:rPr>
                      <w:rFonts w:hint="default"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rPr>
                    <w:t>60</w:t>
                  </w:r>
                </w:p>
              </w:tc>
              <w:tc>
                <w:tcPr>
                  <w:tcW w:w="744" w:type="pct"/>
                  <w:tcBorders>
                    <w:tl2br w:val="nil"/>
                    <w:tr2bl w:val="nil"/>
                  </w:tcBorders>
                  <w:shd w:val="clear" w:color="auto" w:fill="auto"/>
                  <w:vAlign w:val="center"/>
                </w:tcPr>
                <w:p w14:paraId="76A09392">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0.000</w:t>
                  </w:r>
                  <w:r>
                    <w:rPr>
                      <w:rFonts w:hint="eastAsia" w:cs="Times New Roman"/>
                      <w:i w:val="0"/>
                      <w:iCs w:val="0"/>
                      <w:color w:val="auto"/>
                      <w:kern w:val="0"/>
                      <w:sz w:val="21"/>
                      <w:szCs w:val="21"/>
                      <w:u w:val="none"/>
                      <w:lang w:val="en-US" w:eastAsia="zh-CN" w:bidi="ar"/>
                    </w:rPr>
                    <w:t>6</w:t>
                  </w:r>
                </w:p>
              </w:tc>
            </w:tr>
            <w:tr w14:paraId="1B8BC5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restart"/>
                  <w:tcBorders>
                    <w:tl2br w:val="nil"/>
                    <w:tr2bl w:val="nil"/>
                  </w:tcBorders>
                  <w:vAlign w:val="center"/>
                </w:tcPr>
                <w:p w14:paraId="61E72749">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val="en-US" w:eastAsia="zh-CN"/>
                    </w:rPr>
                    <w:t>清洁废水</w:t>
                  </w:r>
                </w:p>
              </w:tc>
              <w:tc>
                <w:tcPr>
                  <w:tcW w:w="526" w:type="pct"/>
                  <w:tcBorders>
                    <w:tl2br w:val="nil"/>
                    <w:tr2bl w:val="nil"/>
                  </w:tcBorders>
                  <w:shd w:val="clear" w:color="auto" w:fill="auto"/>
                  <w:vAlign w:val="center"/>
                </w:tcPr>
                <w:p w14:paraId="34E2C403">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水量</w:t>
                  </w:r>
                </w:p>
              </w:tc>
              <w:tc>
                <w:tcPr>
                  <w:tcW w:w="685" w:type="pct"/>
                  <w:tcBorders>
                    <w:tl2br w:val="nil"/>
                    <w:tr2bl w:val="nil"/>
                  </w:tcBorders>
                  <w:shd w:val="clear" w:color="auto" w:fill="auto"/>
                  <w:vAlign w:val="center"/>
                </w:tcPr>
                <w:p w14:paraId="16768841">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w:t>
                  </w:r>
                </w:p>
              </w:tc>
              <w:tc>
                <w:tcPr>
                  <w:tcW w:w="692" w:type="pct"/>
                  <w:tcBorders>
                    <w:tl2br w:val="nil"/>
                    <w:tr2bl w:val="nil"/>
                  </w:tcBorders>
                  <w:vAlign w:val="center"/>
                </w:tcPr>
                <w:p w14:paraId="47245606">
                  <w:pPr>
                    <w:pStyle w:val="6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12.8</w:t>
                  </w:r>
                </w:p>
              </w:tc>
              <w:tc>
                <w:tcPr>
                  <w:tcW w:w="462" w:type="pct"/>
                  <w:vMerge w:val="continue"/>
                  <w:tcBorders>
                    <w:tl2br w:val="nil"/>
                    <w:tr2bl w:val="nil"/>
                  </w:tcBorders>
                  <w:vAlign w:val="center"/>
                </w:tcPr>
                <w:p w14:paraId="36C53984">
                  <w:pPr>
                    <w:pStyle w:val="69"/>
                    <w:jc w:val="center"/>
                    <w:rPr>
                      <w:rFonts w:hint="default" w:ascii="Times New Roman" w:hAnsi="Times New Roman" w:cs="Times New Roman"/>
                      <w:color w:val="auto"/>
                      <w:sz w:val="21"/>
                      <w:szCs w:val="21"/>
                    </w:rPr>
                  </w:pPr>
                </w:p>
              </w:tc>
              <w:tc>
                <w:tcPr>
                  <w:tcW w:w="579" w:type="pct"/>
                  <w:tcBorders>
                    <w:tl2br w:val="nil"/>
                    <w:tr2bl w:val="nil"/>
                  </w:tcBorders>
                  <w:shd w:val="clear" w:color="auto" w:fill="auto"/>
                  <w:vAlign w:val="center"/>
                </w:tcPr>
                <w:p w14:paraId="1122F7EE">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rPr>
                    <w:t>/</w:t>
                  </w:r>
                </w:p>
              </w:tc>
              <w:tc>
                <w:tcPr>
                  <w:tcW w:w="850" w:type="pct"/>
                  <w:tcBorders>
                    <w:tl2br w:val="nil"/>
                    <w:tr2bl w:val="nil"/>
                  </w:tcBorders>
                  <w:shd w:val="clear" w:color="auto" w:fill="auto"/>
                  <w:vAlign w:val="center"/>
                </w:tcPr>
                <w:p w14:paraId="74965B31">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rPr>
                    <w:t>/</w:t>
                  </w:r>
                </w:p>
              </w:tc>
              <w:tc>
                <w:tcPr>
                  <w:tcW w:w="744" w:type="pct"/>
                  <w:tcBorders>
                    <w:tl2br w:val="nil"/>
                    <w:tr2bl w:val="nil"/>
                  </w:tcBorders>
                  <w:shd w:val="clear" w:color="auto" w:fill="auto"/>
                  <w:vAlign w:val="center"/>
                </w:tcPr>
                <w:p w14:paraId="3527E6B9">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12.8</w:t>
                  </w:r>
                </w:p>
              </w:tc>
            </w:tr>
            <w:tr w14:paraId="347ABA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continue"/>
                  <w:tcBorders>
                    <w:tl2br w:val="nil"/>
                    <w:tr2bl w:val="nil"/>
                  </w:tcBorders>
                  <w:vAlign w:val="center"/>
                </w:tcPr>
                <w:p w14:paraId="54C14A27">
                  <w:pPr>
                    <w:pStyle w:val="69"/>
                    <w:jc w:val="center"/>
                    <w:rPr>
                      <w:rFonts w:hint="default" w:ascii="Times New Roman" w:hAnsi="Times New Roman" w:cs="Times New Roman"/>
                      <w:color w:val="auto"/>
                      <w:sz w:val="21"/>
                      <w:szCs w:val="21"/>
                    </w:rPr>
                  </w:pPr>
                </w:p>
              </w:tc>
              <w:tc>
                <w:tcPr>
                  <w:tcW w:w="526" w:type="pct"/>
                  <w:tcBorders>
                    <w:tl2br w:val="nil"/>
                    <w:tr2bl w:val="nil"/>
                  </w:tcBorders>
                  <w:shd w:val="clear" w:color="auto" w:fill="auto"/>
                  <w:vAlign w:val="center"/>
                </w:tcPr>
                <w:p w14:paraId="0846097F">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rPr>
                    <w:t>COD</w:t>
                  </w:r>
                </w:p>
              </w:tc>
              <w:tc>
                <w:tcPr>
                  <w:tcW w:w="685" w:type="pct"/>
                  <w:tcBorders>
                    <w:tl2br w:val="nil"/>
                    <w:tr2bl w:val="nil"/>
                  </w:tcBorders>
                  <w:shd w:val="clear" w:color="auto" w:fill="auto"/>
                  <w:vAlign w:val="center"/>
                </w:tcPr>
                <w:p w14:paraId="33CDA9A1">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100</w:t>
                  </w:r>
                </w:p>
              </w:tc>
              <w:tc>
                <w:tcPr>
                  <w:tcW w:w="692" w:type="pct"/>
                  <w:tcBorders>
                    <w:tl2br w:val="nil"/>
                    <w:tr2bl w:val="nil"/>
                  </w:tcBorders>
                  <w:vAlign w:val="center"/>
                </w:tcPr>
                <w:p w14:paraId="08B629BC">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0.00128</w:t>
                  </w:r>
                </w:p>
              </w:tc>
              <w:tc>
                <w:tcPr>
                  <w:tcW w:w="462" w:type="pct"/>
                  <w:vMerge w:val="continue"/>
                  <w:tcBorders>
                    <w:tl2br w:val="nil"/>
                    <w:tr2bl w:val="nil"/>
                  </w:tcBorders>
                  <w:vAlign w:val="center"/>
                </w:tcPr>
                <w:p w14:paraId="7ED306F5">
                  <w:pPr>
                    <w:pStyle w:val="69"/>
                    <w:jc w:val="center"/>
                    <w:rPr>
                      <w:rFonts w:hint="default" w:ascii="Times New Roman" w:hAnsi="Times New Roman" w:cs="Times New Roman"/>
                      <w:color w:val="auto"/>
                      <w:sz w:val="21"/>
                      <w:szCs w:val="21"/>
                    </w:rPr>
                  </w:pPr>
                </w:p>
              </w:tc>
              <w:tc>
                <w:tcPr>
                  <w:tcW w:w="579" w:type="pct"/>
                  <w:tcBorders>
                    <w:tl2br w:val="nil"/>
                    <w:tr2bl w:val="nil"/>
                  </w:tcBorders>
                  <w:shd w:val="clear" w:color="auto" w:fill="auto"/>
                  <w:vAlign w:val="center"/>
                </w:tcPr>
                <w:p w14:paraId="22E1B995">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20</w:t>
                  </w:r>
                </w:p>
              </w:tc>
              <w:tc>
                <w:tcPr>
                  <w:tcW w:w="850" w:type="pct"/>
                  <w:tcBorders>
                    <w:tl2br w:val="nil"/>
                    <w:tr2bl w:val="nil"/>
                  </w:tcBorders>
                  <w:shd w:val="clear" w:color="auto" w:fill="auto"/>
                  <w:vAlign w:val="center"/>
                </w:tcPr>
                <w:p w14:paraId="6D89492F">
                  <w:pPr>
                    <w:pStyle w:val="69"/>
                    <w:jc w:val="center"/>
                    <w:rPr>
                      <w:rFonts w:hint="default"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rPr>
                    <w:t>80</w:t>
                  </w:r>
                </w:p>
              </w:tc>
              <w:tc>
                <w:tcPr>
                  <w:tcW w:w="744" w:type="pct"/>
                  <w:tcBorders>
                    <w:tl2br w:val="nil"/>
                    <w:tr2bl w:val="nil"/>
                  </w:tcBorders>
                  <w:shd w:val="clear" w:color="auto" w:fill="auto"/>
                  <w:vAlign w:val="center"/>
                </w:tcPr>
                <w:p w14:paraId="1305864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w:t>
                  </w:r>
                  <w:r>
                    <w:rPr>
                      <w:rFonts w:hint="eastAsia" w:cs="Times New Roman"/>
                      <w:i w:val="0"/>
                      <w:iCs w:val="0"/>
                      <w:color w:val="auto"/>
                      <w:kern w:val="0"/>
                      <w:sz w:val="21"/>
                      <w:szCs w:val="21"/>
                      <w:u w:val="none"/>
                      <w:lang w:val="en-US" w:eastAsia="zh-CN" w:bidi="ar"/>
                    </w:rPr>
                    <w:t>1024</w:t>
                  </w:r>
                </w:p>
              </w:tc>
            </w:tr>
            <w:tr w14:paraId="59BAC4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59" w:type="pct"/>
                  <w:vMerge w:val="continue"/>
                  <w:tcBorders>
                    <w:tl2br w:val="nil"/>
                    <w:tr2bl w:val="nil"/>
                  </w:tcBorders>
                  <w:vAlign w:val="center"/>
                </w:tcPr>
                <w:p w14:paraId="7A6CC00B">
                  <w:pPr>
                    <w:pStyle w:val="69"/>
                    <w:jc w:val="center"/>
                    <w:rPr>
                      <w:rFonts w:hint="default" w:ascii="Times New Roman" w:hAnsi="Times New Roman" w:cs="Times New Roman"/>
                      <w:color w:val="auto"/>
                      <w:sz w:val="21"/>
                      <w:szCs w:val="21"/>
                    </w:rPr>
                  </w:pPr>
                </w:p>
              </w:tc>
              <w:tc>
                <w:tcPr>
                  <w:tcW w:w="526" w:type="pct"/>
                  <w:tcBorders>
                    <w:tl2br w:val="nil"/>
                    <w:tr2bl w:val="nil"/>
                  </w:tcBorders>
                  <w:shd w:val="clear" w:color="auto" w:fill="auto"/>
                  <w:vAlign w:val="center"/>
                </w:tcPr>
                <w:p w14:paraId="59348A4D">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rPr>
                    <w:t>SS</w:t>
                  </w:r>
                </w:p>
              </w:tc>
              <w:tc>
                <w:tcPr>
                  <w:tcW w:w="685" w:type="pct"/>
                  <w:tcBorders>
                    <w:tl2br w:val="nil"/>
                    <w:tr2bl w:val="nil"/>
                  </w:tcBorders>
                  <w:shd w:val="clear" w:color="auto" w:fill="auto"/>
                  <w:vAlign w:val="center"/>
                </w:tcPr>
                <w:p w14:paraId="7780EFDB">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300</w:t>
                  </w:r>
                </w:p>
              </w:tc>
              <w:tc>
                <w:tcPr>
                  <w:tcW w:w="692" w:type="pct"/>
                  <w:tcBorders>
                    <w:tl2br w:val="nil"/>
                    <w:tr2bl w:val="nil"/>
                  </w:tcBorders>
                  <w:vAlign w:val="center"/>
                </w:tcPr>
                <w:p w14:paraId="18830CF4">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0.00384</w:t>
                  </w:r>
                </w:p>
              </w:tc>
              <w:tc>
                <w:tcPr>
                  <w:tcW w:w="462" w:type="pct"/>
                  <w:vMerge w:val="continue"/>
                  <w:tcBorders>
                    <w:tl2br w:val="nil"/>
                    <w:tr2bl w:val="nil"/>
                  </w:tcBorders>
                  <w:vAlign w:val="center"/>
                </w:tcPr>
                <w:p w14:paraId="6A789B55">
                  <w:pPr>
                    <w:pStyle w:val="69"/>
                    <w:jc w:val="center"/>
                    <w:rPr>
                      <w:rFonts w:hint="default" w:ascii="Times New Roman" w:hAnsi="Times New Roman" w:cs="Times New Roman"/>
                      <w:color w:val="auto"/>
                      <w:sz w:val="21"/>
                      <w:szCs w:val="21"/>
                    </w:rPr>
                  </w:pPr>
                </w:p>
              </w:tc>
              <w:tc>
                <w:tcPr>
                  <w:tcW w:w="579" w:type="pct"/>
                  <w:tcBorders>
                    <w:tl2br w:val="nil"/>
                    <w:tr2bl w:val="nil"/>
                  </w:tcBorders>
                  <w:shd w:val="clear" w:color="auto" w:fill="auto"/>
                  <w:vAlign w:val="center"/>
                </w:tcPr>
                <w:p w14:paraId="37960915">
                  <w:pPr>
                    <w:pStyle w:val="69"/>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lang w:val="en-US" w:eastAsia="zh-CN"/>
                    </w:rPr>
                    <w:t>40</w:t>
                  </w:r>
                </w:p>
              </w:tc>
              <w:tc>
                <w:tcPr>
                  <w:tcW w:w="850" w:type="pct"/>
                  <w:tcBorders>
                    <w:tl2br w:val="nil"/>
                    <w:tr2bl w:val="nil"/>
                  </w:tcBorders>
                  <w:shd w:val="clear" w:color="auto" w:fill="auto"/>
                  <w:vAlign w:val="center"/>
                </w:tcPr>
                <w:p w14:paraId="5DBBF715">
                  <w:pPr>
                    <w:pStyle w:val="69"/>
                    <w:jc w:val="center"/>
                    <w:rPr>
                      <w:rFonts w:hint="default"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rPr>
                    <w:t>180</w:t>
                  </w:r>
                </w:p>
              </w:tc>
              <w:tc>
                <w:tcPr>
                  <w:tcW w:w="744" w:type="pct"/>
                  <w:tcBorders>
                    <w:tl2br w:val="nil"/>
                    <w:tr2bl w:val="nil"/>
                  </w:tcBorders>
                  <w:shd w:val="clear" w:color="auto" w:fill="auto"/>
                  <w:vAlign w:val="center"/>
                </w:tcPr>
                <w:p w14:paraId="55F9872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w:t>
                  </w:r>
                  <w:r>
                    <w:rPr>
                      <w:rFonts w:hint="eastAsia" w:cs="Times New Roman"/>
                      <w:i w:val="0"/>
                      <w:iCs w:val="0"/>
                      <w:color w:val="auto"/>
                      <w:kern w:val="0"/>
                      <w:sz w:val="21"/>
                      <w:szCs w:val="21"/>
                      <w:u w:val="none"/>
                      <w:lang w:val="en-US" w:eastAsia="zh-CN" w:bidi="ar"/>
                    </w:rPr>
                    <w:t>2304</w:t>
                  </w:r>
                </w:p>
              </w:tc>
            </w:tr>
          </w:tbl>
          <w:p w14:paraId="456EAC0D">
            <w:pPr>
              <w:pStyle w:val="40"/>
              <w:widowControl/>
              <w:spacing w:before="0" w:beforeLines="0" w:line="24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auto"/>
                <w:kern w:val="2"/>
                <w:sz w:val="24"/>
                <w:szCs w:val="24"/>
                <w:lang w:val="en-US" w:eastAsia="zh-CN" w:bidi="ar-SA"/>
              </w:rPr>
              <w:t>由此，可得全公司污水</w:t>
            </w:r>
            <w:r>
              <w:rPr>
                <w:rFonts w:hint="eastAsia" w:eastAsia="宋体" w:cs="Times New Roman"/>
                <w:bCs/>
                <w:color w:val="auto"/>
                <w:kern w:val="2"/>
                <w:sz w:val="24"/>
                <w:szCs w:val="24"/>
                <w:lang w:val="en-US" w:eastAsia="zh-CN" w:bidi="ar-SA"/>
              </w:rPr>
              <w:t>产排</w:t>
            </w:r>
            <w:r>
              <w:rPr>
                <w:rFonts w:hint="eastAsia" w:ascii="Times New Roman" w:hAnsi="Times New Roman" w:eastAsia="宋体" w:cs="Times New Roman"/>
                <w:bCs/>
                <w:color w:val="auto"/>
                <w:kern w:val="2"/>
                <w:sz w:val="24"/>
                <w:szCs w:val="24"/>
                <w:lang w:val="en-US" w:eastAsia="zh-CN" w:bidi="ar-SA"/>
              </w:rPr>
              <w:t>情况，见下表所示。</w:t>
            </w:r>
          </w:p>
          <w:p w14:paraId="0CA399A8">
            <w:pPr>
              <w:pStyle w:val="40"/>
              <w:widowControl/>
              <w:spacing w:before="0" w:beforeLines="0" w:line="240" w:lineRule="auto"/>
              <w:rPr>
                <w:rFonts w:eastAsia="宋体"/>
                <w:b/>
                <w:bCs/>
                <w:color w:val="auto"/>
              </w:rPr>
            </w:pPr>
            <w:r>
              <w:rPr>
                <w:rFonts w:eastAsia="宋体"/>
                <w:b/>
                <w:bCs/>
                <w:color w:val="auto"/>
              </w:rPr>
              <w:t>表</w:t>
            </w:r>
            <w:r>
              <w:rPr>
                <w:rFonts w:hint="eastAsia" w:eastAsia="宋体"/>
                <w:b/>
                <w:bCs/>
                <w:color w:val="auto"/>
              </w:rPr>
              <w:t>4-</w:t>
            </w:r>
            <w:r>
              <w:rPr>
                <w:rFonts w:hint="eastAsia" w:eastAsia="宋体"/>
                <w:b/>
                <w:bCs/>
                <w:color w:val="auto"/>
                <w:lang w:val="en-US" w:eastAsia="zh-CN"/>
              </w:rPr>
              <w:t>2</w:t>
            </w:r>
            <w:r>
              <w:rPr>
                <w:rFonts w:eastAsia="宋体"/>
                <w:b/>
                <w:bCs/>
                <w:color w:val="auto"/>
              </w:rPr>
              <w:t xml:space="preserve"> </w:t>
            </w:r>
            <w:r>
              <w:rPr>
                <w:rFonts w:hint="eastAsia" w:eastAsia="宋体"/>
                <w:b/>
                <w:bCs/>
                <w:color w:val="auto"/>
              </w:rPr>
              <w:t xml:space="preserve"> 全</w:t>
            </w:r>
            <w:r>
              <w:rPr>
                <w:rFonts w:hint="eastAsia" w:eastAsia="宋体"/>
                <w:b/>
                <w:bCs/>
                <w:color w:val="auto"/>
                <w:lang w:val="en-US" w:eastAsia="zh-CN"/>
              </w:rPr>
              <w:t>公司</w:t>
            </w:r>
            <w:r>
              <w:rPr>
                <w:rFonts w:eastAsia="宋体"/>
                <w:b/>
                <w:bCs/>
                <w:color w:val="auto"/>
              </w:rPr>
              <w:t>污水产排情况</w:t>
            </w:r>
            <w:r>
              <w:rPr>
                <w:rFonts w:hint="eastAsia" w:eastAsia="宋体"/>
                <w:b/>
                <w:bCs/>
                <w:color w:val="auto"/>
              </w:rPr>
              <w:t>一览表</w:t>
            </w:r>
          </w:p>
          <w:tbl>
            <w:tblPr>
              <w:tblStyle w:val="2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7"/>
              <w:gridCol w:w="1266"/>
              <w:gridCol w:w="1290"/>
              <w:gridCol w:w="1304"/>
              <w:gridCol w:w="1216"/>
              <w:gridCol w:w="1233"/>
              <w:gridCol w:w="1448"/>
            </w:tblGrid>
            <w:tr w14:paraId="5BB695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vMerge w:val="restart"/>
                  <w:tcBorders>
                    <w:tl2br w:val="nil"/>
                    <w:tr2bl w:val="nil"/>
                  </w:tcBorders>
                  <w:vAlign w:val="center"/>
                </w:tcPr>
                <w:p w14:paraId="3220F3BC">
                  <w:pPr>
                    <w:pStyle w:val="69"/>
                    <w:rPr>
                      <w:color w:val="auto"/>
                      <w:szCs w:val="21"/>
                    </w:rPr>
                  </w:pPr>
                  <w:r>
                    <w:rPr>
                      <w:rFonts w:hint="eastAsia"/>
                      <w:color w:val="auto"/>
                      <w:szCs w:val="21"/>
                    </w:rPr>
                    <w:t>污染物</w:t>
                  </w:r>
                </w:p>
              </w:tc>
              <w:tc>
                <w:tcPr>
                  <w:tcW w:w="1478" w:type="pct"/>
                  <w:gridSpan w:val="2"/>
                  <w:tcBorders>
                    <w:tl2br w:val="nil"/>
                    <w:tr2bl w:val="nil"/>
                  </w:tcBorders>
                  <w:vAlign w:val="center"/>
                </w:tcPr>
                <w:p w14:paraId="11E49BBD">
                  <w:pPr>
                    <w:pStyle w:val="69"/>
                    <w:rPr>
                      <w:color w:val="auto"/>
                      <w:szCs w:val="21"/>
                    </w:rPr>
                  </w:pPr>
                  <w:r>
                    <w:rPr>
                      <w:rFonts w:hint="eastAsia"/>
                      <w:color w:val="auto"/>
                      <w:szCs w:val="21"/>
                    </w:rPr>
                    <w:t>产生情况</w:t>
                  </w:r>
                </w:p>
              </w:tc>
              <w:tc>
                <w:tcPr>
                  <w:tcW w:w="1457" w:type="pct"/>
                  <w:gridSpan w:val="2"/>
                  <w:tcBorders>
                    <w:tl2br w:val="nil"/>
                    <w:tr2bl w:val="nil"/>
                  </w:tcBorders>
                  <w:vAlign w:val="center"/>
                </w:tcPr>
                <w:p w14:paraId="5A4FB968">
                  <w:pPr>
                    <w:pStyle w:val="69"/>
                    <w:rPr>
                      <w:color w:val="auto"/>
                      <w:szCs w:val="21"/>
                    </w:rPr>
                  </w:pPr>
                  <w:r>
                    <w:rPr>
                      <w:rFonts w:hint="eastAsia"/>
                      <w:color w:val="auto"/>
                      <w:szCs w:val="21"/>
                    </w:rPr>
                    <w:t>排放情况</w:t>
                  </w:r>
                </w:p>
              </w:tc>
              <w:tc>
                <w:tcPr>
                  <w:tcW w:w="1550" w:type="pct"/>
                  <w:gridSpan w:val="2"/>
                  <w:tcBorders>
                    <w:tl2br w:val="nil"/>
                    <w:tr2bl w:val="nil"/>
                  </w:tcBorders>
                  <w:vAlign w:val="center"/>
                </w:tcPr>
                <w:p w14:paraId="670D1597">
                  <w:pPr>
                    <w:pStyle w:val="69"/>
                    <w:rPr>
                      <w:color w:val="auto"/>
                      <w:szCs w:val="21"/>
                    </w:rPr>
                  </w:pPr>
                  <w:r>
                    <w:rPr>
                      <w:rFonts w:hint="eastAsia"/>
                      <w:color w:val="auto"/>
                      <w:szCs w:val="21"/>
                    </w:rPr>
                    <w:t>标准限值（</w:t>
                  </w:r>
                  <w:r>
                    <w:rPr>
                      <w:color w:val="auto"/>
                      <w:szCs w:val="21"/>
                    </w:rPr>
                    <w:t>mg/L</w:t>
                  </w:r>
                  <w:r>
                    <w:rPr>
                      <w:rFonts w:hint="eastAsia"/>
                      <w:color w:val="auto"/>
                      <w:szCs w:val="21"/>
                    </w:rPr>
                    <w:t>）</w:t>
                  </w:r>
                </w:p>
              </w:tc>
            </w:tr>
            <w:tr w14:paraId="23C88C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vMerge w:val="continue"/>
                  <w:tcBorders>
                    <w:tl2br w:val="nil"/>
                    <w:tr2bl w:val="nil"/>
                  </w:tcBorders>
                  <w:vAlign w:val="center"/>
                </w:tcPr>
                <w:p w14:paraId="484F83C9">
                  <w:pPr>
                    <w:pStyle w:val="69"/>
                    <w:rPr>
                      <w:color w:val="auto"/>
                      <w:szCs w:val="21"/>
                    </w:rPr>
                  </w:pPr>
                </w:p>
              </w:tc>
              <w:tc>
                <w:tcPr>
                  <w:tcW w:w="732" w:type="pct"/>
                  <w:tcBorders>
                    <w:tl2br w:val="nil"/>
                    <w:tr2bl w:val="nil"/>
                  </w:tcBorders>
                  <w:vAlign w:val="center"/>
                </w:tcPr>
                <w:p w14:paraId="11C71553">
                  <w:pPr>
                    <w:pStyle w:val="69"/>
                    <w:rPr>
                      <w:color w:val="auto"/>
                      <w:szCs w:val="21"/>
                    </w:rPr>
                  </w:pPr>
                  <w:r>
                    <w:rPr>
                      <w:rFonts w:hint="eastAsia"/>
                      <w:color w:val="auto"/>
                      <w:szCs w:val="21"/>
                    </w:rPr>
                    <w:t>浓度(mg/L)</w:t>
                  </w:r>
                </w:p>
              </w:tc>
              <w:tc>
                <w:tcPr>
                  <w:tcW w:w="746" w:type="pct"/>
                  <w:tcBorders>
                    <w:tl2br w:val="nil"/>
                    <w:tr2bl w:val="nil"/>
                  </w:tcBorders>
                  <w:vAlign w:val="center"/>
                </w:tcPr>
                <w:p w14:paraId="226A9867">
                  <w:pPr>
                    <w:pStyle w:val="69"/>
                    <w:rPr>
                      <w:color w:val="auto"/>
                      <w:szCs w:val="21"/>
                    </w:rPr>
                  </w:pPr>
                  <w:r>
                    <w:rPr>
                      <w:rFonts w:hint="eastAsia"/>
                      <w:color w:val="auto"/>
                      <w:szCs w:val="21"/>
                    </w:rPr>
                    <w:t>产生量(t/a)</w:t>
                  </w:r>
                </w:p>
              </w:tc>
              <w:tc>
                <w:tcPr>
                  <w:tcW w:w="754" w:type="pct"/>
                  <w:tcBorders>
                    <w:tl2br w:val="nil"/>
                    <w:tr2bl w:val="nil"/>
                  </w:tcBorders>
                  <w:vAlign w:val="center"/>
                </w:tcPr>
                <w:p w14:paraId="4392CFA8">
                  <w:pPr>
                    <w:pStyle w:val="69"/>
                    <w:rPr>
                      <w:color w:val="auto"/>
                      <w:szCs w:val="21"/>
                    </w:rPr>
                  </w:pPr>
                  <w:r>
                    <w:rPr>
                      <w:rFonts w:hint="eastAsia"/>
                      <w:color w:val="auto"/>
                      <w:szCs w:val="21"/>
                    </w:rPr>
                    <w:t>浓度(mg/L)</w:t>
                  </w:r>
                </w:p>
              </w:tc>
              <w:tc>
                <w:tcPr>
                  <w:tcW w:w="702" w:type="pct"/>
                  <w:tcBorders>
                    <w:tl2br w:val="nil"/>
                    <w:tr2bl w:val="nil"/>
                  </w:tcBorders>
                  <w:vAlign w:val="center"/>
                </w:tcPr>
                <w:p w14:paraId="2F4BCBA7">
                  <w:pPr>
                    <w:pStyle w:val="69"/>
                    <w:rPr>
                      <w:color w:val="auto"/>
                      <w:szCs w:val="21"/>
                    </w:rPr>
                  </w:pPr>
                  <w:r>
                    <w:rPr>
                      <w:rFonts w:hint="eastAsia"/>
                      <w:color w:val="auto"/>
                      <w:szCs w:val="21"/>
                    </w:rPr>
                    <w:t>排放量(t/a)</w:t>
                  </w:r>
                </w:p>
              </w:tc>
              <w:tc>
                <w:tcPr>
                  <w:tcW w:w="713" w:type="pct"/>
                  <w:tcBorders>
                    <w:tl2br w:val="nil"/>
                    <w:tr2bl w:val="nil"/>
                  </w:tcBorders>
                  <w:vAlign w:val="center"/>
                </w:tcPr>
                <w:p w14:paraId="0EE9568E">
                  <w:pPr>
                    <w:pStyle w:val="69"/>
                    <w:rPr>
                      <w:color w:val="auto"/>
                      <w:szCs w:val="21"/>
                    </w:rPr>
                  </w:pPr>
                  <w:r>
                    <w:rPr>
                      <w:color w:val="auto"/>
                      <w:szCs w:val="21"/>
                    </w:rPr>
                    <w:t>GB</w:t>
                  </w:r>
                  <w:r>
                    <w:rPr>
                      <w:rFonts w:hint="eastAsia"/>
                      <w:color w:val="auto"/>
                      <w:szCs w:val="21"/>
                    </w:rPr>
                    <w:t>8978-1996限值</w:t>
                  </w:r>
                </w:p>
              </w:tc>
              <w:tc>
                <w:tcPr>
                  <w:tcW w:w="836" w:type="pct"/>
                  <w:tcBorders>
                    <w:tl2br w:val="nil"/>
                    <w:tr2bl w:val="nil"/>
                  </w:tcBorders>
                  <w:vAlign w:val="center"/>
                </w:tcPr>
                <w:p w14:paraId="6DE18C83">
                  <w:pPr>
                    <w:pStyle w:val="69"/>
                    <w:rPr>
                      <w:color w:val="auto"/>
                      <w:szCs w:val="21"/>
                    </w:rPr>
                  </w:pPr>
                  <w:r>
                    <w:rPr>
                      <w:color w:val="auto"/>
                      <w:szCs w:val="21"/>
                    </w:rPr>
                    <w:t>GB/T31962-2015</w:t>
                  </w:r>
                  <w:r>
                    <w:rPr>
                      <w:rFonts w:hint="eastAsia"/>
                      <w:color w:val="auto"/>
                      <w:szCs w:val="21"/>
                    </w:rPr>
                    <w:t>B级标准</w:t>
                  </w:r>
                </w:p>
              </w:tc>
            </w:tr>
            <w:tr w14:paraId="2BA86F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13" w:type="pct"/>
                  <w:tcBorders>
                    <w:tl2br w:val="nil"/>
                    <w:tr2bl w:val="nil"/>
                  </w:tcBorders>
                  <w:vAlign w:val="center"/>
                </w:tcPr>
                <w:p w14:paraId="139495CB">
                  <w:pPr>
                    <w:pStyle w:val="69"/>
                    <w:rPr>
                      <w:color w:val="auto"/>
                      <w:szCs w:val="21"/>
                    </w:rPr>
                  </w:pPr>
                  <w:r>
                    <w:rPr>
                      <w:rFonts w:hint="eastAsia"/>
                      <w:color w:val="auto"/>
                      <w:szCs w:val="21"/>
                    </w:rPr>
                    <w:t>水量</w:t>
                  </w:r>
                </w:p>
              </w:tc>
              <w:tc>
                <w:tcPr>
                  <w:tcW w:w="732" w:type="pct"/>
                  <w:tcBorders>
                    <w:tl2br w:val="nil"/>
                    <w:tr2bl w:val="nil"/>
                  </w:tcBorders>
                  <w:vAlign w:val="center"/>
                </w:tcPr>
                <w:p w14:paraId="5A0A8043">
                  <w:pPr>
                    <w:pStyle w:val="69"/>
                    <w:rPr>
                      <w:color w:val="auto"/>
                      <w:szCs w:val="21"/>
                    </w:rPr>
                  </w:pPr>
                  <w:r>
                    <w:rPr>
                      <w:rFonts w:hint="eastAsia"/>
                      <w:color w:val="auto"/>
                      <w:szCs w:val="21"/>
                    </w:rPr>
                    <w:t>/</w:t>
                  </w:r>
                </w:p>
              </w:tc>
              <w:tc>
                <w:tcPr>
                  <w:tcW w:w="746" w:type="pct"/>
                  <w:tcBorders>
                    <w:tl2br w:val="nil"/>
                    <w:tr2bl w:val="nil"/>
                  </w:tcBorders>
                  <w:vAlign w:val="center"/>
                </w:tcPr>
                <w:p w14:paraId="2F871514">
                  <w:pPr>
                    <w:widowControl/>
                    <w:jc w:val="center"/>
                    <w:textAlignment w:val="center"/>
                    <w:rPr>
                      <w:rFonts w:hint="default" w:eastAsia="宋体"/>
                      <w:color w:val="auto"/>
                      <w:kern w:val="0"/>
                      <w:szCs w:val="21"/>
                      <w:lang w:val="en-US" w:eastAsia="zh-CN"/>
                    </w:rPr>
                  </w:pPr>
                  <w:r>
                    <w:rPr>
                      <w:rFonts w:hint="eastAsia"/>
                      <w:color w:val="auto"/>
                      <w:kern w:val="0"/>
                      <w:szCs w:val="21"/>
                      <w:lang w:val="en-US" w:eastAsia="zh-CN"/>
                    </w:rPr>
                    <w:t>704.4</w:t>
                  </w:r>
                </w:p>
              </w:tc>
              <w:tc>
                <w:tcPr>
                  <w:tcW w:w="754" w:type="pct"/>
                  <w:tcBorders>
                    <w:tl2br w:val="nil"/>
                    <w:tr2bl w:val="nil"/>
                  </w:tcBorders>
                  <w:vAlign w:val="center"/>
                </w:tcPr>
                <w:p w14:paraId="7DE8FBBC">
                  <w:pPr>
                    <w:pStyle w:val="69"/>
                    <w:rPr>
                      <w:color w:val="auto"/>
                      <w:szCs w:val="21"/>
                    </w:rPr>
                  </w:pPr>
                  <w:r>
                    <w:rPr>
                      <w:rFonts w:hint="eastAsia"/>
                      <w:color w:val="auto"/>
                      <w:szCs w:val="21"/>
                    </w:rPr>
                    <w:t>/</w:t>
                  </w:r>
                </w:p>
              </w:tc>
              <w:tc>
                <w:tcPr>
                  <w:tcW w:w="702" w:type="pct"/>
                  <w:tcBorders>
                    <w:tl2br w:val="nil"/>
                    <w:tr2bl w:val="nil"/>
                  </w:tcBorders>
                  <w:vAlign w:val="center"/>
                </w:tcPr>
                <w:p w14:paraId="3E9FCB9B">
                  <w:pPr>
                    <w:pStyle w:val="69"/>
                    <w:rPr>
                      <w:color w:val="auto"/>
                      <w:szCs w:val="21"/>
                    </w:rPr>
                  </w:pPr>
                  <w:r>
                    <w:rPr>
                      <w:rFonts w:hint="eastAsia"/>
                      <w:color w:val="auto"/>
                      <w:kern w:val="0"/>
                      <w:szCs w:val="21"/>
                      <w:lang w:val="en-US" w:eastAsia="zh-CN"/>
                    </w:rPr>
                    <w:t>704.4</w:t>
                  </w:r>
                </w:p>
              </w:tc>
              <w:tc>
                <w:tcPr>
                  <w:tcW w:w="713" w:type="pct"/>
                  <w:tcBorders>
                    <w:tl2br w:val="nil"/>
                    <w:tr2bl w:val="nil"/>
                  </w:tcBorders>
                  <w:vAlign w:val="center"/>
                </w:tcPr>
                <w:p w14:paraId="016C06B9">
                  <w:pPr>
                    <w:pStyle w:val="69"/>
                    <w:rPr>
                      <w:color w:val="auto"/>
                      <w:szCs w:val="21"/>
                    </w:rPr>
                  </w:pPr>
                  <w:r>
                    <w:rPr>
                      <w:rFonts w:hint="eastAsia"/>
                      <w:color w:val="auto"/>
                      <w:szCs w:val="21"/>
                    </w:rPr>
                    <w:t>/</w:t>
                  </w:r>
                </w:p>
              </w:tc>
              <w:tc>
                <w:tcPr>
                  <w:tcW w:w="836" w:type="pct"/>
                  <w:tcBorders>
                    <w:tl2br w:val="nil"/>
                    <w:tr2bl w:val="nil"/>
                  </w:tcBorders>
                  <w:vAlign w:val="center"/>
                </w:tcPr>
                <w:p w14:paraId="282411BE">
                  <w:pPr>
                    <w:pStyle w:val="69"/>
                    <w:rPr>
                      <w:color w:val="auto"/>
                      <w:szCs w:val="21"/>
                    </w:rPr>
                  </w:pPr>
                  <w:r>
                    <w:rPr>
                      <w:rFonts w:hint="eastAsia"/>
                      <w:color w:val="auto"/>
                      <w:szCs w:val="21"/>
                    </w:rPr>
                    <w:t>/</w:t>
                  </w:r>
                </w:p>
              </w:tc>
            </w:tr>
            <w:tr w14:paraId="6F2FE8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tcBorders>
                    <w:tl2br w:val="nil"/>
                    <w:tr2bl w:val="nil"/>
                  </w:tcBorders>
                  <w:vAlign w:val="center"/>
                </w:tcPr>
                <w:p w14:paraId="54DC35FE">
                  <w:pPr>
                    <w:pStyle w:val="69"/>
                    <w:rPr>
                      <w:color w:val="auto"/>
                      <w:szCs w:val="21"/>
                    </w:rPr>
                  </w:pPr>
                  <w:r>
                    <w:rPr>
                      <w:rFonts w:hint="eastAsia"/>
                      <w:color w:val="auto"/>
                      <w:szCs w:val="21"/>
                    </w:rPr>
                    <w:t>COD</w:t>
                  </w:r>
                </w:p>
              </w:tc>
              <w:tc>
                <w:tcPr>
                  <w:tcW w:w="732" w:type="pct"/>
                  <w:tcBorders>
                    <w:tl2br w:val="nil"/>
                    <w:tr2bl w:val="nil"/>
                  </w:tcBorders>
                  <w:vAlign w:val="center"/>
                </w:tcPr>
                <w:p w14:paraId="19346128">
                  <w:pPr>
                    <w:pStyle w:val="69"/>
                    <w:rPr>
                      <w:rFonts w:hint="default" w:eastAsia="宋体"/>
                      <w:color w:val="auto"/>
                      <w:szCs w:val="21"/>
                      <w:lang w:val="en-US" w:eastAsia="zh-CN"/>
                    </w:rPr>
                  </w:pPr>
                  <w:r>
                    <w:rPr>
                      <w:rFonts w:hint="eastAsia"/>
                      <w:color w:val="auto"/>
                      <w:szCs w:val="21"/>
                      <w:lang w:val="en-US" w:eastAsia="zh-CN"/>
                    </w:rPr>
                    <w:t>339</w:t>
                  </w:r>
                </w:p>
              </w:tc>
              <w:tc>
                <w:tcPr>
                  <w:tcW w:w="746" w:type="pct"/>
                  <w:tcBorders>
                    <w:tl2br w:val="nil"/>
                    <w:tr2bl w:val="nil"/>
                  </w:tcBorders>
                  <w:vAlign w:val="center"/>
                </w:tcPr>
                <w:p w14:paraId="77DBB784">
                  <w:pPr>
                    <w:pStyle w:val="69"/>
                    <w:rPr>
                      <w:rFonts w:hint="default" w:eastAsia="宋体"/>
                      <w:color w:val="auto"/>
                      <w:szCs w:val="21"/>
                      <w:lang w:val="en-US" w:eastAsia="zh-CN"/>
                    </w:rPr>
                  </w:pPr>
                  <w:r>
                    <w:rPr>
                      <w:rFonts w:hint="eastAsia"/>
                      <w:color w:val="auto"/>
                      <w:szCs w:val="21"/>
                      <w:lang w:val="en-US" w:eastAsia="zh-CN"/>
                    </w:rPr>
                    <w:t>0.239</w:t>
                  </w:r>
                </w:p>
              </w:tc>
              <w:tc>
                <w:tcPr>
                  <w:tcW w:w="754" w:type="pct"/>
                  <w:tcBorders>
                    <w:tl2br w:val="nil"/>
                    <w:tr2bl w:val="nil"/>
                  </w:tcBorders>
                  <w:vAlign w:val="center"/>
                </w:tcPr>
                <w:p w14:paraId="7F77E911">
                  <w:pPr>
                    <w:pStyle w:val="69"/>
                    <w:rPr>
                      <w:rFonts w:hint="default" w:eastAsia="宋体"/>
                      <w:color w:val="auto"/>
                      <w:szCs w:val="21"/>
                      <w:lang w:val="en-US" w:eastAsia="zh-CN"/>
                    </w:rPr>
                  </w:pPr>
                  <w:r>
                    <w:rPr>
                      <w:rFonts w:hint="eastAsia"/>
                      <w:color w:val="auto"/>
                      <w:szCs w:val="21"/>
                      <w:lang w:val="en-US" w:eastAsia="zh-CN"/>
                    </w:rPr>
                    <w:t>271</w:t>
                  </w:r>
                </w:p>
              </w:tc>
              <w:tc>
                <w:tcPr>
                  <w:tcW w:w="702" w:type="pct"/>
                  <w:tcBorders>
                    <w:tl2br w:val="nil"/>
                    <w:tr2bl w:val="nil"/>
                  </w:tcBorders>
                  <w:vAlign w:val="center"/>
                </w:tcPr>
                <w:p w14:paraId="428FE845">
                  <w:pPr>
                    <w:pStyle w:val="69"/>
                    <w:rPr>
                      <w:rFonts w:hint="default" w:eastAsia="宋体"/>
                      <w:color w:val="auto"/>
                      <w:szCs w:val="21"/>
                      <w:lang w:val="en-US" w:eastAsia="zh-CN"/>
                    </w:rPr>
                  </w:pPr>
                  <w:r>
                    <w:rPr>
                      <w:rFonts w:hint="eastAsia"/>
                      <w:color w:val="auto"/>
                      <w:szCs w:val="21"/>
                      <w:lang w:val="en-US" w:eastAsia="zh-CN"/>
                    </w:rPr>
                    <w:t>0.191</w:t>
                  </w:r>
                </w:p>
              </w:tc>
              <w:tc>
                <w:tcPr>
                  <w:tcW w:w="713" w:type="pct"/>
                  <w:tcBorders>
                    <w:tl2br w:val="nil"/>
                    <w:tr2bl w:val="nil"/>
                  </w:tcBorders>
                  <w:vAlign w:val="center"/>
                </w:tcPr>
                <w:p w14:paraId="6320708A">
                  <w:pPr>
                    <w:pStyle w:val="69"/>
                    <w:rPr>
                      <w:color w:val="auto"/>
                      <w:szCs w:val="21"/>
                    </w:rPr>
                  </w:pPr>
                  <w:r>
                    <w:rPr>
                      <w:rFonts w:hint="eastAsia"/>
                      <w:color w:val="auto"/>
                      <w:szCs w:val="21"/>
                    </w:rPr>
                    <w:t>500</w:t>
                  </w:r>
                </w:p>
              </w:tc>
              <w:tc>
                <w:tcPr>
                  <w:tcW w:w="836" w:type="pct"/>
                  <w:tcBorders>
                    <w:tl2br w:val="nil"/>
                    <w:tr2bl w:val="nil"/>
                  </w:tcBorders>
                  <w:vAlign w:val="center"/>
                </w:tcPr>
                <w:p w14:paraId="5E1BF178">
                  <w:pPr>
                    <w:pStyle w:val="69"/>
                    <w:rPr>
                      <w:color w:val="auto"/>
                      <w:szCs w:val="21"/>
                    </w:rPr>
                  </w:pPr>
                  <w:r>
                    <w:rPr>
                      <w:rFonts w:hint="eastAsia"/>
                      <w:color w:val="auto"/>
                      <w:szCs w:val="21"/>
                    </w:rPr>
                    <w:t>/</w:t>
                  </w:r>
                </w:p>
              </w:tc>
            </w:tr>
            <w:tr w14:paraId="085338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tcBorders>
                    <w:tl2br w:val="nil"/>
                    <w:tr2bl w:val="nil"/>
                  </w:tcBorders>
                  <w:vAlign w:val="center"/>
                </w:tcPr>
                <w:p w14:paraId="168A7AD7">
                  <w:pPr>
                    <w:pStyle w:val="69"/>
                    <w:rPr>
                      <w:color w:val="auto"/>
                      <w:szCs w:val="21"/>
                    </w:rPr>
                  </w:pPr>
                  <w:r>
                    <w:rPr>
                      <w:rFonts w:hint="eastAsia"/>
                      <w:color w:val="auto"/>
                      <w:szCs w:val="21"/>
                    </w:rPr>
                    <w:t>BOD</w:t>
                  </w:r>
                  <w:r>
                    <w:rPr>
                      <w:rFonts w:hint="eastAsia"/>
                      <w:color w:val="auto"/>
                      <w:szCs w:val="21"/>
                      <w:vertAlign w:val="subscript"/>
                    </w:rPr>
                    <w:t>5</w:t>
                  </w:r>
                </w:p>
              </w:tc>
              <w:tc>
                <w:tcPr>
                  <w:tcW w:w="1266" w:type="dxa"/>
                  <w:tcBorders>
                    <w:tl2br w:val="nil"/>
                    <w:tr2bl w:val="nil"/>
                  </w:tcBorders>
                  <w:vAlign w:val="center"/>
                </w:tcPr>
                <w:p w14:paraId="4F258206">
                  <w:pPr>
                    <w:pStyle w:val="69"/>
                    <w:jc w:val="center"/>
                    <w:rPr>
                      <w:color w:val="auto"/>
                      <w:szCs w:val="21"/>
                    </w:rPr>
                  </w:pPr>
                  <w:r>
                    <w:rPr>
                      <w:rFonts w:hint="default" w:ascii="Times New Roman" w:hAnsi="Times New Roman" w:cs="Times New Roman"/>
                      <w:color w:val="auto"/>
                      <w:szCs w:val="21"/>
                    </w:rPr>
                    <w:t>220</w:t>
                  </w:r>
                </w:p>
              </w:tc>
              <w:tc>
                <w:tcPr>
                  <w:tcW w:w="1290" w:type="dxa"/>
                  <w:tcBorders>
                    <w:tl2br w:val="nil"/>
                    <w:tr2bl w:val="nil"/>
                  </w:tcBorders>
                  <w:vAlign w:val="center"/>
                </w:tcPr>
                <w:p w14:paraId="30B4983A">
                  <w:pPr>
                    <w:keepNext w:val="0"/>
                    <w:keepLines w:val="0"/>
                    <w:widowControl/>
                    <w:suppressLineNumbers w:val="0"/>
                    <w:jc w:val="center"/>
                    <w:textAlignment w:val="center"/>
                    <w:rPr>
                      <w:rFonts w:hint="default"/>
                      <w:color w:val="auto"/>
                      <w:szCs w:val="21"/>
                      <w:lang w:val="en-US"/>
                    </w:rPr>
                  </w:pPr>
                  <w:r>
                    <w:rPr>
                      <w:rFonts w:hint="default" w:ascii="Times New Roman" w:hAnsi="Times New Roman" w:eastAsia="宋体" w:cs="Times New Roman"/>
                      <w:color w:val="auto"/>
                      <w:kern w:val="0"/>
                      <w:sz w:val="21"/>
                      <w:szCs w:val="21"/>
                      <w:lang w:val="en-US" w:eastAsia="zh-CN" w:bidi="ar-SA"/>
                    </w:rPr>
                    <w:t>0.1</w:t>
                  </w:r>
                  <w:r>
                    <w:rPr>
                      <w:rFonts w:hint="eastAsia" w:ascii="Times New Roman" w:hAnsi="Times New Roman" w:eastAsia="宋体" w:cs="Times New Roman"/>
                      <w:color w:val="auto"/>
                      <w:kern w:val="0"/>
                      <w:sz w:val="21"/>
                      <w:szCs w:val="21"/>
                      <w:lang w:val="en-US" w:eastAsia="zh-CN" w:bidi="ar-SA"/>
                    </w:rPr>
                    <w:t>50</w:t>
                  </w:r>
                </w:p>
              </w:tc>
              <w:tc>
                <w:tcPr>
                  <w:tcW w:w="1305" w:type="dxa"/>
                  <w:tcBorders>
                    <w:tl2br w:val="nil"/>
                    <w:tr2bl w:val="nil"/>
                  </w:tcBorders>
                  <w:vAlign w:val="center"/>
                </w:tcPr>
                <w:p w14:paraId="1BA6EE4A">
                  <w:pPr>
                    <w:pStyle w:val="69"/>
                    <w:jc w:val="center"/>
                    <w:rPr>
                      <w:color w:val="auto"/>
                      <w:szCs w:val="21"/>
                    </w:rPr>
                  </w:pPr>
                  <w:r>
                    <w:rPr>
                      <w:rFonts w:hint="default" w:ascii="Times New Roman" w:hAnsi="Times New Roman" w:cs="Times New Roman"/>
                      <w:color w:val="auto"/>
                      <w:szCs w:val="21"/>
                    </w:rPr>
                    <w:t>176</w:t>
                  </w:r>
                </w:p>
              </w:tc>
              <w:tc>
                <w:tcPr>
                  <w:tcW w:w="1215" w:type="dxa"/>
                  <w:tcBorders>
                    <w:tl2br w:val="nil"/>
                    <w:tr2bl w:val="nil"/>
                  </w:tcBorders>
                  <w:vAlign w:val="center"/>
                </w:tcPr>
                <w:p w14:paraId="14F569FA">
                  <w:pPr>
                    <w:keepNext w:val="0"/>
                    <w:keepLines w:val="0"/>
                    <w:widowControl/>
                    <w:suppressLineNumbers w:val="0"/>
                    <w:jc w:val="center"/>
                    <w:textAlignment w:val="center"/>
                    <w:rPr>
                      <w:rFonts w:hint="default"/>
                      <w:color w:val="auto"/>
                      <w:szCs w:val="21"/>
                      <w:lang w:val="en-US"/>
                    </w:rPr>
                  </w:pPr>
                  <w:r>
                    <w:rPr>
                      <w:rFonts w:hint="default" w:ascii="Times New Roman" w:hAnsi="Times New Roman" w:eastAsia="宋体" w:cs="Times New Roman"/>
                      <w:color w:val="auto"/>
                      <w:kern w:val="0"/>
                      <w:sz w:val="21"/>
                      <w:szCs w:val="21"/>
                      <w:lang w:val="en-US" w:eastAsia="zh-CN" w:bidi="ar-SA"/>
                    </w:rPr>
                    <w:t>0.1</w:t>
                  </w:r>
                  <w:r>
                    <w:rPr>
                      <w:rFonts w:hint="eastAsia" w:ascii="Times New Roman" w:hAnsi="Times New Roman" w:eastAsia="宋体" w:cs="Times New Roman"/>
                      <w:color w:val="auto"/>
                      <w:kern w:val="0"/>
                      <w:sz w:val="21"/>
                      <w:szCs w:val="21"/>
                      <w:lang w:val="en-US" w:eastAsia="zh-CN" w:bidi="ar-SA"/>
                    </w:rPr>
                    <w:t>20</w:t>
                  </w:r>
                </w:p>
              </w:tc>
              <w:tc>
                <w:tcPr>
                  <w:tcW w:w="713" w:type="pct"/>
                  <w:tcBorders>
                    <w:tl2br w:val="nil"/>
                    <w:tr2bl w:val="nil"/>
                  </w:tcBorders>
                  <w:vAlign w:val="center"/>
                </w:tcPr>
                <w:p w14:paraId="2634578F">
                  <w:pPr>
                    <w:pStyle w:val="69"/>
                    <w:rPr>
                      <w:color w:val="auto"/>
                      <w:szCs w:val="21"/>
                    </w:rPr>
                  </w:pPr>
                  <w:r>
                    <w:rPr>
                      <w:rFonts w:hint="eastAsia"/>
                      <w:color w:val="auto"/>
                      <w:szCs w:val="21"/>
                    </w:rPr>
                    <w:t>300</w:t>
                  </w:r>
                </w:p>
              </w:tc>
              <w:tc>
                <w:tcPr>
                  <w:tcW w:w="836" w:type="pct"/>
                  <w:tcBorders>
                    <w:tl2br w:val="nil"/>
                    <w:tr2bl w:val="nil"/>
                  </w:tcBorders>
                  <w:vAlign w:val="center"/>
                </w:tcPr>
                <w:p w14:paraId="4871DBBD">
                  <w:pPr>
                    <w:pStyle w:val="69"/>
                    <w:rPr>
                      <w:color w:val="auto"/>
                      <w:szCs w:val="21"/>
                    </w:rPr>
                  </w:pPr>
                  <w:r>
                    <w:rPr>
                      <w:rFonts w:hint="eastAsia"/>
                      <w:color w:val="auto"/>
                      <w:szCs w:val="21"/>
                    </w:rPr>
                    <w:t>/</w:t>
                  </w:r>
                </w:p>
              </w:tc>
            </w:tr>
            <w:tr w14:paraId="6D5519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tcBorders>
                    <w:tl2br w:val="nil"/>
                    <w:tr2bl w:val="nil"/>
                  </w:tcBorders>
                  <w:vAlign w:val="center"/>
                </w:tcPr>
                <w:p w14:paraId="1CA5718B">
                  <w:pPr>
                    <w:pStyle w:val="69"/>
                    <w:rPr>
                      <w:color w:val="auto"/>
                      <w:szCs w:val="21"/>
                    </w:rPr>
                  </w:pPr>
                  <w:r>
                    <w:rPr>
                      <w:rFonts w:hint="eastAsia"/>
                      <w:color w:val="auto"/>
                      <w:szCs w:val="21"/>
                    </w:rPr>
                    <w:t>SS</w:t>
                  </w:r>
                </w:p>
              </w:tc>
              <w:tc>
                <w:tcPr>
                  <w:tcW w:w="732" w:type="pct"/>
                  <w:tcBorders>
                    <w:tl2br w:val="nil"/>
                    <w:tr2bl w:val="nil"/>
                  </w:tcBorders>
                  <w:vAlign w:val="center"/>
                </w:tcPr>
                <w:p w14:paraId="57ECA427">
                  <w:pPr>
                    <w:pStyle w:val="69"/>
                    <w:rPr>
                      <w:rFonts w:hint="default" w:eastAsia="宋体"/>
                      <w:color w:val="auto"/>
                      <w:szCs w:val="21"/>
                      <w:lang w:val="en-US" w:eastAsia="zh-CN"/>
                    </w:rPr>
                  </w:pPr>
                  <w:r>
                    <w:rPr>
                      <w:rFonts w:hint="eastAsia"/>
                      <w:color w:val="auto"/>
                      <w:szCs w:val="21"/>
                      <w:lang w:val="en-US" w:eastAsia="zh-CN"/>
                    </w:rPr>
                    <w:t>296</w:t>
                  </w:r>
                </w:p>
              </w:tc>
              <w:tc>
                <w:tcPr>
                  <w:tcW w:w="746" w:type="pct"/>
                  <w:tcBorders>
                    <w:tl2br w:val="nil"/>
                    <w:tr2bl w:val="nil"/>
                  </w:tcBorders>
                  <w:vAlign w:val="center"/>
                </w:tcPr>
                <w:p w14:paraId="7E3196D1">
                  <w:pPr>
                    <w:pStyle w:val="69"/>
                    <w:rPr>
                      <w:rFonts w:hint="default" w:eastAsia="宋体"/>
                      <w:color w:val="auto"/>
                      <w:szCs w:val="21"/>
                      <w:lang w:val="en-US" w:eastAsia="zh-CN"/>
                    </w:rPr>
                  </w:pPr>
                  <w:r>
                    <w:rPr>
                      <w:rFonts w:hint="eastAsia"/>
                      <w:color w:val="auto"/>
                      <w:szCs w:val="21"/>
                      <w:lang w:val="en-US" w:eastAsia="zh-CN"/>
                    </w:rPr>
                    <w:t>0.209</w:t>
                  </w:r>
                </w:p>
              </w:tc>
              <w:tc>
                <w:tcPr>
                  <w:tcW w:w="754" w:type="pct"/>
                  <w:tcBorders>
                    <w:tl2br w:val="nil"/>
                    <w:tr2bl w:val="nil"/>
                  </w:tcBorders>
                  <w:vAlign w:val="center"/>
                </w:tcPr>
                <w:p w14:paraId="0FABA8FC">
                  <w:pPr>
                    <w:pStyle w:val="69"/>
                    <w:rPr>
                      <w:rFonts w:hint="default" w:eastAsia="宋体"/>
                      <w:color w:val="auto"/>
                      <w:szCs w:val="21"/>
                      <w:lang w:val="en-US" w:eastAsia="zh-CN"/>
                    </w:rPr>
                  </w:pPr>
                  <w:r>
                    <w:rPr>
                      <w:rFonts w:hint="eastAsia"/>
                      <w:color w:val="auto"/>
                      <w:szCs w:val="21"/>
                      <w:lang w:val="en-US" w:eastAsia="zh-CN"/>
                    </w:rPr>
                    <w:t>265</w:t>
                  </w:r>
                </w:p>
              </w:tc>
              <w:tc>
                <w:tcPr>
                  <w:tcW w:w="702" w:type="pct"/>
                  <w:tcBorders>
                    <w:tl2br w:val="nil"/>
                    <w:tr2bl w:val="nil"/>
                  </w:tcBorders>
                  <w:vAlign w:val="center"/>
                </w:tcPr>
                <w:p w14:paraId="7492AC40">
                  <w:pPr>
                    <w:pStyle w:val="69"/>
                    <w:rPr>
                      <w:rFonts w:hint="default" w:eastAsia="宋体"/>
                      <w:color w:val="auto"/>
                      <w:szCs w:val="21"/>
                      <w:lang w:val="en-US" w:eastAsia="zh-CN"/>
                    </w:rPr>
                  </w:pPr>
                  <w:r>
                    <w:rPr>
                      <w:rFonts w:hint="eastAsia"/>
                      <w:color w:val="auto"/>
                      <w:szCs w:val="21"/>
                      <w:lang w:val="en-US" w:eastAsia="zh-CN"/>
                    </w:rPr>
                    <w:t>0.187</w:t>
                  </w:r>
                </w:p>
              </w:tc>
              <w:tc>
                <w:tcPr>
                  <w:tcW w:w="713" w:type="pct"/>
                  <w:tcBorders>
                    <w:tl2br w:val="nil"/>
                    <w:tr2bl w:val="nil"/>
                  </w:tcBorders>
                  <w:vAlign w:val="center"/>
                </w:tcPr>
                <w:p w14:paraId="412EAF20">
                  <w:pPr>
                    <w:pStyle w:val="69"/>
                    <w:rPr>
                      <w:color w:val="auto"/>
                      <w:szCs w:val="21"/>
                    </w:rPr>
                  </w:pPr>
                  <w:r>
                    <w:rPr>
                      <w:rFonts w:hint="eastAsia"/>
                      <w:color w:val="auto"/>
                      <w:szCs w:val="21"/>
                    </w:rPr>
                    <w:t>400</w:t>
                  </w:r>
                </w:p>
              </w:tc>
              <w:tc>
                <w:tcPr>
                  <w:tcW w:w="836" w:type="pct"/>
                  <w:tcBorders>
                    <w:tl2br w:val="nil"/>
                    <w:tr2bl w:val="nil"/>
                  </w:tcBorders>
                  <w:vAlign w:val="center"/>
                </w:tcPr>
                <w:p w14:paraId="3CF3CECE">
                  <w:pPr>
                    <w:pStyle w:val="69"/>
                    <w:rPr>
                      <w:color w:val="auto"/>
                      <w:szCs w:val="21"/>
                    </w:rPr>
                  </w:pPr>
                  <w:r>
                    <w:rPr>
                      <w:rFonts w:hint="eastAsia"/>
                      <w:color w:val="auto"/>
                      <w:szCs w:val="21"/>
                    </w:rPr>
                    <w:t>/</w:t>
                  </w:r>
                </w:p>
              </w:tc>
            </w:tr>
            <w:tr w14:paraId="47320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tcBorders>
                    <w:tl2br w:val="nil"/>
                    <w:tr2bl w:val="nil"/>
                  </w:tcBorders>
                  <w:vAlign w:val="center"/>
                </w:tcPr>
                <w:p w14:paraId="6851F094">
                  <w:pPr>
                    <w:pStyle w:val="69"/>
                    <w:rPr>
                      <w:color w:val="auto"/>
                      <w:szCs w:val="21"/>
                    </w:rPr>
                  </w:pPr>
                  <w:r>
                    <w:rPr>
                      <w:rFonts w:hint="eastAsia"/>
                      <w:color w:val="auto"/>
                      <w:szCs w:val="21"/>
                    </w:rPr>
                    <w:t>NH</w:t>
                  </w:r>
                  <w:r>
                    <w:rPr>
                      <w:rFonts w:hint="eastAsia"/>
                      <w:color w:val="auto"/>
                      <w:szCs w:val="21"/>
                      <w:vertAlign w:val="subscript"/>
                    </w:rPr>
                    <w:t>3</w:t>
                  </w:r>
                  <w:r>
                    <w:rPr>
                      <w:rFonts w:hint="eastAsia"/>
                      <w:color w:val="auto"/>
                      <w:szCs w:val="21"/>
                    </w:rPr>
                    <w:t>-N</w:t>
                  </w:r>
                </w:p>
              </w:tc>
              <w:tc>
                <w:tcPr>
                  <w:tcW w:w="1266" w:type="dxa"/>
                  <w:tcBorders>
                    <w:tl2br w:val="nil"/>
                    <w:tr2bl w:val="nil"/>
                  </w:tcBorders>
                  <w:vAlign w:val="center"/>
                </w:tcPr>
                <w:p w14:paraId="18D9792A">
                  <w:pPr>
                    <w:pStyle w:val="69"/>
                    <w:jc w:val="center"/>
                    <w:rPr>
                      <w:color w:val="auto"/>
                      <w:szCs w:val="21"/>
                    </w:rPr>
                  </w:pPr>
                  <w:r>
                    <w:rPr>
                      <w:rFonts w:hint="default" w:ascii="Times New Roman" w:hAnsi="Times New Roman" w:cs="Times New Roman"/>
                      <w:color w:val="auto"/>
                      <w:szCs w:val="21"/>
                    </w:rPr>
                    <w:t>36</w:t>
                  </w:r>
                </w:p>
              </w:tc>
              <w:tc>
                <w:tcPr>
                  <w:tcW w:w="1290" w:type="dxa"/>
                  <w:tcBorders>
                    <w:tl2br w:val="nil"/>
                    <w:tr2bl w:val="nil"/>
                  </w:tcBorders>
                  <w:vAlign w:val="center"/>
                </w:tcPr>
                <w:p w14:paraId="0539D375">
                  <w:pPr>
                    <w:keepNext w:val="0"/>
                    <w:keepLines w:val="0"/>
                    <w:widowControl/>
                    <w:suppressLineNumbers w:val="0"/>
                    <w:jc w:val="center"/>
                    <w:textAlignment w:val="center"/>
                    <w:rPr>
                      <w:color w:val="auto"/>
                      <w:szCs w:val="21"/>
                    </w:rPr>
                  </w:pPr>
                  <w:r>
                    <w:rPr>
                      <w:rFonts w:hint="default" w:ascii="Times New Roman" w:hAnsi="Times New Roman" w:eastAsia="宋体" w:cs="Times New Roman"/>
                      <w:color w:val="auto"/>
                      <w:kern w:val="0"/>
                      <w:sz w:val="21"/>
                      <w:szCs w:val="21"/>
                      <w:lang w:val="en-US" w:eastAsia="zh-CN" w:bidi="ar-SA"/>
                    </w:rPr>
                    <w:t>0.024</w:t>
                  </w:r>
                </w:p>
              </w:tc>
              <w:tc>
                <w:tcPr>
                  <w:tcW w:w="1305" w:type="dxa"/>
                  <w:tcBorders>
                    <w:tl2br w:val="nil"/>
                    <w:tr2bl w:val="nil"/>
                  </w:tcBorders>
                  <w:vAlign w:val="center"/>
                </w:tcPr>
                <w:p w14:paraId="7A59D308">
                  <w:pPr>
                    <w:pStyle w:val="69"/>
                    <w:jc w:val="center"/>
                    <w:rPr>
                      <w:color w:val="auto"/>
                      <w:szCs w:val="21"/>
                    </w:rPr>
                  </w:pPr>
                  <w:r>
                    <w:rPr>
                      <w:rFonts w:hint="default" w:ascii="Times New Roman" w:hAnsi="Times New Roman" w:cs="Times New Roman"/>
                      <w:color w:val="auto"/>
                      <w:szCs w:val="21"/>
                    </w:rPr>
                    <w:t>36</w:t>
                  </w:r>
                </w:p>
              </w:tc>
              <w:tc>
                <w:tcPr>
                  <w:tcW w:w="1215" w:type="dxa"/>
                  <w:tcBorders>
                    <w:tl2br w:val="nil"/>
                    <w:tr2bl w:val="nil"/>
                  </w:tcBorders>
                  <w:vAlign w:val="center"/>
                </w:tcPr>
                <w:p w14:paraId="43317987">
                  <w:pPr>
                    <w:keepNext w:val="0"/>
                    <w:keepLines w:val="0"/>
                    <w:widowControl/>
                    <w:suppressLineNumbers w:val="0"/>
                    <w:jc w:val="center"/>
                    <w:textAlignment w:val="center"/>
                    <w:rPr>
                      <w:color w:val="auto"/>
                      <w:szCs w:val="21"/>
                    </w:rPr>
                  </w:pPr>
                  <w:r>
                    <w:rPr>
                      <w:rFonts w:hint="default" w:ascii="Times New Roman" w:hAnsi="Times New Roman" w:eastAsia="宋体" w:cs="Times New Roman"/>
                      <w:color w:val="auto"/>
                      <w:kern w:val="0"/>
                      <w:sz w:val="21"/>
                      <w:szCs w:val="21"/>
                      <w:lang w:val="en-US" w:eastAsia="zh-CN" w:bidi="ar-SA"/>
                    </w:rPr>
                    <w:t>0.024</w:t>
                  </w:r>
                </w:p>
              </w:tc>
              <w:tc>
                <w:tcPr>
                  <w:tcW w:w="713" w:type="pct"/>
                  <w:tcBorders>
                    <w:tl2br w:val="nil"/>
                    <w:tr2bl w:val="nil"/>
                  </w:tcBorders>
                  <w:vAlign w:val="center"/>
                </w:tcPr>
                <w:p w14:paraId="49427EA7">
                  <w:pPr>
                    <w:pStyle w:val="69"/>
                    <w:rPr>
                      <w:color w:val="auto"/>
                      <w:szCs w:val="21"/>
                    </w:rPr>
                  </w:pPr>
                  <w:r>
                    <w:rPr>
                      <w:rFonts w:hint="eastAsia"/>
                      <w:color w:val="auto"/>
                      <w:szCs w:val="21"/>
                    </w:rPr>
                    <w:t>/</w:t>
                  </w:r>
                </w:p>
              </w:tc>
              <w:tc>
                <w:tcPr>
                  <w:tcW w:w="836" w:type="pct"/>
                  <w:tcBorders>
                    <w:tl2br w:val="nil"/>
                    <w:tr2bl w:val="nil"/>
                  </w:tcBorders>
                  <w:vAlign w:val="center"/>
                </w:tcPr>
                <w:p w14:paraId="77BE92F3">
                  <w:pPr>
                    <w:pStyle w:val="69"/>
                    <w:rPr>
                      <w:color w:val="auto"/>
                      <w:szCs w:val="21"/>
                    </w:rPr>
                  </w:pPr>
                  <w:r>
                    <w:rPr>
                      <w:rFonts w:hint="eastAsia"/>
                      <w:color w:val="auto"/>
                      <w:szCs w:val="21"/>
                    </w:rPr>
                    <w:t>45</w:t>
                  </w:r>
                </w:p>
              </w:tc>
            </w:tr>
            <w:tr w14:paraId="4730DE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tcBorders>
                    <w:tl2br w:val="nil"/>
                    <w:tr2bl w:val="nil"/>
                  </w:tcBorders>
                  <w:vAlign w:val="center"/>
                </w:tcPr>
                <w:p w14:paraId="57CAC6FF">
                  <w:pPr>
                    <w:pStyle w:val="69"/>
                    <w:rPr>
                      <w:color w:val="auto"/>
                      <w:szCs w:val="21"/>
                    </w:rPr>
                  </w:pPr>
                  <w:r>
                    <w:rPr>
                      <w:rFonts w:hint="eastAsia"/>
                      <w:color w:val="auto"/>
                      <w:szCs w:val="21"/>
                    </w:rPr>
                    <w:t>TN</w:t>
                  </w:r>
                </w:p>
              </w:tc>
              <w:tc>
                <w:tcPr>
                  <w:tcW w:w="1266" w:type="dxa"/>
                  <w:tcBorders>
                    <w:tl2br w:val="nil"/>
                    <w:tr2bl w:val="nil"/>
                  </w:tcBorders>
                  <w:vAlign w:val="center"/>
                </w:tcPr>
                <w:p w14:paraId="65B40E6A">
                  <w:pPr>
                    <w:pStyle w:val="69"/>
                    <w:jc w:val="center"/>
                    <w:rPr>
                      <w:color w:val="auto"/>
                    </w:rPr>
                  </w:pPr>
                  <w:r>
                    <w:rPr>
                      <w:rFonts w:hint="default" w:ascii="Times New Roman" w:hAnsi="Times New Roman" w:cs="Times New Roman"/>
                      <w:color w:val="auto"/>
                    </w:rPr>
                    <w:t>50</w:t>
                  </w:r>
                </w:p>
              </w:tc>
              <w:tc>
                <w:tcPr>
                  <w:tcW w:w="1290" w:type="dxa"/>
                  <w:tcBorders>
                    <w:tl2br w:val="nil"/>
                    <w:tr2bl w:val="nil"/>
                  </w:tcBorders>
                  <w:vAlign w:val="center"/>
                </w:tcPr>
                <w:p w14:paraId="60217724">
                  <w:pPr>
                    <w:keepNext w:val="0"/>
                    <w:keepLines w:val="0"/>
                    <w:widowControl/>
                    <w:suppressLineNumbers w:val="0"/>
                    <w:jc w:val="center"/>
                    <w:textAlignment w:val="center"/>
                    <w:rPr>
                      <w:color w:val="auto"/>
                      <w:szCs w:val="21"/>
                    </w:rPr>
                  </w:pPr>
                  <w:r>
                    <w:rPr>
                      <w:rFonts w:hint="default" w:ascii="Times New Roman" w:hAnsi="Times New Roman" w:eastAsia="宋体" w:cs="Times New Roman"/>
                      <w:color w:val="auto"/>
                      <w:kern w:val="0"/>
                      <w:sz w:val="21"/>
                      <w:szCs w:val="21"/>
                      <w:lang w:val="en-US" w:eastAsia="zh-CN" w:bidi="ar-SA"/>
                    </w:rPr>
                    <w:t>0.034</w:t>
                  </w:r>
                </w:p>
              </w:tc>
              <w:tc>
                <w:tcPr>
                  <w:tcW w:w="1305" w:type="dxa"/>
                  <w:tcBorders>
                    <w:tl2br w:val="nil"/>
                    <w:tr2bl w:val="nil"/>
                  </w:tcBorders>
                  <w:vAlign w:val="center"/>
                </w:tcPr>
                <w:p w14:paraId="6863F21B">
                  <w:pPr>
                    <w:pStyle w:val="69"/>
                    <w:jc w:val="center"/>
                    <w:rPr>
                      <w:color w:val="auto"/>
                    </w:rPr>
                  </w:pPr>
                  <w:r>
                    <w:rPr>
                      <w:rFonts w:hint="default" w:ascii="Times New Roman" w:hAnsi="Times New Roman" w:cs="Times New Roman"/>
                      <w:color w:val="auto"/>
                    </w:rPr>
                    <w:t>50</w:t>
                  </w:r>
                </w:p>
              </w:tc>
              <w:tc>
                <w:tcPr>
                  <w:tcW w:w="1215" w:type="dxa"/>
                  <w:tcBorders>
                    <w:tl2br w:val="nil"/>
                    <w:tr2bl w:val="nil"/>
                  </w:tcBorders>
                  <w:vAlign w:val="center"/>
                </w:tcPr>
                <w:p w14:paraId="62F053F0">
                  <w:pPr>
                    <w:keepNext w:val="0"/>
                    <w:keepLines w:val="0"/>
                    <w:widowControl/>
                    <w:suppressLineNumbers w:val="0"/>
                    <w:jc w:val="center"/>
                    <w:textAlignment w:val="center"/>
                    <w:rPr>
                      <w:color w:val="auto"/>
                      <w:szCs w:val="21"/>
                    </w:rPr>
                  </w:pPr>
                  <w:r>
                    <w:rPr>
                      <w:rFonts w:hint="default" w:ascii="Times New Roman" w:hAnsi="Times New Roman" w:eastAsia="宋体" w:cs="Times New Roman"/>
                      <w:color w:val="auto"/>
                      <w:kern w:val="0"/>
                      <w:sz w:val="21"/>
                      <w:szCs w:val="21"/>
                      <w:lang w:val="en-US" w:eastAsia="zh-CN" w:bidi="ar-SA"/>
                    </w:rPr>
                    <w:t>0.034</w:t>
                  </w:r>
                </w:p>
              </w:tc>
              <w:tc>
                <w:tcPr>
                  <w:tcW w:w="713" w:type="pct"/>
                  <w:tcBorders>
                    <w:tl2br w:val="nil"/>
                    <w:tr2bl w:val="nil"/>
                  </w:tcBorders>
                  <w:vAlign w:val="center"/>
                </w:tcPr>
                <w:p w14:paraId="170EC946">
                  <w:pPr>
                    <w:pStyle w:val="69"/>
                    <w:rPr>
                      <w:color w:val="auto"/>
                      <w:szCs w:val="21"/>
                    </w:rPr>
                  </w:pPr>
                  <w:r>
                    <w:rPr>
                      <w:rFonts w:hint="eastAsia"/>
                      <w:color w:val="auto"/>
                      <w:szCs w:val="21"/>
                    </w:rPr>
                    <w:t>/</w:t>
                  </w:r>
                </w:p>
              </w:tc>
              <w:tc>
                <w:tcPr>
                  <w:tcW w:w="836" w:type="pct"/>
                  <w:tcBorders>
                    <w:tl2br w:val="nil"/>
                    <w:tr2bl w:val="nil"/>
                  </w:tcBorders>
                  <w:vAlign w:val="center"/>
                </w:tcPr>
                <w:p w14:paraId="4A6836C3">
                  <w:pPr>
                    <w:pStyle w:val="69"/>
                    <w:rPr>
                      <w:color w:val="auto"/>
                    </w:rPr>
                  </w:pPr>
                  <w:r>
                    <w:rPr>
                      <w:rFonts w:hint="eastAsia"/>
                      <w:color w:val="auto"/>
                    </w:rPr>
                    <w:t>70</w:t>
                  </w:r>
                </w:p>
              </w:tc>
            </w:tr>
            <w:tr w14:paraId="1998F2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13" w:type="pct"/>
                  <w:tcBorders>
                    <w:tl2br w:val="nil"/>
                    <w:tr2bl w:val="nil"/>
                  </w:tcBorders>
                  <w:vAlign w:val="center"/>
                </w:tcPr>
                <w:p w14:paraId="22D3A049">
                  <w:pPr>
                    <w:pStyle w:val="69"/>
                    <w:rPr>
                      <w:color w:val="auto"/>
                      <w:szCs w:val="21"/>
                    </w:rPr>
                  </w:pPr>
                  <w:r>
                    <w:rPr>
                      <w:rFonts w:hint="eastAsia"/>
                      <w:color w:val="auto"/>
                      <w:szCs w:val="21"/>
                    </w:rPr>
                    <w:t>TP</w:t>
                  </w:r>
                </w:p>
              </w:tc>
              <w:tc>
                <w:tcPr>
                  <w:tcW w:w="1266" w:type="dxa"/>
                  <w:tcBorders>
                    <w:tl2br w:val="nil"/>
                    <w:tr2bl w:val="nil"/>
                  </w:tcBorders>
                  <w:vAlign w:val="center"/>
                </w:tcPr>
                <w:p w14:paraId="766CA7D7">
                  <w:pPr>
                    <w:pStyle w:val="69"/>
                    <w:jc w:val="center"/>
                    <w:rPr>
                      <w:color w:val="auto"/>
                    </w:rPr>
                  </w:pPr>
                  <w:r>
                    <w:rPr>
                      <w:rFonts w:hint="default" w:ascii="Times New Roman" w:hAnsi="Times New Roman" w:cs="Times New Roman"/>
                      <w:color w:val="auto"/>
                    </w:rPr>
                    <w:t>5</w:t>
                  </w:r>
                </w:p>
              </w:tc>
              <w:tc>
                <w:tcPr>
                  <w:tcW w:w="1290" w:type="dxa"/>
                  <w:tcBorders>
                    <w:tl2br w:val="nil"/>
                    <w:tr2bl w:val="nil"/>
                  </w:tcBorders>
                  <w:vAlign w:val="center"/>
                </w:tcPr>
                <w:p w14:paraId="02102A1F">
                  <w:pPr>
                    <w:pStyle w:val="69"/>
                    <w:jc w:val="center"/>
                    <w:rPr>
                      <w:color w:val="auto"/>
                      <w:szCs w:val="21"/>
                    </w:rPr>
                  </w:pPr>
                  <w:r>
                    <w:rPr>
                      <w:rFonts w:hint="default" w:ascii="Times New Roman" w:hAnsi="Times New Roman" w:eastAsia="宋体" w:cs="Times New Roman"/>
                      <w:color w:val="auto"/>
                      <w:kern w:val="0"/>
                      <w:sz w:val="21"/>
                      <w:szCs w:val="21"/>
                      <w:lang w:val="en-US" w:eastAsia="zh-CN" w:bidi="ar-SA"/>
                    </w:rPr>
                    <w:t>0.0034</w:t>
                  </w:r>
                </w:p>
              </w:tc>
              <w:tc>
                <w:tcPr>
                  <w:tcW w:w="1305" w:type="dxa"/>
                  <w:tcBorders>
                    <w:tl2br w:val="nil"/>
                    <w:tr2bl w:val="nil"/>
                  </w:tcBorders>
                  <w:vAlign w:val="center"/>
                </w:tcPr>
                <w:p w14:paraId="4F3B22DA">
                  <w:pPr>
                    <w:pStyle w:val="69"/>
                    <w:jc w:val="center"/>
                    <w:rPr>
                      <w:color w:val="auto"/>
                    </w:rPr>
                  </w:pPr>
                  <w:r>
                    <w:rPr>
                      <w:rFonts w:hint="default" w:ascii="Times New Roman" w:hAnsi="Times New Roman" w:cs="Times New Roman"/>
                      <w:color w:val="auto"/>
                    </w:rPr>
                    <w:t>5</w:t>
                  </w:r>
                </w:p>
              </w:tc>
              <w:tc>
                <w:tcPr>
                  <w:tcW w:w="1215" w:type="dxa"/>
                  <w:tcBorders>
                    <w:tl2br w:val="nil"/>
                    <w:tr2bl w:val="nil"/>
                  </w:tcBorders>
                  <w:vAlign w:val="center"/>
                </w:tcPr>
                <w:p w14:paraId="2F6DFCFC">
                  <w:pPr>
                    <w:pStyle w:val="69"/>
                    <w:jc w:val="center"/>
                    <w:rPr>
                      <w:color w:val="auto"/>
                      <w:szCs w:val="21"/>
                    </w:rPr>
                  </w:pPr>
                  <w:r>
                    <w:rPr>
                      <w:rFonts w:hint="default" w:ascii="Times New Roman" w:hAnsi="Times New Roman" w:eastAsia="宋体" w:cs="Times New Roman"/>
                      <w:color w:val="auto"/>
                      <w:kern w:val="0"/>
                      <w:sz w:val="21"/>
                      <w:szCs w:val="21"/>
                      <w:lang w:val="en-US" w:eastAsia="zh-CN" w:bidi="ar-SA"/>
                    </w:rPr>
                    <w:t>0.0034</w:t>
                  </w:r>
                </w:p>
              </w:tc>
              <w:tc>
                <w:tcPr>
                  <w:tcW w:w="713" w:type="pct"/>
                  <w:tcBorders>
                    <w:tl2br w:val="nil"/>
                    <w:tr2bl w:val="nil"/>
                  </w:tcBorders>
                  <w:vAlign w:val="center"/>
                </w:tcPr>
                <w:p w14:paraId="77E89131">
                  <w:pPr>
                    <w:pStyle w:val="69"/>
                    <w:rPr>
                      <w:color w:val="auto"/>
                      <w:szCs w:val="21"/>
                    </w:rPr>
                  </w:pPr>
                  <w:r>
                    <w:rPr>
                      <w:rFonts w:hint="eastAsia"/>
                      <w:color w:val="auto"/>
                      <w:szCs w:val="21"/>
                    </w:rPr>
                    <w:t>/</w:t>
                  </w:r>
                </w:p>
              </w:tc>
              <w:tc>
                <w:tcPr>
                  <w:tcW w:w="836" w:type="pct"/>
                  <w:tcBorders>
                    <w:tl2br w:val="nil"/>
                    <w:tr2bl w:val="nil"/>
                  </w:tcBorders>
                  <w:vAlign w:val="center"/>
                </w:tcPr>
                <w:p w14:paraId="14A51C85">
                  <w:pPr>
                    <w:pStyle w:val="69"/>
                    <w:rPr>
                      <w:color w:val="auto"/>
                    </w:rPr>
                  </w:pPr>
                  <w:r>
                    <w:rPr>
                      <w:rFonts w:hint="eastAsia"/>
                      <w:color w:val="auto"/>
                    </w:rPr>
                    <w:t>8</w:t>
                  </w:r>
                </w:p>
              </w:tc>
            </w:tr>
          </w:tbl>
          <w:p w14:paraId="41215C1C">
            <w:pPr>
              <w:spacing w:line="360" w:lineRule="auto"/>
              <w:ind w:firstLine="480" w:firstLineChars="200"/>
              <w:rPr>
                <w:bCs/>
                <w:color w:val="auto"/>
                <w:sz w:val="24"/>
              </w:rPr>
            </w:pPr>
            <w:r>
              <w:rPr>
                <w:bCs/>
                <w:color w:val="auto"/>
                <w:sz w:val="24"/>
              </w:rPr>
              <w:t>由上表可知，产生的</w:t>
            </w:r>
            <w:r>
              <w:rPr>
                <w:rFonts w:hint="eastAsia"/>
                <w:bCs/>
                <w:color w:val="auto"/>
                <w:sz w:val="24"/>
              </w:rPr>
              <w:t>污水</w:t>
            </w:r>
            <w:r>
              <w:rPr>
                <w:bCs/>
                <w:color w:val="auto"/>
                <w:sz w:val="24"/>
              </w:rPr>
              <w:t>经过</w:t>
            </w:r>
            <w:r>
              <w:rPr>
                <w:rFonts w:hint="eastAsia"/>
                <w:bCs/>
                <w:color w:val="auto"/>
                <w:sz w:val="24"/>
                <w:lang w:val="en-US" w:eastAsia="zh-CN"/>
              </w:rPr>
              <w:t>院</w:t>
            </w:r>
            <w:r>
              <w:rPr>
                <w:bCs/>
                <w:color w:val="auto"/>
                <w:sz w:val="24"/>
              </w:rPr>
              <w:t>内</w:t>
            </w:r>
            <w:r>
              <w:rPr>
                <w:rFonts w:hint="eastAsia"/>
                <w:bCs/>
                <w:color w:val="auto"/>
                <w:sz w:val="24"/>
              </w:rPr>
              <w:t>化粪池</w:t>
            </w:r>
            <w:r>
              <w:rPr>
                <w:bCs/>
                <w:color w:val="auto"/>
                <w:sz w:val="24"/>
              </w:rPr>
              <w:t>处理后能够达到《污水综合排放标准》（GB8978-1996）表4三级标准及《污水排入城镇下水道水质标准》（GB/T31962-2015）表1</w:t>
            </w:r>
            <w:r>
              <w:rPr>
                <w:rFonts w:hint="eastAsia"/>
                <w:bCs/>
                <w:color w:val="auto"/>
                <w:sz w:val="24"/>
              </w:rPr>
              <w:t>A</w:t>
            </w:r>
            <w:r>
              <w:rPr>
                <w:bCs/>
                <w:color w:val="auto"/>
                <w:sz w:val="24"/>
              </w:rPr>
              <w:t>级标准</w:t>
            </w:r>
            <w:r>
              <w:rPr>
                <w:rFonts w:hint="eastAsia"/>
                <w:bCs/>
                <w:color w:val="auto"/>
                <w:sz w:val="24"/>
              </w:rPr>
              <w:t>。</w:t>
            </w:r>
          </w:p>
          <w:p w14:paraId="2E203C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color w:val="auto"/>
              </w:rPr>
            </w:pPr>
            <w:r>
              <w:rPr>
                <w:rFonts w:hint="eastAsia"/>
                <w:color w:val="auto"/>
                <w:kern w:val="0"/>
                <w:sz w:val="24"/>
              </w:rPr>
              <w:t>（2）</w:t>
            </w:r>
            <w:r>
              <w:rPr>
                <w:rFonts w:hint="eastAsia"/>
                <w:bCs/>
                <w:color w:val="auto"/>
                <w:sz w:val="24"/>
              </w:rPr>
              <w:t>污水</w:t>
            </w:r>
            <w:r>
              <w:rPr>
                <w:rFonts w:hint="eastAsia"/>
                <w:bCs/>
                <w:color w:val="auto"/>
                <w:sz w:val="24"/>
                <w:lang w:val="en-US" w:eastAsia="zh-CN"/>
              </w:rPr>
              <w:t>处理设施</w:t>
            </w:r>
            <w:r>
              <w:rPr>
                <w:rFonts w:hint="eastAsia"/>
                <w:bCs/>
                <w:color w:val="auto"/>
                <w:sz w:val="24"/>
              </w:rPr>
              <w:t>依托可行性分析</w:t>
            </w:r>
          </w:p>
          <w:p w14:paraId="647AF5C9">
            <w:pPr>
              <w:pStyle w:val="14"/>
              <w:spacing w:line="360" w:lineRule="auto"/>
              <w:ind w:firstLine="480" w:firstLineChars="200"/>
              <w:rPr>
                <w:rFonts w:hint="default" w:ascii="Times New Roman" w:hAnsi="Times New Roman" w:eastAsia="宋体"/>
                <w:color w:val="auto"/>
                <w:sz w:val="24"/>
                <w:highlight w:val="none"/>
                <w:lang w:val="en-US" w:eastAsia="zh-CN"/>
              </w:rPr>
            </w:pPr>
            <w:r>
              <w:rPr>
                <w:rFonts w:hint="eastAsia" w:ascii="Times New Roman" w:hAnsi="Times New Roman"/>
                <w:color w:val="auto"/>
                <w:sz w:val="24"/>
                <w:highlight w:val="none"/>
                <w:lang w:val="en-US" w:eastAsia="zh-CN"/>
              </w:rPr>
              <w:t>本项目产生的器皿清洗废水、物理检测废水、清洁废水经沉淀池沉淀后进入院内化粪池处理。本项目沉淀池为二级沉淀池，位于项目北侧，容积为0.45m</w:t>
            </w:r>
            <w:r>
              <w:rPr>
                <w:rFonts w:hint="eastAsia" w:ascii="Times New Roman" w:hAnsi="Times New Roman"/>
                <w:color w:val="auto"/>
                <w:sz w:val="24"/>
                <w:highlight w:val="none"/>
                <w:vertAlign w:val="superscript"/>
                <w:lang w:val="en-US" w:eastAsia="zh-CN"/>
              </w:rPr>
              <w:t>3</w:t>
            </w:r>
            <w:r>
              <w:rPr>
                <w:rFonts w:hint="eastAsia" w:ascii="Times New Roman" w:hAnsi="Times New Roman"/>
                <w:color w:val="auto"/>
                <w:sz w:val="24"/>
                <w:highlight w:val="none"/>
                <w:lang w:val="en-US" w:eastAsia="zh-CN"/>
              </w:rPr>
              <w:t>、沉淀时间为4h。</w:t>
            </w:r>
          </w:p>
          <w:p w14:paraId="0CD64A60">
            <w:pPr>
              <w:pStyle w:val="14"/>
              <w:spacing w:line="360" w:lineRule="auto"/>
              <w:ind w:firstLine="480" w:firstLineChars="200"/>
              <w:rPr>
                <w:rFonts w:ascii="Times New Roman" w:hAnsi="Times New Roman"/>
                <w:color w:val="auto"/>
                <w:sz w:val="24"/>
                <w:highlight w:val="none"/>
              </w:rPr>
            </w:pPr>
            <w:r>
              <w:rPr>
                <w:rFonts w:ascii="Times New Roman" w:hAnsi="Times New Roman"/>
                <w:color w:val="auto"/>
                <w:sz w:val="24"/>
                <w:highlight w:val="none"/>
              </w:rPr>
              <w:t>本项目产生</w:t>
            </w:r>
            <w:r>
              <w:rPr>
                <w:rFonts w:hint="eastAsia" w:ascii="Times New Roman" w:hAnsi="Times New Roman"/>
                <w:color w:val="auto"/>
                <w:sz w:val="24"/>
                <w:highlight w:val="none"/>
                <w:lang w:val="en-US" w:eastAsia="zh-CN"/>
              </w:rPr>
              <w:t>的</w:t>
            </w:r>
            <w:r>
              <w:rPr>
                <w:rFonts w:ascii="Times New Roman" w:hAnsi="Times New Roman"/>
                <w:color w:val="auto"/>
                <w:sz w:val="24"/>
                <w:highlight w:val="none"/>
              </w:rPr>
              <w:t>废水</w:t>
            </w:r>
            <w:r>
              <w:rPr>
                <w:rFonts w:hint="eastAsia" w:ascii="Times New Roman" w:hAnsi="Times New Roman"/>
                <w:color w:val="auto"/>
                <w:sz w:val="24"/>
                <w:highlight w:val="none"/>
                <w:lang w:val="en-US" w:eastAsia="zh-CN"/>
              </w:rPr>
              <w:t>经下水管网</w:t>
            </w:r>
            <w:r>
              <w:rPr>
                <w:rFonts w:hint="eastAsia" w:ascii="Times New Roman" w:hAnsi="Times New Roman"/>
                <w:color w:val="auto"/>
                <w:sz w:val="24"/>
                <w:highlight w:val="none"/>
              </w:rPr>
              <w:t>进入</w:t>
            </w:r>
            <w:r>
              <w:rPr>
                <w:rFonts w:hint="eastAsia" w:ascii="Times New Roman" w:hAnsi="Times New Roman"/>
                <w:color w:val="auto"/>
                <w:sz w:val="24"/>
                <w:highlight w:val="none"/>
                <w:lang w:val="en-US" w:eastAsia="zh-CN"/>
              </w:rPr>
              <w:t>院内</w:t>
            </w:r>
            <w:r>
              <w:rPr>
                <w:rFonts w:ascii="Times New Roman" w:hAnsi="Times New Roman"/>
                <w:color w:val="auto"/>
                <w:sz w:val="24"/>
                <w:highlight w:val="none"/>
              </w:rPr>
              <w:t>化粪池处理后排入市政污水管网。根据分析，经化粪池</w:t>
            </w:r>
            <w:r>
              <w:rPr>
                <w:rFonts w:hint="eastAsia" w:ascii="Times New Roman" w:hAnsi="Times New Roman"/>
                <w:color w:val="auto"/>
                <w:sz w:val="24"/>
                <w:highlight w:val="none"/>
              </w:rPr>
              <w:t>处理后排放的废水可以满足《污水综合排放标准》（GB8978-1996）三级标准和《污水排入城镇下水道水质标准》（GB/T 31962-2015）A级标准要求。</w:t>
            </w:r>
          </w:p>
          <w:p w14:paraId="409375FB">
            <w:pPr>
              <w:pStyle w:val="12"/>
              <w:snapToGrid w:val="0"/>
              <w:spacing w:after="0" w:line="360" w:lineRule="auto"/>
              <w:ind w:left="0" w:leftChars="0" w:firstLine="480"/>
              <w:rPr>
                <w:bCs/>
                <w:color w:val="auto"/>
                <w:kern w:val="0"/>
                <w:sz w:val="24"/>
              </w:rPr>
            </w:pPr>
            <w:r>
              <w:rPr>
                <w:rFonts w:hint="eastAsia" w:hAnsi="宋体"/>
                <w:color w:val="auto"/>
                <w:sz w:val="24"/>
                <w:highlight w:val="none"/>
              </w:rPr>
              <w:t>本项目依托的化粪池为</w:t>
            </w:r>
            <w:r>
              <w:rPr>
                <w:rFonts w:hint="eastAsia"/>
                <w:color w:val="auto"/>
                <w:sz w:val="24"/>
                <w:lang w:val="en-US" w:eastAsia="zh-CN"/>
              </w:rPr>
              <w:t>西安众汇电子科技有限公司院内</w:t>
            </w:r>
            <w:r>
              <w:rPr>
                <w:rFonts w:hint="eastAsia" w:hAnsi="宋体"/>
                <w:color w:val="auto"/>
                <w:sz w:val="24"/>
                <w:highlight w:val="none"/>
              </w:rPr>
              <w:t>化粪池，容积为</w:t>
            </w:r>
            <w:r>
              <w:rPr>
                <w:rFonts w:hint="eastAsia" w:hAnsi="宋体"/>
                <w:color w:val="auto"/>
                <w:sz w:val="24"/>
                <w:highlight w:val="none"/>
                <w:lang w:val="en-US" w:eastAsia="zh-CN"/>
              </w:rPr>
              <w:t>30</w:t>
            </w:r>
            <w:r>
              <w:rPr>
                <w:rFonts w:hint="eastAsia" w:hAnsi="宋体"/>
                <w:color w:val="auto"/>
                <w:sz w:val="24"/>
                <w:highlight w:val="none"/>
              </w:rPr>
              <w:t>m</w:t>
            </w:r>
            <w:r>
              <w:rPr>
                <w:rFonts w:hint="eastAsia" w:hAnsi="宋体"/>
                <w:color w:val="auto"/>
                <w:sz w:val="24"/>
                <w:highlight w:val="none"/>
                <w:vertAlign w:val="superscript"/>
              </w:rPr>
              <w:t>3</w:t>
            </w:r>
            <w:r>
              <w:rPr>
                <w:rFonts w:hint="eastAsia" w:hAnsi="宋体"/>
                <w:color w:val="auto"/>
                <w:sz w:val="24"/>
                <w:highlight w:val="none"/>
              </w:rPr>
              <w:t>，</w:t>
            </w:r>
            <w:r>
              <w:rPr>
                <w:rFonts w:hint="eastAsia" w:hAnsi="宋体"/>
                <w:color w:val="auto"/>
                <w:sz w:val="24"/>
                <w:highlight w:val="none"/>
                <w:lang w:val="en-US" w:eastAsia="zh-CN"/>
              </w:rPr>
              <w:t>院内污水量为24.5</w:t>
            </w:r>
            <w:r>
              <w:rPr>
                <w:rFonts w:hint="eastAsia" w:hAnsi="宋体"/>
                <w:color w:val="auto"/>
                <w:sz w:val="24"/>
                <w:highlight w:val="none"/>
              </w:rPr>
              <w:t>m</w:t>
            </w:r>
            <w:r>
              <w:rPr>
                <w:rFonts w:hint="eastAsia" w:hAnsi="宋体"/>
                <w:color w:val="auto"/>
                <w:sz w:val="24"/>
                <w:highlight w:val="none"/>
                <w:vertAlign w:val="superscript"/>
              </w:rPr>
              <w:t>3</w:t>
            </w:r>
            <w:r>
              <w:rPr>
                <w:color w:val="auto"/>
                <w:sz w:val="24"/>
                <w:highlight w:val="none"/>
              </w:rPr>
              <w:t>/d</w:t>
            </w:r>
            <w:r>
              <w:rPr>
                <w:rFonts w:hint="eastAsia"/>
                <w:color w:val="auto"/>
                <w:sz w:val="24"/>
                <w:highlight w:val="none"/>
                <w:lang w:eastAsia="zh-CN"/>
              </w:rPr>
              <w:t>，</w:t>
            </w:r>
            <w:r>
              <w:rPr>
                <w:rFonts w:hint="eastAsia" w:hAnsi="宋体"/>
                <w:color w:val="auto"/>
                <w:sz w:val="24"/>
                <w:highlight w:val="none"/>
              </w:rPr>
              <w:t>水力停留时间约为24小时，</w:t>
            </w:r>
            <w:r>
              <w:rPr>
                <w:color w:val="auto"/>
                <w:sz w:val="24"/>
                <w:highlight w:val="none"/>
              </w:rPr>
              <w:t>本项目废水产生量</w:t>
            </w:r>
            <w:r>
              <w:rPr>
                <w:rFonts w:hint="eastAsia"/>
                <w:color w:val="auto"/>
                <w:sz w:val="24"/>
                <w:highlight w:val="none"/>
              </w:rPr>
              <w:t>约</w:t>
            </w:r>
            <w:r>
              <w:rPr>
                <w:color w:val="auto"/>
                <w:sz w:val="24"/>
                <w:highlight w:val="none"/>
              </w:rPr>
              <w:t>为</w:t>
            </w:r>
            <w:r>
              <w:rPr>
                <w:rFonts w:hint="eastAsia"/>
                <w:color w:val="auto"/>
                <w:sz w:val="24"/>
                <w:highlight w:val="none"/>
                <w:lang w:val="en-US" w:eastAsia="zh-CN"/>
              </w:rPr>
              <w:t>2.82</w:t>
            </w:r>
            <w:r>
              <w:rPr>
                <w:rFonts w:hint="eastAsia" w:hAnsi="宋体"/>
                <w:color w:val="auto"/>
                <w:sz w:val="24"/>
                <w:highlight w:val="none"/>
              </w:rPr>
              <w:t>m</w:t>
            </w:r>
            <w:r>
              <w:rPr>
                <w:rFonts w:hint="eastAsia" w:hAnsi="宋体"/>
                <w:color w:val="auto"/>
                <w:sz w:val="24"/>
                <w:highlight w:val="none"/>
                <w:vertAlign w:val="superscript"/>
              </w:rPr>
              <w:t>3</w:t>
            </w:r>
            <w:r>
              <w:rPr>
                <w:color w:val="auto"/>
                <w:sz w:val="24"/>
                <w:highlight w:val="none"/>
              </w:rPr>
              <w:t>/d，</w:t>
            </w:r>
            <w:r>
              <w:rPr>
                <w:rFonts w:hint="eastAsia"/>
                <w:color w:val="auto"/>
                <w:sz w:val="24"/>
                <w:highlight w:val="none"/>
              </w:rPr>
              <w:t>故该化粪池可以容纳本项目废水</w:t>
            </w:r>
            <w:r>
              <w:rPr>
                <w:rFonts w:hint="eastAsia"/>
                <w:bCs/>
                <w:color w:val="auto"/>
                <w:kern w:val="0"/>
                <w:sz w:val="24"/>
              </w:rPr>
              <w:t>。</w:t>
            </w:r>
          </w:p>
          <w:p w14:paraId="33EC6643">
            <w:pPr>
              <w:spacing w:line="360" w:lineRule="auto"/>
              <w:ind w:left="420" w:leftChars="200"/>
              <w:rPr>
                <w:bCs/>
                <w:color w:val="auto"/>
                <w:sz w:val="24"/>
              </w:rPr>
            </w:pPr>
            <w:r>
              <w:rPr>
                <w:rFonts w:hint="eastAsia"/>
                <w:bCs/>
                <w:color w:val="auto"/>
                <w:sz w:val="24"/>
              </w:rPr>
              <w:t>（</w:t>
            </w:r>
            <w:r>
              <w:rPr>
                <w:rFonts w:hint="eastAsia"/>
                <w:bCs/>
                <w:color w:val="auto"/>
                <w:sz w:val="24"/>
                <w:lang w:val="en-US" w:eastAsia="zh-CN"/>
              </w:rPr>
              <w:t>3</w:t>
            </w:r>
            <w:r>
              <w:rPr>
                <w:rFonts w:hint="eastAsia"/>
                <w:bCs/>
                <w:color w:val="auto"/>
                <w:sz w:val="24"/>
              </w:rPr>
              <w:t>）污水处理厂依托可行性分析</w:t>
            </w:r>
          </w:p>
          <w:p w14:paraId="1CCBD9D6">
            <w:pPr>
              <w:pStyle w:val="10"/>
              <w:adjustRightInd w:val="0"/>
              <w:snapToGrid w:val="0"/>
              <w:spacing w:after="0" w:line="360" w:lineRule="auto"/>
              <w:ind w:left="0" w:leftChars="0" w:firstLine="480" w:firstLineChars="200"/>
              <w:rPr>
                <w:bCs/>
                <w:color w:val="auto"/>
              </w:rPr>
            </w:pPr>
            <w:r>
              <w:rPr>
                <w:bCs/>
                <w:color w:val="auto"/>
              </w:rPr>
              <w:t>本项目</w:t>
            </w:r>
            <w:r>
              <w:rPr>
                <w:rFonts w:hint="eastAsia"/>
                <w:bCs/>
                <w:color w:val="auto"/>
              </w:rPr>
              <w:t>污水</w:t>
            </w:r>
            <w:r>
              <w:rPr>
                <w:bCs/>
                <w:color w:val="auto"/>
              </w:rPr>
              <w:t>经</w:t>
            </w:r>
            <w:r>
              <w:rPr>
                <w:rFonts w:hint="eastAsia"/>
                <w:bCs/>
                <w:color w:val="auto"/>
                <w:lang w:val="en-US" w:eastAsia="zh-CN"/>
              </w:rPr>
              <w:t>院内现有</w:t>
            </w:r>
            <w:r>
              <w:rPr>
                <w:rFonts w:hint="eastAsia"/>
                <w:bCs/>
                <w:color w:val="auto"/>
              </w:rPr>
              <w:t>化粪池</w:t>
            </w:r>
            <w:r>
              <w:rPr>
                <w:bCs/>
                <w:color w:val="auto"/>
              </w:rPr>
              <w:t>处理后，达到《污水综合排放标准》（GB8978-1996）三级标准以及《污水排入城镇下水道水质标准》（GB/T 31962-2015）表1</w:t>
            </w:r>
            <w:r>
              <w:rPr>
                <w:rFonts w:hint="eastAsia"/>
                <w:bCs/>
                <w:color w:val="auto"/>
              </w:rPr>
              <w:t>A</w:t>
            </w:r>
            <w:r>
              <w:rPr>
                <w:bCs/>
                <w:color w:val="auto"/>
              </w:rPr>
              <w:t>级标准要求后，通过市政管网排入</w:t>
            </w:r>
            <w:r>
              <w:rPr>
                <w:rFonts w:hint="eastAsia"/>
                <w:bCs/>
                <w:color w:val="auto"/>
              </w:rPr>
              <w:t>西安净水处理有限责任公司第六再生水厂</w:t>
            </w:r>
            <w:r>
              <w:rPr>
                <w:bCs/>
                <w:color w:val="auto"/>
              </w:rPr>
              <w:t>进行集中处理。</w:t>
            </w:r>
          </w:p>
          <w:p w14:paraId="29FEAD18">
            <w:pPr>
              <w:spacing w:line="360" w:lineRule="auto"/>
              <w:ind w:firstLine="480" w:firstLineChars="200"/>
              <w:rPr>
                <w:color w:val="auto"/>
              </w:rPr>
            </w:pPr>
            <w:r>
              <w:rPr>
                <w:rFonts w:hint="eastAsia"/>
                <w:bCs/>
                <w:color w:val="auto"/>
                <w:sz w:val="24"/>
              </w:rPr>
              <w:t>西安净水处理有限责任公司第六再生水厂</w:t>
            </w:r>
            <w:r>
              <w:rPr>
                <w:bCs/>
                <w:color w:val="auto"/>
                <w:sz w:val="24"/>
              </w:rPr>
              <w:t>位于西安市北郊六村堡的北绕城高速以北，太平河、郑西高铁以南，尚航路以东，福银高速以西，总占地面积16.95公顷，该污水处理厂分两期建设，一期工程污水采用预处理＋改良型A/A/O二级生化＋纤维转盘滤池过滤＋次氯酸钠消毒处理工艺，污泥处理采用重力浓缩＋生物沥浸＋沉淀＋板框压滤脱水工艺</w:t>
            </w:r>
            <w:r>
              <w:rPr>
                <w:rFonts w:hint="eastAsia"/>
                <w:bCs/>
                <w:color w:val="auto"/>
                <w:sz w:val="24"/>
              </w:rPr>
              <w:t>；</w:t>
            </w:r>
            <w:r>
              <w:rPr>
                <w:bCs/>
                <w:color w:val="auto"/>
                <w:sz w:val="24"/>
              </w:rPr>
              <w:t>二期工程污水采用预处理+改良型A/A/O二级生化+反硝化深床滤池+次氯酸钠消毒处理工艺，污泥处理工艺采用重力浓缩+污泥调理+压榨干化工艺，处理后污水排入厂区北侧太平河。一期工程10 ×10</w:t>
            </w:r>
            <w:r>
              <w:rPr>
                <w:bCs/>
                <w:color w:val="auto"/>
                <w:sz w:val="24"/>
                <w:vertAlign w:val="superscript"/>
              </w:rPr>
              <w:t>4</w:t>
            </w:r>
            <w:r>
              <w:rPr>
                <w:bCs/>
                <w:color w:val="auto"/>
                <w:sz w:val="24"/>
              </w:rPr>
              <w:t>m</w:t>
            </w:r>
            <w:r>
              <w:rPr>
                <w:bCs/>
                <w:color w:val="auto"/>
                <w:sz w:val="24"/>
                <w:vertAlign w:val="superscript"/>
              </w:rPr>
              <w:t>3</w:t>
            </w:r>
            <w:r>
              <w:rPr>
                <w:bCs/>
                <w:color w:val="auto"/>
                <w:sz w:val="24"/>
              </w:rPr>
              <w:t>/d及二期的5×10</w:t>
            </w:r>
            <w:r>
              <w:rPr>
                <w:bCs/>
                <w:color w:val="auto"/>
                <w:sz w:val="24"/>
                <w:vertAlign w:val="superscript"/>
              </w:rPr>
              <w:t>4</w:t>
            </w:r>
            <w:r>
              <w:rPr>
                <w:bCs/>
                <w:color w:val="auto"/>
                <w:sz w:val="24"/>
              </w:rPr>
              <w:t>m</w:t>
            </w:r>
            <w:r>
              <w:rPr>
                <w:bCs/>
                <w:color w:val="auto"/>
                <w:sz w:val="24"/>
                <w:vertAlign w:val="superscript"/>
              </w:rPr>
              <w:t>3</w:t>
            </w:r>
            <w:r>
              <w:rPr>
                <w:bCs/>
                <w:color w:val="auto"/>
                <w:sz w:val="24"/>
              </w:rPr>
              <w:t>/d 工程于2016年8月进行验收，并于2016年10月28日取得西安市环境保护局沣渭新区分局关于</w:t>
            </w:r>
            <w:r>
              <w:rPr>
                <w:rFonts w:hint="eastAsia"/>
                <w:bCs/>
                <w:color w:val="auto"/>
                <w:sz w:val="24"/>
              </w:rPr>
              <w:t>西安净水处理有限责任公司第六再生水厂</w:t>
            </w:r>
            <w:r>
              <w:rPr>
                <w:bCs/>
                <w:color w:val="auto"/>
                <w:sz w:val="24"/>
              </w:rPr>
              <w:t>（15万吨/天处理规模）竣工环保验收的批复（市环沣渭验[2016]10号）。二期工程剩余5×10</w:t>
            </w:r>
            <w:r>
              <w:rPr>
                <w:bCs/>
                <w:color w:val="auto"/>
                <w:sz w:val="24"/>
                <w:vertAlign w:val="superscript"/>
              </w:rPr>
              <w:t>4</w:t>
            </w:r>
            <w:r>
              <w:rPr>
                <w:bCs/>
                <w:color w:val="auto"/>
                <w:sz w:val="24"/>
              </w:rPr>
              <w:t>m</w:t>
            </w:r>
            <w:r>
              <w:rPr>
                <w:bCs/>
                <w:color w:val="auto"/>
                <w:sz w:val="24"/>
                <w:vertAlign w:val="superscript"/>
              </w:rPr>
              <w:t>3</w:t>
            </w:r>
            <w:r>
              <w:rPr>
                <w:bCs/>
                <w:color w:val="auto"/>
                <w:sz w:val="24"/>
              </w:rPr>
              <w:t>/d已建成并完成调试。于2018年4月完成竣工环保验收并全部正式投入使用</w:t>
            </w:r>
            <w:r>
              <w:rPr>
                <w:rFonts w:hint="eastAsia"/>
                <w:bCs/>
                <w:color w:val="auto"/>
                <w:sz w:val="24"/>
              </w:rPr>
              <w:t>。处理后的污水满足《城镇污水处理厂污染物排放标准》（GB18918-2002）中一级标准 A 标准，以及《陕西省黄河流域污水综合排放标准》（DB61/224-2018）。西安净水处理有限责任公司第六再生水厂</w:t>
            </w:r>
            <w:r>
              <w:rPr>
                <w:bCs/>
                <w:color w:val="auto"/>
                <w:sz w:val="24"/>
              </w:rPr>
              <w:t>服务范围具体包括：主要收集和处理西安市主城区西北端沿皂河流域（包括三桥工业区）、六村堡组团及纪阳组团范围内的生产废水和生活污水，服务面积约3388公顷，其服务范围目前绝大部分位于沣东新城。本项目在西安市污水处理厂的收水范围之内，故项目产生的废水处理依托西安市污水处理厂处理可行。</w:t>
            </w:r>
          </w:p>
          <w:p w14:paraId="101F8953">
            <w:pPr>
              <w:autoSpaceDE w:val="0"/>
              <w:autoSpaceDN w:val="0"/>
              <w:adjustRightInd w:val="0"/>
              <w:jc w:val="center"/>
              <w:rPr>
                <w:b/>
                <w:color w:val="auto"/>
                <w:sz w:val="24"/>
              </w:rPr>
            </w:pPr>
            <w:r>
              <w:rPr>
                <w:b/>
                <w:color w:val="auto"/>
                <w:sz w:val="24"/>
              </w:rPr>
              <w:t>表4-</w:t>
            </w:r>
            <w:r>
              <w:rPr>
                <w:rFonts w:hint="eastAsia"/>
                <w:b/>
                <w:color w:val="auto"/>
                <w:sz w:val="24"/>
                <w:lang w:val="en-US" w:eastAsia="zh-CN"/>
              </w:rPr>
              <w:t>3</w:t>
            </w:r>
            <w:r>
              <w:rPr>
                <w:rFonts w:hint="eastAsia"/>
                <w:b/>
                <w:color w:val="auto"/>
                <w:sz w:val="24"/>
              </w:rPr>
              <w:t xml:space="preserve">  </w:t>
            </w:r>
            <w:r>
              <w:rPr>
                <w:b/>
                <w:color w:val="auto"/>
                <w:sz w:val="24"/>
              </w:rPr>
              <w:t xml:space="preserve"> 废水类别、污染物及污染治理设施信息表</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46"/>
              <w:gridCol w:w="763"/>
              <w:gridCol w:w="983"/>
              <w:gridCol w:w="1024"/>
              <w:gridCol w:w="609"/>
              <w:gridCol w:w="699"/>
              <w:gridCol w:w="699"/>
              <w:gridCol w:w="1126"/>
              <w:gridCol w:w="896"/>
              <w:gridCol w:w="702"/>
              <w:gridCol w:w="702"/>
            </w:tblGrid>
            <w:tr w14:paraId="503217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c>
                <w:tcPr>
                  <w:tcW w:w="258" w:type="pct"/>
                  <w:vMerge w:val="restart"/>
                  <w:vAlign w:val="center"/>
                </w:tcPr>
                <w:p w14:paraId="06ACFBEE">
                  <w:pPr>
                    <w:jc w:val="center"/>
                    <w:rPr>
                      <w:color w:val="auto"/>
                    </w:rPr>
                  </w:pPr>
                  <w:r>
                    <w:rPr>
                      <w:color w:val="auto"/>
                    </w:rPr>
                    <w:t>序号</w:t>
                  </w:r>
                </w:p>
              </w:tc>
              <w:tc>
                <w:tcPr>
                  <w:tcW w:w="441" w:type="pct"/>
                  <w:vMerge w:val="restart"/>
                  <w:vAlign w:val="center"/>
                </w:tcPr>
                <w:p w14:paraId="2808E662">
                  <w:pPr>
                    <w:jc w:val="center"/>
                    <w:rPr>
                      <w:color w:val="auto"/>
                    </w:rPr>
                  </w:pPr>
                  <w:r>
                    <w:rPr>
                      <w:color w:val="auto"/>
                    </w:rPr>
                    <w:t>废水类别</w:t>
                  </w:r>
                </w:p>
              </w:tc>
              <w:tc>
                <w:tcPr>
                  <w:tcW w:w="568" w:type="pct"/>
                  <w:vMerge w:val="restart"/>
                  <w:vAlign w:val="center"/>
                </w:tcPr>
                <w:p w14:paraId="1FA2CC64">
                  <w:pPr>
                    <w:jc w:val="center"/>
                    <w:rPr>
                      <w:color w:val="auto"/>
                    </w:rPr>
                  </w:pPr>
                  <w:r>
                    <w:rPr>
                      <w:color w:val="auto"/>
                    </w:rPr>
                    <w:t>污染物种类</w:t>
                  </w:r>
                </w:p>
              </w:tc>
              <w:tc>
                <w:tcPr>
                  <w:tcW w:w="592" w:type="pct"/>
                  <w:vMerge w:val="restart"/>
                  <w:vAlign w:val="center"/>
                </w:tcPr>
                <w:p w14:paraId="33BE1A36">
                  <w:pPr>
                    <w:jc w:val="center"/>
                    <w:rPr>
                      <w:color w:val="auto"/>
                    </w:rPr>
                  </w:pPr>
                  <w:r>
                    <w:rPr>
                      <w:color w:val="auto"/>
                    </w:rPr>
                    <w:t>排放去向</w:t>
                  </w:r>
                </w:p>
              </w:tc>
              <w:tc>
                <w:tcPr>
                  <w:tcW w:w="352" w:type="pct"/>
                  <w:vMerge w:val="restart"/>
                  <w:vAlign w:val="center"/>
                </w:tcPr>
                <w:p w14:paraId="342D6285">
                  <w:pPr>
                    <w:jc w:val="center"/>
                    <w:rPr>
                      <w:color w:val="auto"/>
                    </w:rPr>
                  </w:pPr>
                  <w:r>
                    <w:rPr>
                      <w:color w:val="auto"/>
                    </w:rPr>
                    <w:t>排放规律</w:t>
                  </w:r>
                </w:p>
              </w:tc>
              <w:tc>
                <w:tcPr>
                  <w:tcW w:w="1459" w:type="pct"/>
                  <w:gridSpan w:val="3"/>
                  <w:vAlign w:val="center"/>
                </w:tcPr>
                <w:p w14:paraId="6E437F90">
                  <w:pPr>
                    <w:jc w:val="center"/>
                    <w:rPr>
                      <w:color w:val="auto"/>
                    </w:rPr>
                  </w:pPr>
                  <w:r>
                    <w:rPr>
                      <w:color w:val="auto"/>
                    </w:rPr>
                    <w:t>污染治理设施</w:t>
                  </w:r>
                </w:p>
              </w:tc>
              <w:tc>
                <w:tcPr>
                  <w:tcW w:w="518" w:type="pct"/>
                  <w:vMerge w:val="restart"/>
                  <w:vAlign w:val="center"/>
                </w:tcPr>
                <w:p w14:paraId="5AE77C7A">
                  <w:pPr>
                    <w:jc w:val="center"/>
                    <w:rPr>
                      <w:color w:val="auto"/>
                    </w:rPr>
                  </w:pPr>
                  <w:r>
                    <w:rPr>
                      <w:color w:val="auto"/>
                    </w:rPr>
                    <w:t>排放口编号</w:t>
                  </w:r>
                </w:p>
              </w:tc>
              <w:tc>
                <w:tcPr>
                  <w:tcW w:w="406" w:type="pct"/>
                  <w:vMerge w:val="restart"/>
                  <w:vAlign w:val="center"/>
                </w:tcPr>
                <w:p w14:paraId="25AF26F0">
                  <w:pPr>
                    <w:jc w:val="center"/>
                    <w:rPr>
                      <w:color w:val="auto"/>
                    </w:rPr>
                  </w:pPr>
                  <w:r>
                    <w:rPr>
                      <w:color w:val="auto"/>
                    </w:rPr>
                    <w:t>排放口设置是否符合要求</w:t>
                  </w:r>
                </w:p>
              </w:tc>
              <w:tc>
                <w:tcPr>
                  <w:tcW w:w="405" w:type="pct"/>
                  <w:vMerge w:val="restart"/>
                  <w:vAlign w:val="center"/>
                </w:tcPr>
                <w:p w14:paraId="07930473">
                  <w:pPr>
                    <w:jc w:val="center"/>
                    <w:rPr>
                      <w:color w:val="auto"/>
                    </w:rPr>
                  </w:pPr>
                  <w:r>
                    <w:rPr>
                      <w:color w:val="auto"/>
                    </w:rPr>
                    <w:t>排放口类型</w:t>
                  </w:r>
                </w:p>
              </w:tc>
            </w:tr>
            <w:tr w14:paraId="794E73E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83" w:hRule="atLeast"/>
              </w:trPr>
              <w:tc>
                <w:tcPr>
                  <w:tcW w:w="258" w:type="pct"/>
                  <w:vMerge w:val="continue"/>
                  <w:vAlign w:val="center"/>
                </w:tcPr>
                <w:p w14:paraId="34A98811">
                  <w:pPr>
                    <w:rPr>
                      <w:color w:val="auto"/>
                    </w:rPr>
                  </w:pPr>
                </w:p>
              </w:tc>
              <w:tc>
                <w:tcPr>
                  <w:tcW w:w="441" w:type="pct"/>
                  <w:vMerge w:val="continue"/>
                  <w:vAlign w:val="center"/>
                </w:tcPr>
                <w:p w14:paraId="18A984E5">
                  <w:pPr>
                    <w:rPr>
                      <w:color w:val="auto"/>
                    </w:rPr>
                  </w:pPr>
                </w:p>
              </w:tc>
              <w:tc>
                <w:tcPr>
                  <w:tcW w:w="568" w:type="pct"/>
                  <w:vMerge w:val="continue"/>
                  <w:vAlign w:val="center"/>
                </w:tcPr>
                <w:p w14:paraId="0E0809B4">
                  <w:pPr>
                    <w:rPr>
                      <w:color w:val="auto"/>
                    </w:rPr>
                  </w:pPr>
                </w:p>
              </w:tc>
              <w:tc>
                <w:tcPr>
                  <w:tcW w:w="592" w:type="pct"/>
                  <w:vMerge w:val="continue"/>
                  <w:vAlign w:val="center"/>
                </w:tcPr>
                <w:p w14:paraId="5F6EEFAF">
                  <w:pPr>
                    <w:rPr>
                      <w:color w:val="auto"/>
                    </w:rPr>
                  </w:pPr>
                </w:p>
              </w:tc>
              <w:tc>
                <w:tcPr>
                  <w:tcW w:w="352" w:type="pct"/>
                  <w:vMerge w:val="continue"/>
                  <w:vAlign w:val="center"/>
                </w:tcPr>
                <w:p w14:paraId="7E155EB1">
                  <w:pPr>
                    <w:rPr>
                      <w:color w:val="auto"/>
                    </w:rPr>
                  </w:pPr>
                </w:p>
              </w:tc>
              <w:tc>
                <w:tcPr>
                  <w:tcW w:w="404" w:type="pct"/>
                  <w:vAlign w:val="center"/>
                </w:tcPr>
                <w:p w14:paraId="708C6674">
                  <w:pPr>
                    <w:jc w:val="center"/>
                    <w:rPr>
                      <w:color w:val="auto"/>
                    </w:rPr>
                  </w:pPr>
                  <w:r>
                    <w:rPr>
                      <w:color w:val="auto"/>
                    </w:rPr>
                    <w:t>污染物治理设施编号</w:t>
                  </w:r>
                </w:p>
              </w:tc>
              <w:tc>
                <w:tcPr>
                  <w:tcW w:w="404" w:type="pct"/>
                  <w:vAlign w:val="center"/>
                </w:tcPr>
                <w:p w14:paraId="77893F10">
                  <w:pPr>
                    <w:jc w:val="center"/>
                    <w:rPr>
                      <w:color w:val="auto"/>
                    </w:rPr>
                  </w:pPr>
                  <w:r>
                    <w:rPr>
                      <w:color w:val="auto"/>
                    </w:rPr>
                    <w:t>污染治理设施名称</w:t>
                  </w:r>
                </w:p>
              </w:tc>
              <w:tc>
                <w:tcPr>
                  <w:tcW w:w="651" w:type="pct"/>
                  <w:vAlign w:val="center"/>
                </w:tcPr>
                <w:p w14:paraId="18478CF1">
                  <w:pPr>
                    <w:jc w:val="center"/>
                    <w:rPr>
                      <w:color w:val="auto"/>
                    </w:rPr>
                  </w:pPr>
                  <w:r>
                    <w:rPr>
                      <w:color w:val="auto"/>
                    </w:rPr>
                    <w:t>污染治理设施工艺</w:t>
                  </w:r>
                </w:p>
              </w:tc>
              <w:tc>
                <w:tcPr>
                  <w:tcW w:w="518" w:type="pct"/>
                  <w:vMerge w:val="continue"/>
                  <w:vAlign w:val="center"/>
                </w:tcPr>
                <w:p w14:paraId="122D9C0E">
                  <w:pPr>
                    <w:jc w:val="center"/>
                    <w:rPr>
                      <w:color w:val="auto"/>
                    </w:rPr>
                  </w:pPr>
                </w:p>
              </w:tc>
              <w:tc>
                <w:tcPr>
                  <w:tcW w:w="406" w:type="pct"/>
                  <w:vMerge w:val="continue"/>
                  <w:vAlign w:val="center"/>
                </w:tcPr>
                <w:p w14:paraId="1FF90B85">
                  <w:pPr>
                    <w:jc w:val="center"/>
                    <w:rPr>
                      <w:color w:val="auto"/>
                    </w:rPr>
                  </w:pPr>
                </w:p>
              </w:tc>
              <w:tc>
                <w:tcPr>
                  <w:tcW w:w="405" w:type="pct"/>
                  <w:vMerge w:val="continue"/>
                  <w:vAlign w:val="center"/>
                </w:tcPr>
                <w:p w14:paraId="7867B597">
                  <w:pPr>
                    <w:jc w:val="center"/>
                    <w:rPr>
                      <w:color w:val="auto"/>
                    </w:rPr>
                  </w:pPr>
                </w:p>
              </w:tc>
            </w:tr>
            <w:tr w14:paraId="15EDFA2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18" w:hRule="atLeast"/>
              </w:trPr>
              <w:tc>
                <w:tcPr>
                  <w:tcW w:w="258" w:type="pct"/>
                  <w:vAlign w:val="center"/>
                </w:tcPr>
                <w:p w14:paraId="3DA694CA">
                  <w:pPr>
                    <w:jc w:val="center"/>
                    <w:rPr>
                      <w:color w:val="auto"/>
                    </w:rPr>
                  </w:pPr>
                  <w:r>
                    <w:rPr>
                      <w:color w:val="auto"/>
                    </w:rPr>
                    <w:t>1</w:t>
                  </w:r>
                </w:p>
              </w:tc>
              <w:tc>
                <w:tcPr>
                  <w:tcW w:w="441" w:type="pct"/>
                  <w:vAlign w:val="center"/>
                </w:tcPr>
                <w:p w14:paraId="3103FFE6">
                  <w:pPr>
                    <w:jc w:val="center"/>
                    <w:rPr>
                      <w:rFonts w:hint="eastAsia" w:eastAsia="宋体"/>
                      <w:color w:val="auto"/>
                      <w:lang w:eastAsia="zh-CN"/>
                    </w:rPr>
                  </w:pPr>
                  <w:r>
                    <w:rPr>
                      <w:rFonts w:hint="eastAsia"/>
                      <w:color w:val="auto"/>
                      <w:lang w:val="en-US" w:eastAsia="zh-CN"/>
                    </w:rPr>
                    <w:t>综合废水</w:t>
                  </w:r>
                </w:p>
              </w:tc>
              <w:tc>
                <w:tcPr>
                  <w:tcW w:w="568" w:type="pct"/>
                  <w:vAlign w:val="center"/>
                </w:tcPr>
                <w:p w14:paraId="53D95CA8">
                  <w:pPr>
                    <w:jc w:val="center"/>
                    <w:rPr>
                      <w:color w:val="auto"/>
                    </w:rPr>
                  </w:pPr>
                  <w:r>
                    <w:rPr>
                      <w:rFonts w:hint="eastAsia"/>
                      <w:color w:val="auto"/>
                      <w:szCs w:val="20"/>
                    </w:rPr>
                    <w:t>COD、BOD</w:t>
                  </w:r>
                  <w:r>
                    <w:rPr>
                      <w:rFonts w:hint="eastAsia"/>
                      <w:color w:val="auto"/>
                      <w:szCs w:val="20"/>
                      <w:vertAlign w:val="subscript"/>
                    </w:rPr>
                    <w:t>5</w:t>
                  </w:r>
                  <w:r>
                    <w:rPr>
                      <w:rFonts w:hint="eastAsia"/>
                      <w:color w:val="auto"/>
                      <w:szCs w:val="20"/>
                    </w:rPr>
                    <w:t>、SS、NH</w:t>
                  </w:r>
                  <w:r>
                    <w:rPr>
                      <w:rFonts w:hint="eastAsia"/>
                      <w:color w:val="auto"/>
                      <w:szCs w:val="20"/>
                      <w:vertAlign w:val="subscript"/>
                    </w:rPr>
                    <w:t>3</w:t>
                  </w:r>
                  <w:r>
                    <w:rPr>
                      <w:rFonts w:hint="eastAsia"/>
                      <w:color w:val="auto"/>
                      <w:szCs w:val="20"/>
                    </w:rPr>
                    <w:t>-N、TN、TP</w:t>
                  </w:r>
                </w:p>
              </w:tc>
              <w:tc>
                <w:tcPr>
                  <w:tcW w:w="592" w:type="pct"/>
                  <w:vAlign w:val="center"/>
                </w:tcPr>
                <w:p w14:paraId="7B0AD714">
                  <w:pPr>
                    <w:jc w:val="center"/>
                    <w:rPr>
                      <w:color w:val="auto"/>
                    </w:rPr>
                  </w:pPr>
                  <w:r>
                    <w:rPr>
                      <w:rFonts w:hint="eastAsia"/>
                      <w:color w:val="auto"/>
                    </w:rPr>
                    <w:t>西安净水处理有限责任公司第六再生水厂</w:t>
                  </w:r>
                </w:p>
              </w:tc>
              <w:tc>
                <w:tcPr>
                  <w:tcW w:w="352" w:type="pct"/>
                  <w:vAlign w:val="center"/>
                </w:tcPr>
                <w:p w14:paraId="4EBC9635">
                  <w:pPr>
                    <w:jc w:val="center"/>
                    <w:rPr>
                      <w:color w:val="auto"/>
                    </w:rPr>
                  </w:pPr>
                  <w:r>
                    <w:rPr>
                      <w:color w:val="auto"/>
                    </w:rPr>
                    <w:t>间歇排放</w:t>
                  </w:r>
                </w:p>
              </w:tc>
              <w:tc>
                <w:tcPr>
                  <w:tcW w:w="404" w:type="pct"/>
                  <w:vAlign w:val="center"/>
                </w:tcPr>
                <w:p w14:paraId="5608969B">
                  <w:pPr>
                    <w:jc w:val="center"/>
                    <w:rPr>
                      <w:color w:val="auto"/>
                    </w:rPr>
                  </w:pPr>
                  <w:r>
                    <w:rPr>
                      <w:color w:val="auto"/>
                    </w:rPr>
                    <w:t>TW001</w:t>
                  </w:r>
                </w:p>
              </w:tc>
              <w:tc>
                <w:tcPr>
                  <w:tcW w:w="404" w:type="pct"/>
                  <w:vAlign w:val="center"/>
                </w:tcPr>
                <w:p w14:paraId="59EBBBE9">
                  <w:pPr>
                    <w:jc w:val="center"/>
                    <w:rPr>
                      <w:color w:val="auto"/>
                    </w:rPr>
                  </w:pPr>
                  <w:r>
                    <w:rPr>
                      <w:rFonts w:hint="eastAsia"/>
                      <w:color w:val="auto"/>
                      <w:lang w:val="en-US" w:eastAsia="zh-CN"/>
                    </w:rPr>
                    <w:t>沉淀池+院</w:t>
                  </w:r>
                  <w:r>
                    <w:rPr>
                      <w:color w:val="auto"/>
                    </w:rPr>
                    <w:t>内</w:t>
                  </w:r>
                  <w:r>
                    <w:rPr>
                      <w:rFonts w:hint="eastAsia"/>
                      <w:color w:val="auto"/>
                    </w:rPr>
                    <w:t>化粪池</w:t>
                  </w:r>
                </w:p>
              </w:tc>
              <w:tc>
                <w:tcPr>
                  <w:tcW w:w="651" w:type="pct"/>
                  <w:vAlign w:val="center"/>
                </w:tcPr>
                <w:p w14:paraId="7E6F14F6">
                  <w:pPr>
                    <w:jc w:val="center"/>
                    <w:rPr>
                      <w:color w:val="auto"/>
                    </w:rPr>
                  </w:pPr>
                  <w:r>
                    <w:rPr>
                      <w:rFonts w:hint="eastAsia"/>
                      <w:color w:val="auto"/>
                    </w:rPr>
                    <w:t>化粪池</w:t>
                  </w:r>
                </w:p>
              </w:tc>
              <w:tc>
                <w:tcPr>
                  <w:tcW w:w="518" w:type="pct"/>
                  <w:vAlign w:val="center"/>
                </w:tcPr>
                <w:p w14:paraId="05C25FBF">
                  <w:pPr>
                    <w:rPr>
                      <w:color w:val="auto"/>
                    </w:rPr>
                  </w:pPr>
                  <w:r>
                    <w:rPr>
                      <w:color w:val="auto"/>
                    </w:rPr>
                    <w:t>DW001</w:t>
                  </w:r>
                </w:p>
              </w:tc>
              <w:tc>
                <w:tcPr>
                  <w:tcW w:w="406" w:type="pct"/>
                  <w:vAlign w:val="center"/>
                </w:tcPr>
                <w:p w14:paraId="328B016F">
                  <w:pPr>
                    <w:jc w:val="center"/>
                    <w:rPr>
                      <w:color w:val="auto"/>
                    </w:rPr>
                  </w:pPr>
                  <w:r>
                    <w:rPr>
                      <w:color w:val="auto"/>
                    </w:rPr>
                    <w:t>是</w:t>
                  </w:r>
                </w:p>
              </w:tc>
              <w:tc>
                <w:tcPr>
                  <w:tcW w:w="405" w:type="pct"/>
                  <w:vAlign w:val="center"/>
                </w:tcPr>
                <w:p w14:paraId="5583608B">
                  <w:pPr>
                    <w:jc w:val="center"/>
                    <w:rPr>
                      <w:color w:val="auto"/>
                    </w:rPr>
                  </w:pPr>
                  <w:r>
                    <w:rPr>
                      <w:color w:val="auto"/>
                    </w:rPr>
                    <w:t>一般排放口</w:t>
                  </w:r>
                </w:p>
              </w:tc>
            </w:tr>
          </w:tbl>
          <w:p w14:paraId="47C90B28">
            <w:pPr>
              <w:spacing w:line="360" w:lineRule="auto"/>
              <w:ind w:left="420" w:leftChars="200"/>
              <w:rPr>
                <w:bCs/>
                <w:color w:val="auto"/>
                <w:sz w:val="24"/>
              </w:rPr>
            </w:pPr>
            <w:r>
              <w:rPr>
                <w:bCs/>
                <w:color w:val="auto"/>
                <w:sz w:val="24"/>
              </w:rPr>
              <w:t>（</w:t>
            </w:r>
            <w:r>
              <w:rPr>
                <w:rFonts w:hint="eastAsia"/>
                <w:bCs/>
                <w:color w:val="auto"/>
                <w:sz w:val="24"/>
                <w:lang w:val="en-US" w:eastAsia="zh-CN"/>
              </w:rPr>
              <w:t>4</w:t>
            </w:r>
            <w:r>
              <w:rPr>
                <w:bCs/>
                <w:color w:val="auto"/>
                <w:sz w:val="24"/>
              </w:rPr>
              <w:t>）监测要求</w:t>
            </w:r>
          </w:p>
          <w:p w14:paraId="6ECC2224">
            <w:pPr>
              <w:adjustRightInd w:val="0"/>
              <w:snapToGrid w:val="0"/>
              <w:spacing w:line="360" w:lineRule="auto"/>
              <w:ind w:firstLine="480" w:firstLineChars="200"/>
              <w:rPr>
                <w:rFonts w:hint="eastAsia" w:eastAsia="宋体"/>
                <w:color w:val="auto"/>
                <w:sz w:val="24"/>
                <w:lang w:eastAsia="zh-CN"/>
              </w:rPr>
            </w:pPr>
            <w:r>
              <w:rPr>
                <w:color w:val="auto"/>
                <w:sz w:val="24"/>
              </w:rPr>
              <w:t>本项目</w:t>
            </w:r>
            <w:r>
              <w:rPr>
                <w:rFonts w:hint="eastAsia"/>
                <w:color w:val="auto"/>
                <w:sz w:val="24"/>
              </w:rPr>
              <w:t>废水污染源与环境监测计划见下表所示</w:t>
            </w:r>
            <w:r>
              <w:rPr>
                <w:rFonts w:hint="eastAsia"/>
                <w:color w:val="auto"/>
                <w:sz w:val="24"/>
                <w:lang w:eastAsia="zh-CN"/>
              </w:rPr>
              <w:t>，</w:t>
            </w:r>
            <w:r>
              <w:rPr>
                <w:rFonts w:hint="eastAsia"/>
                <w:color w:val="auto"/>
                <w:sz w:val="24"/>
                <w:highlight w:val="none"/>
                <w:lang w:val="en-US" w:eastAsia="zh-CN"/>
              </w:rPr>
              <w:t>本项目废水排口为院内废水排口，属于多家企业共同的排放口，废水监测纳入西安众汇电子科技有限公司全院废水监测计划中。</w:t>
            </w:r>
          </w:p>
          <w:p w14:paraId="2C82512B">
            <w:pPr>
              <w:adjustRightInd w:val="0"/>
              <w:snapToGrid w:val="0"/>
              <w:jc w:val="center"/>
              <w:rPr>
                <w:color w:val="auto"/>
                <w:sz w:val="24"/>
                <w:szCs w:val="20"/>
              </w:rPr>
            </w:pPr>
            <w:r>
              <w:rPr>
                <w:b/>
                <w:color w:val="auto"/>
                <w:sz w:val="24"/>
              </w:rPr>
              <w:t>表4-</w:t>
            </w:r>
            <w:r>
              <w:rPr>
                <w:rFonts w:hint="eastAsia"/>
                <w:b/>
                <w:color w:val="auto"/>
                <w:sz w:val="24"/>
                <w:lang w:val="en-US" w:eastAsia="zh-CN"/>
              </w:rPr>
              <w:t>4</w:t>
            </w:r>
            <w:r>
              <w:rPr>
                <w:b/>
                <w:color w:val="auto"/>
                <w:sz w:val="24"/>
              </w:rPr>
              <w:t xml:space="preserve">  </w:t>
            </w:r>
            <w:r>
              <w:rPr>
                <w:rFonts w:hint="eastAsia"/>
                <w:b/>
                <w:color w:val="auto"/>
                <w:sz w:val="24"/>
              </w:rPr>
              <w:t>运营期废水监测一览表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7"/>
              <w:gridCol w:w="1811"/>
              <w:gridCol w:w="1264"/>
              <w:gridCol w:w="4144"/>
            </w:tblGrid>
            <w:tr w14:paraId="37BC34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5" w:type="pct"/>
                  <w:vAlign w:val="center"/>
                </w:tcPr>
                <w:p w14:paraId="17C185DD">
                  <w:pPr>
                    <w:adjustRightInd w:val="0"/>
                    <w:snapToGrid w:val="0"/>
                    <w:jc w:val="center"/>
                    <w:rPr>
                      <w:bCs/>
                      <w:color w:val="auto"/>
                      <w:kern w:val="21"/>
                      <w:szCs w:val="21"/>
                    </w:rPr>
                  </w:pPr>
                  <w:r>
                    <w:rPr>
                      <w:bCs/>
                      <w:color w:val="auto"/>
                      <w:kern w:val="21"/>
                      <w:szCs w:val="21"/>
                    </w:rPr>
                    <w:t>监测点位</w:t>
                  </w:r>
                </w:p>
              </w:tc>
              <w:tc>
                <w:tcPr>
                  <w:tcW w:w="1047" w:type="pct"/>
                  <w:vAlign w:val="center"/>
                </w:tcPr>
                <w:p w14:paraId="289F3544">
                  <w:pPr>
                    <w:adjustRightInd w:val="0"/>
                    <w:snapToGrid w:val="0"/>
                    <w:jc w:val="center"/>
                    <w:rPr>
                      <w:color w:val="auto"/>
                      <w:szCs w:val="21"/>
                    </w:rPr>
                  </w:pPr>
                  <w:r>
                    <w:rPr>
                      <w:rFonts w:hint="eastAsia"/>
                      <w:bCs/>
                      <w:color w:val="auto"/>
                      <w:kern w:val="21"/>
                      <w:szCs w:val="21"/>
                    </w:rPr>
                    <w:t>监测因子</w:t>
                  </w:r>
                </w:p>
              </w:tc>
              <w:tc>
                <w:tcPr>
                  <w:tcW w:w="731" w:type="pct"/>
                  <w:vAlign w:val="center"/>
                </w:tcPr>
                <w:p w14:paraId="6A356AC1">
                  <w:pPr>
                    <w:adjustRightInd w:val="0"/>
                    <w:snapToGrid w:val="0"/>
                    <w:jc w:val="center"/>
                    <w:rPr>
                      <w:color w:val="auto"/>
                      <w:szCs w:val="21"/>
                    </w:rPr>
                  </w:pPr>
                  <w:r>
                    <w:rPr>
                      <w:bCs/>
                      <w:color w:val="auto"/>
                      <w:kern w:val="21"/>
                      <w:szCs w:val="21"/>
                    </w:rPr>
                    <w:t>监测频次</w:t>
                  </w:r>
                </w:p>
              </w:tc>
              <w:tc>
                <w:tcPr>
                  <w:tcW w:w="2395" w:type="pct"/>
                  <w:vAlign w:val="center"/>
                </w:tcPr>
                <w:p w14:paraId="13B2CE0D">
                  <w:pPr>
                    <w:adjustRightInd w:val="0"/>
                    <w:snapToGrid w:val="0"/>
                    <w:jc w:val="center"/>
                    <w:rPr>
                      <w:bCs/>
                      <w:color w:val="auto"/>
                      <w:kern w:val="21"/>
                      <w:szCs w:val="21"/>
                    </w:rPr>
                  </w:pPr>
                  <w:r>
                    <w:rPr>
                      <w:rFonts w:hint="eastAsia"/>
                      <w:bCs/>
                      <w:color w:val="auto"/>
                      <w:kern w:val="21"/>
                      <w:szCs w:val="21"/>
                    </w:rPr>
                    <w:t>控制指标</w:t>
                  </w:r>
                </w:p>
              </w:tc>
            </w:tr>
            <w:tr w14:paraId="07C479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5" w:type="pct"/>
                  <w:vAlign w:val="center"/>
                </w:tcPr>
                <w:p w14:paraId="7B37D892">
                  <w:pPr>
                    <w:adjustRightInd w:val="0"/>
                    <w:snapToGrid w:val="0"/>
                    <w:jc w:val="center"/>
                    <w:rPr>
                      <w:color w:val="auto"/>
                      <w:szCs w:val="21"/>
                    </w:rPr>
                  </w:pPr>
                  <w:r>
                    <w:rPr>
                      <w:rFonts w:hint="eastAsia"/>
                      <w:color w:val="auto"/>
                      <w:szCs w:val="21"/>
                    </w:rPr>
                    <w:t>厂区总排口DW001</w:t>
                  </w:r>
                </w:p>
              </w:tc>
              <w:tc>
                <w:tcPr>
                  <w:tcW w:w="1047" w:type="pct"/>
                  <w:vAlign w:val="center"/>
                </w:tcPr>
                <w:p w14:paraId="480BE528">
                  <w:pPr>
                    <w:pStyle w:val="69"/>
                    <w:rPr>
                      <w:color w:val="auto"/>
                      <w:szCs w:val="21"/>
                    </w:rPr>
                  </w:pPr>
                  <w:r>
                    <w:rPr>
                      <w:rFonts w:hint="eastAsia"/>
                      <w:color w:val="auto"/>
                    </w:rPr>
                    <w:t>COD、BOD</w:t>
                  </w:r>
                  <w:r>
                    <w:rPr>
                      <w:rFonts w:hint="eastAsia"/>
                      <w:color w:val="auto"/>
                      <w:vertAlign w:val="subscript"/>
                    </w:rPr>
                    <w:t>5</w:t>
                  </w:r>
                  <w:r>
                    <w:rPr>
                      <w:rFonts w:hint="eastAsia"/>
                      <w:color w:val="auto"/>
                    </w:rPr>
                    <w:t>、SS、NH</w:t>
                  </w:r>
                  <w:r>
                    <w:rPr>
                      <w:rFonts w:hint="eastAsia"/>
                      <w:color w:val="auto"/>
                      <w:vertAlign w:val="subscript"/>
                    </w:rPr>
                    <w:t>3</w:t>
                  </w:r>
                  <w:r>
                    <w:rPr>
                      <w:rFonts w:hint="eastAsia"/>
                      <w:color w:val="auto"/>
                    </w:rPr>
                    <w:t>-N、TN、TP</w:t>
                  </w:r>
                </w:p>
              </w:tc>
              <w:tc>
                <w:tcPr>
                  <w:tcW w:w="731" w:type="pct"/>
                  <w:vAlign w:val="center"/>
                </w:tcPr>
                <w:p w14:paraId="40D405EE">
                  <w:pPr>
                    <w:adjustRightInd w:val="0"/>
                    <w:snapToGrid w:val="0"/>
                    <w:jc w:val="center"/>
                    <w:rPr>
                      <w:color w:val="auto"/>
                      <w:szCs w:val="21"/>
                    </w:rPr>
                  </w:pPr>
                  <w:r>
                    <w:rPr>
                      <w:color w:val="auto"/>
                      <w:szCs w:val="21"/>
                    </w:rPr>
                    <w:t>1次/</w:t>
                  </w:r>
                  <w:r>
                    <w:rPr>
                      <w:rFonts w:hint="eastAsia"/>
                      <w:color w:val="auto"/>
                      <w:szCs w:val="21"/>
                    </w:rPr>
                    <w:t>年</w:t>
                  </w:r>
                </w:p>
              </w:tc>
              <w:tc>
                <w:tcPr>
                  <w:tcW w:w="2395" w:type="pct"/>
                  <w:vAlign w:val="center"/>
                </w:tcPr>
                <w:p w14:paraId="260FB6E4">
                  <w:pPr>
                    <w:adjustRightInd w:val="0"/>
                    <w:snapToGrid w:val="0"/>
                    <w:jc w:val="center"/>
                    <w:rPr>
                      <w:color w:val="auto"/>
                      <w:szCs w:val="21"/>
                    </w:rPr>
                  </w:pPr>
                  <w:r>
                    <w:rPr>
                      <w:color w:val="auto"/>
                    </w:rPr>
                    <w:t>《污水综合排放标准》（GB8978-1996）三级标准、《污水排入城镇下水道水质标准》（GB/T 31962-2015）表1</w:t>
                  </w:r>
                  <w:r>
                    <w:rPr>
                      <w:rFonts w:hint="eastAsia"/>
                      <w:color w:val="auto"/>
                    </w:rPr>
                    <w:t>A</w:t>
                  </w:r>
                  <w:r>
                    <w:rPr>
                      <w:color w:val="auto"/>
                    </w:rPr>
                    <w:t>级标准</w:t>
                  </w:r>
                </w:p>
              </w:tc>
            </w:tr>
          </w:tbl>
          <w:p w14:paraId="6DEF8BBB">
            <w:pPr>
              <w:tabs>
                <w:tab w:val="left" w:pos="2851"/>
              </w:tabs>
              <w:adjustRightInd w:val="0"/>
              <w:snapToGrid w:val="0"/>
              <w:spacing w:line="360" w:lineRule="auto"/>
              <w:ind w:firstLine="442" w:firstLineChars="200"/>
              <w:rPr>
                <w:b/>
                <w:color w:val="auto"/>
                <w:spacing w:val="-10"/>
                <w:sz w:val="24"/>
              </w:rPr>
            </w:pPr>
            <w:r>
              <w:rPr>
                <w:b/>
                <w:color w:val="auto"/>
                <w:spacing w:val="-10"/>
                <w:sz w:val="24"/>
              </w:rPr>
              <w:t>3、噪声</w:t>
            </w:r>
          </w:p>
          <w:p w14:paraId="5F8256E4">
            <w:pPr>
              <w:adjustRightInd w:val="0"/>
              <w:snapToGrid w:val="0"/>
              <w:spacing w:line="360" w:lineRule="auto"/>
              <w:ind w:firstLine="480" w:firstLineChars="200"/>
              <w:rPr>
                <w:bCs/>
                <w:color w:val="auto"/>
                <w:sz w:val="24"/>
              </w:rPr>
            </w:pPr>
            <w:r>
              <w:rPr>
                <w:bCs/>
                <w:color w:val="auto"/>
                <w:sz w:val="24"/>
              </w:rPr>
              <w:t>（1）噪声源强</w:t>
            </w:r>
          </w:p>
          <w:p w14:paraId="1B75F917">
            <w:pPr>
              <w:adjustRightInd w:val="0"/>
              <w:snapToGrid w:val="0"/>
              <w:spacing w:line="360" w:lineRule="auto"/>
              <w:ind w:firstLine="480" w:firstLineChars="200"/>
              <w:jc w:val="left"/>
              <w:rPr>
                <w:color w:val="auto"/>
              </w:rPr>
            </w:pPr>
            <w:r>
              <w:rPr>
                <w:color w:val="auto"/>
                <w:sz w:val="24"/>
              </w:rPr>
              <w:t>项目噪声主要是</w:t>
            </w:r>
            <w:r>
              <w:rPr>
                <w:rFonts w:hint="eastAsia"/>
                <w:color w:val="auto"/>
                <w:sz w:val="24"/>
                <w:lang w:val="en-US" w:eastAsia="zh-CN"/>
              </w:rPr>
              <w:t>试验</w:t>
            </w:r>
            <w:r>
              <w:rPr>
                <w:color w:val="auto"/>
                <w:sz w:val="24"/>
              </w:rPr>
              <w:t>设备运转时产生的设备噪声，主要设备为</w:t>
            </w:r>
            <w:r>
              <w:rPr>
                <w:rFonts w:hint="default"/>
                <w:color w:val="auto"/>
                <w:sz w:val="24"/>
                <w:lang w:val="en-US" w:eastAsia="zh-CN"/>
              </w:rPr>
              <w:t>微机控制抗折抗压同步一体机</w:t>
            </w:r>
            <w:r>
              <w:rPr>
                <w:rFonts w:hint="eastAsia"/>
                <w:color w:val="auto"/>
                <w:sz w:val="24"/>
                <w:lang w:eastAsia="zh-CN"/>
              </w:rPr>
              <w:t>、</w:t>
            </w:r>
            <w:r>
              <w:rPr>
                <w:rFonts w:hint="default"/>
                <w:color w:val="auto"/>
                <w:sz w:val="24"/>
                <w:lang w:val="en-US" w:eastAsia="zh-CN"/>
              </w:rPr>
              <w:t>压力试验机</w:t>
            </w:r>
            <w:r>
              <w:rPr>
                <w:color w:val="auto"/>
                <w:sz w:val="24"/>
              </w:rPr>
              <w:t>、</w:t>
            </w:r>
            <w:r>
              <w:rPr>
                <w:rFonts w:hint="default"/>
                <w:color w:val="auto"/>
                <w:sz w:val="24"/>
                <w:lang w:val="en-US" w:eastAsia="zh-CN"/>
              </w:rPr>
              <w:t>电动击实仪</w:t>
            </w:r>
            <w:r>
              <w:rPr>
                <w:color w:val="auto"/>
                <w:sz w:val="24"/>
              </w:rPr>
              <w:t>等，坐标原点</w:t>
            </w:r>
            <w:r>
              <w:rPr>
                <w:rFonts w:hint="eastAsia"/>
                <w:color w:val="auto"/>
                <w:sz w:val="24"/>
              </w:rPr>
              <w:t>为</w:t>
            </w:r>
            <w:r>
              <w:rPr>
                <w:rFonts w:hint="eastAsia"/>
                <w:color w:val="auto"/>
                <w:sz w:val="24"/>
                <w:lang w:val="en-US" w:eastAsia="zh-CN"/>
              </w:rPr>
              <w:t>试验楼</w:t>
            </w:r>
            <w:r>
              <w:rPr>
                <w:rFonts w:hint="eastAsia"/>
                <w:color w:val="auto"/>
                <w:sz w:val="24"/>
              </w:rPr>
              <w:t>西南角（东经108.82465079°，北纬34.32523101）</w:t>
            </w:r>
            <w:r>
              <w:rPr>
                <w:color w:val="auto"/>
                <w:sz w:val="24"/>
              </w:rPr>
              <w:t>，</w:t>
            </w:r>
            <w:r>
              <w:rPr>
                <w:rFonts w:hint="eastAsia"/>
                <w:color w:val="auto"/>
                <w:sz w:val="24"/>
              </w:rPr>
              <w:t>主要</w:t>
            </w:r>
            <w:r>
              <w:rPr>
                <w:color w:val="auto"/>
                <w:sz w:val="24"/>
              </w:rPr>
              <w:t>生产设备噪声源强见下表。</w:t>
            </w:r>
          </w:p>
        </w:tc>
      </w:tr>
    </w:tbl>
    <w:p w14:paraId="3FBDC69F">
      <w:pPr>
        <w:adjustRightInd w:val="0"/>
        <w:snapToGrid w:val="0"/>
        <w:spacing w:line="360" w:lineRule="auto"/>
        <w:rPr>
          <w:rFonts w:ascii="宋体" w:cs="宋体"/>
          <w:b/>
          <w:color w:val="000000" w:themeColor="text1"/>
          <w:kern w:val="0"/>
          <w:sz w:val="28"/>
          <w:szCs w:val="28"/>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
        <w:gridCol w:w="13020"/>
      </w:tblGrid>
      <w:tr w14:paraId="79A89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 w:type="dxa"/>
          </w:tcPr>
          <w:p w14:paraId="79022F14">
            <w:pPr>
              <w:rPr>
                <w:rFonts w:hint="eastAsia" w:ascii="黑体" w:hAnsi="黑体" w:eastAsia="黑体"/>
                <w:snapToGrid w:val="0"/>
                <w:color w:val="000000" w:themeColor="text1"/>
                <w:sz w:val="30"/>
                <w:szCs w:val="30"/>
                <w:vertAlign w:val="baseline"/>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br w:type="page"/>
            </w:r>
          </w:p>
        </w:tc>
        <w:tc>
          <w:tcPr>
            <w:tcW w:w="13020" w:type="dxa"/>
          </w:tcPr>
          <w:p w14:paraId="51DEC885">
            <w:pPr>
              <w:adjustRightInd w:val="0"/>
              <w:snapToGrid w:val="0"/>
              <w:jc w:val="center"/>
              <w:rPr>
                <w:rFonts w:hint="eastAsia" w:eastAsia="宋体"/>
                <w:b/>
                <w:bCs/>
                <w:color w:val="auto"/>
                <w:sz w:val="24"/>
                <w:lang w:eastAsia="zh-CN"/>
              </w:rPr>
            </w:pPr>
            <w:r>
              <w:rPr>
                <w:b/>
                <w:bCs/>
                <w:color w:val="auto"/>
                <w:sz w:val="24"/>
              </w:rPr>
              <w:t>表4-</w:t>
            </w:r>
            <w:r>
              <w:rPr>
                <w:rFonts w:hint="eastAsia"/>
                <w:b/>
                <w:bCs/>
                <w:color w:val="auto"/>
                <w:sz w:val="24"/>
                <w:lang w:val="en-US" w:eastAsia="zh-CN"/>
              </w:rPr>
              <w:t>5</w:t>
            </w:r>
            <w:r>
              <w:rPr>
                <w:b/>
                <w:bCs/>
                <w:color w:val="auto"/>
                <w:sz w:val="24"/>
              </w:rPr>
              <w:t xml:space="preserve">  </w:t>
            </w:r>
            <w:r>
              <w:rPr>
                <w:rFonts w:hint="eastAsia"/>
                <w:b/>
                <w:bCs/>
                <w:color w:val="auto"/>
                <w:sz w:val="24"/>
              </w:rPr>
              <w:t>本项目</w:t>
            </w:r>
            <w:r>
              <w:rPr>
                <w:b/>
                <w:bCs/>
                <w:color w:val="auto"/>
                <w:sz w:val="24"/>
              </w:rPr>
              <w:t>噪声源强调查清单</w:t>
            </w:r>
            <w:r>
              <w:rPr>
                <w:rFonts w:hint="eastAsia"/>
                <w:b/>
                <w:bCs/>
                <w:color w:val="auto"/>
                <w:sz w:val="24"/>
                <w:lang w:eastAsia="zh-CN"/>
              </w:rPr>
              <w:t>（</w:t>
            </w:r>
            <w:r>
              <w:rPr>
                <w:rFonts w:hint="eastAsia"/>
                <w:b/>
                <w:bCs/>
                <w:color w:val="auto"/>
                <w:sz w:val="24"/>
                <w:lang w:val="en-US" w:eastAsia="zh-CN"/>
              </w:rPr>
              <w:t>室内</w:t>
            </w:r>
            <w:r>
              <w:rPr>
                <w:rFonts w:hint="eastAsia"/>
                <w:b/>
                <w:bCs/>
                <w:color w:val="auto"/>
                <w:sz w:val="24"/>
                <w:lang w:eastAsia="zh-CN"/>
              </w:rPr>
              <w:t>）</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42"/>
              <w:gridCol w:w="240"/>
              <w:gridCol w:w="587"/>
              <w:gridCol w:w="661"/>
              <w:gridCol w:w="805"/>
              <w:gridCol w:w="190"/>
              <w:gridCol w:w="661"/>
              <w:gridCol w:w="661"/>
              <w:gridCol w:w="661"/>
              <w:gridCol w:w="520"/>
              <w:gridCol w:w="661"/>
              <w:gridCol w:w="661"/>
              <w:gridCol w:w="661"/>
              <w:gridCol w:w="661"/>
              <w:gridCol w:w="587"/>
              <w:gridCol w:w="794"/>
              <w:gridCol w:w="661"/>
              <w:gridCol w:w="661"/>
              <w:gridCol w:w="661"/>
              <w:gridCol w:w="666"/>
              <w:gridCol w:w="297"/>
            </w:tblGrid>
            <w:tr w14:paraId="7D8D25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1" w:hRule="atLeast"/>
                <w:jc w:val="center"/>
              </w:trPr>
              <w:tc>
                <w:tcPr>
                  <w:tcW w:w="328" w:type="pct"/>
                  <w:vMerge w:val="restart"/>
                  <w:vAlign w:val="center"/>
                </w:tcPr>
                <w:p w14:paraId="5FA89A1C">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声源名称</w:t>
                  </w:r>
                </w:p>
              </w:tc>
              <w:tc>
                <w:tcPr>
                  <w:tcW w:w="93" w:type="pct"/>
                  <w:vMerge w:val="restart"/>
                  <w:shd w:val="clear" w:color="auto" w:fill="auto"/>
                  <w:vAlign w:val="center"/>
                </w:tcPr>
                <w:p w14:paraId="0E36C76D">
                  <w:pPr>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cs="Times New Roman"/>
                      <w:color w:val="auto"/>
                      <w:sz w:val="21"/>
                      <w:szCs w:val="21"/>
                    </w:rPr>
                    <w:t>声源源强dB（A）</w:t>
                  </w:r>
                </w:p>
              </w:tc>
              <w:tc>
                <w:tcPr>
                  <w:tcW w:w="229" w:type="pct"/>
                  <w:vMerge w:val="restart"/>
                  <w:shd w:val="clear" w:color="auto" w:fill="auto"/>
                  <w:vAlign w:val="center"/>
                </w:tcPr>
                <w:p w14:paraId="2E83D9DA">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cs="Times New Roman"/>
                      <w:color w:val="auto"/>
                      <w:sz w:val="21"/>
                      <w:szCs w:val="21"/>
                    </w:rPr>
                    <w:t>声源控制措施措施</w:t>
                  </w:r>
                </w:p>
              </w:tc>
              <w:tc>
                <w:tcPr>
                  <w:tcW w:w="646" w:type="pct"/>
                  <w:gridSpan w:val="3"/>
                  <w:vAlign w:val="center"/>
                </w:tcPr>
                <w:p w14:paraId="73CC3E09">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空间相对位置/m</w:t>
                  </w:r>
                </w:p>
              </w:tc>
              <w:tc>
                <w:tcPr>
                  <w:tcW w:w="977" w:type="pct"/>
                  <w:gridSpan w:val="4"/>
                  <w:vAlign w:val="center"/>
                </w:tcPr>
                <w:p w14:paraId="3940B12D">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距室内边界距离</w:t>
                  </w:r>
                  <w:r>
                    <w:rPr>
                      <w:rFonts w:hint="default" w:ascii="Times New Roman" w:hAnsi="Times New Roman" w:cs="Times New Roman"/>
                      <w:color w:val="auto"/>
                      <w:sz w:val="21"/>
                      <w:szCs w:val="21"/>
                    </w:rPr>
                    <w:t>/m</w:t>
                  </w:r>
                </w:p>
              </w:tc>
              <w:tc>
                <w:tcPr>
                  <w:tcW w:w="1032" w:type="pct"/>
                  <w:gridSpan w:val="4"/>
                  <w:vAlign w:val="center"/>
                </w:tcPr>
                <w:p w14:paraId="78AAEC83">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cs="Times New Roman"/>
                      <w:b w:val="0"/>
                      <w:bCs w:val="0"/>
                      <w:color w:val="auto"/>
                      <w:sz w:val="21"/>
                      <w:szCs w:val="21"/>
                      <w:lang w:val="en-US" w:eastAsia="zh-CN"/>
                    </w:rPr>
                    <w:t>室内边界声级/dB（A）</w:t>
                  </w:r>
                </w:p>
              </w:tc>
              <w:tc>
                <w:tcPr>
                  <w:tcW w:w="229" w:type="pct"/>
                  <w:vMerge w:val="restart"/>
                  <w:vAlign w:val="center"/>
                </w:tcPr>
                <w:p w14:paraId="5215F9CF">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运行</w:t>
                  </w:r>
                </w:p>
                <w:p w14:paraId="3F7537B5">
                  <w:pPr>
                    <w:adjustRightInd w:val="0"/>
                    <w:snapToGrid w:val="0"/>
                    <w:jc w:val="center"/>
                    <w:rPr>
                      <w:rFonts w:hint="default" w:ascii="Times New Roman" w:hAnsi="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时段</w:t>
                  </w:r>
                </w:p>
              </w:tc>
              <w:tc>
                <w:tcPr>
                  <w:tcW w:w="310" w:type="pct"/>
                  <w:vMerge w:val="restart"/>
                  <w:vAlign w:val="center"/>
                </w:tcPr>
                <w:p w14:paraId="29A0D616">
                  <w:pPr>
                    <w:adjustRightInd w:val="0"/>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建筑物插入损失/dB（A）</w:t>
                  </w:r>
                </w:p>
              </w:tc>
              <w:tc>
                <w:tcPr>
                  <w:tcW w:w="1150" w:type="pct"/>
                  <w:gridSpan w:val="5"/>
                  <w:vAlign w:val="center"/>
                </w:tcPr>
                <w:p w14:paraId="0152374B">
                  <w:pPr>
                    <w:adjustRightInd w:val="0"/>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建筑物外噪声</w:t>
                  </w:r>
                </w:p>
              </w:tc>
            </w:tr>
            <w:tr w14:paraId="46FBFA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2" w:hRule="atLeast"/>
                <w:jc w:val="center"/>
              </w:trPr>
              <w:tc>
                <w:tcPr>
                  <w:tcW w:w="328" w:type="pct"/>
                  <w:vMerge w:val="continue"/>
                  <w:vAlign w:val="center"/>
                </w:tcPr>
                <w:p w14:paraId="6DFA5B81">
                  <w:pPr>
                    <w:adjustRightInd w:val="0"/>
                    <w:snapToGrid w:val="0"/>
                    <w:jc w:val="center"/>
                    <w:rPr>
                      <w:rFonts w:hint="default" w:ascii="Times New Roman" w:hAnsi="Times New Roman" w:eastAsia="Times New Roman" w:cs="Times New Roman"/>
                      <w:color w:val="auto"/>
                      <w:sz w:val="21"/>
                      <w:szCs w:val="21"/>
                      <w:lang w:val="zh-CN" w:bidi="zh-CN"/>
                    </w:rPr>
                  </w:pPr>
                </w:p>
              </w:tc>
              <w:tc>
                <w:tcPr>
                  <w:tcW w:w="93" w:type="pct"/>
                  <w:vMerge w:val="continue"/>
                  <w:shd w:val="clear" w:color="auto" w:fill="auto"/>
                  <w:vAlign w:val="center"/>
                </w:tcPr>
                <w:p w14:paraId="49B67B0B">
                  <w:pPr>
                    <w:jc w:val="center"/>
                    <w:rPr>
                      <w:rFonts w:hint="default" w:ascii="Times New Roman" w:hAnsi="Times New Roman" w:eastAsia="Times New Roman" w:cs="Times New Roman"/>
                      <w:b/>
                      <w:bCs/>
                      <w:color w:val="auto"/>
                      <w:kern w:val="2"/>
                      <w:sz w:val="21"/>
                      <w:szCs w:val="21"/>
                      <w:lang w:val="en-US" w:eastAsia="zh-CN" w:bidi="zh-CN"/>
                    </w:rPr>
                  </w:pPr>
                </w:p>
              </w:tc>
              <w:tc>
                <w:tcPr>
                  <w:tcW w:w="229" w:type="pct"/>
                  <w:vMerge w:val="continue"/>
                  <w:shd w:val="clear" w:color="auto" w:fill="auto"/>
                  <w:vAlign w:val="center"/>
                </w:tcPr>
                <w:p w14:paraId="0B4CE39D">
                  <w:pPr>
                    <w:adjustRightInd w:val="0"/>
                    <w:snapToGrid w:val="0"/>
                    <w:jc w:val="center"/>
                    <w:rPr>
                      <w:rFonts w:hint="default" w:ascii="Times New Roman" w:hAnsi="Times New Roman" w:eastAsia="Times New Roman" w:cs="Times New Roman"/>
                      <w:color w:val="auto"/>
                      <w:kern w:val="2"/>
                      <w:sz w:val="21"/>
                      <w:szCs w:val="21"/>
                      <w:lang w:val="en-US" w:eastAsia="zh-CN" w:bidi="zh-CN"/>
                    </w:rPr>
                  </w:pPr>
                </w:p>
              </w:tc>
              <w:tc>
                <w:tcPr>
                  <w:tcW w:w="258" w:type="pct"/>
                  <w:vMerge w:val="restart"/>
                  <w:vAlign w:val="center"/>
                </w:tcPr>
                <w:p w14:paraId="1F1D20F4">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X</w:t>
                  </w:r>
                </w:p>
              </w:tc>
              <w:tc>
                <w:tcPr>
                  <w:tcW w:w="314" w:type="pct"/>
                  <w:vMerge w:val="restart"/>
                  <w:vAlign w:val="center"/>
                </w:tcPr>
                <w:p w14:paraId="332627CB">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Y</w:t>
                  </w:r>
                </w:p>
              </w:tc>
              <w:tc>
                <w:tcPr>
                  <w:tcW w:w="74" w:type="pct"/>
                  <w:vMerge w:val="restart"/>
                  <w:vAlign w:val="center"/>
                </w:tcPr>
                <w:p w14:paraId="19338EAB">
                  <w:pPr>
                    <w:adjustRightInd w:val="0"/>
                    <w:snapToGrid w:val="0"/>
                    <w:jc w:val="center"/>
                    <w:rPr>
                      <w:rFonts w:hint="default" w:ascii="Times New Roman" w:hAnsi="Times New Roman" w:eastAsia="Times New Roman" w:cs="Times New Roman"/>
                      <w:color w:val="auto"/>
                      <w:sz w:val="21"/>
                      <w:szCs w:val="21"/>
                      <w:lang w:bidi="zh-CN"/>
                    </w:rPr>
                  </w:pPr>
                  <w:r>
                    <w:rPr>
                      <w:rFonts w:hint="default" w:ascii="Times New Roman" w:hAnsi="Times New Roman" w:eastAsia="Times New Roman" w:cs="Times New Roman"/>
                      <w:color w:val="auto"/>
                      <w:sz w:val="21"/>
                      <w:szCs w:val="21"/>
                      <w:lang w:bidi="zh-CN"/>
                    </w:rPr>
                    <w:t>Z</w:t>
                  </w:r>
                </w:p>
              </w:tc>
              <w:tc>
                <w:tcPr>
                  <w:tcW w:w="258" w:type="pct"/>
                  <w:vMerge w:val="restart"/>
                  <w:vAlign w:val="center"/>
                </w:tcPr>
                <w:p w14:paraId="64BDBF3A">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东</w:t>
                  </w:r>
                </w:p>
              </w:tc>
              <w:tc>
                <w:tcPr>
                  <w:tcW w:w="258" w:type="pct"/>
                  <w:vMerge w:val="restart"/>
                  <w:vAlign w:val="center"/>
                </w:tcPr>
                <w:p w14:paraId="53DC8F7F">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南</w:t>
                  </w:r>
                </w:p>
              </w:tc>
              <w:tc>
                <w:tcPr>
                  <w:tcW w:w="258" w:type="pct"/>
                  <w:vMerge w:val="restart"/>
                  <w:vAlign w:val="center"/>
                </w:tcPr>
                <w:p w14:paraId="3753DA94">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西</w:t>
                  </w:r>
                </w:p>
              </w:tc>
              <w:tc>
                <w:tcPr>
                  <w:tcW w:w="203" w:type="pct"/>
                  <w:vMerge w:val="restart"/>
                  <w:vAlign w:val="center"/>
                </w:tcPr>
                <w:p w14:paraId="01796273">
                  <w:pPr>
                    <w:adjustRightInd w:val="0"/>
                    <w:snapToGrid w:val="0"/>
                    <w:jc w:val="center"/>
                    <w:rPr>
                      <w:rFonts w:hint="default" w:ascii="Times New Roman" w:hAnsi="Times New Roman" w:eastAsia="Times New Roman" w:cs="Times New Roman"/>
                      <w:color w:val="auto"/>
                      <w:sz w:val="21"/>
                      <w:szCs w:val="21"/>
                      <w:lang w:val="en-US" w:bidi="zh-CN"/>
                    </w:rPr>
                  </w:pPr>
                  <w:r>
                    <w:rPr>
                      <w:rFonts w:hint="default" w:ascii="Times New Roman" w:hAnsi="Times New Roman" w:eastAsia="Times New Roman" w:cs="Times New Roman"/>
                      <w:color w:val="auto"/>
                      <w:sz w:val="21"/>
                      <w:szCs w:val="21"/>
                      <w:lang w:val="en-US" w:bidi="zh-CN"/>
                    </w:rPr>
                    <w:t>北</w:t>
                  </w:r>
                </w:p>
              </w:tc>
              <w:tc>
                <w:tcPr>
                  <w:tcW w:w="258" w:type="pct"/>
                  <w:vMerge w:val="restart"/>
                  <w:shd w:val="clear" w:color="auto" w:fill="auto"/>
                  <w:vAlign w:val="center"/>
                </w:tcPr>
                <w:p w14:paraId="17E5521D">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东</w:t>
                  </w:r>
                </w:p>
              </w:tc>
              <w:tc>
                <w:tcPr>
                  <w:tcW w:w="258" w:type="pct"/>
                  <w:vMerge w:val="restart"/>
                  <w:shd w:val="clear" w:color="auto" w:fill="auto"/>
                  <w:vAlign w:val="center"/>
                </w:tcPr>
                <w:p w14:paraId="650852E2">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南</w:t>
                  </w:r>
                </w:p>
              </w:tc>
              <w:tc>
                <w:tcPr>
                  <w:tcW w:w="258" w:type="pct"/>
                  <w:vMerge w:val="restart"/>
                  <w:shd w:val="clear" w:color="auto" w:fill="auto"/>
                  <w:vAlign w:val="center"/>
                </w:tcPr>
                <w:p w14:paraId="36F16F3E">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西</w:t>
                  </w:r>
                </w:p>
              </w:tc>
              <w:tc>
                <w:tcPr>
                  <w:tcW w:w="258" w:type="pct"/>
                  <w:vMerge w:val="restart"/>
                  <w:shd w:val="clear" w:color="auto" w:fill="auto"/>
                  <w:vAlign w:val="center"/>
                </w:tcPr>
                <w:p w14:paraId="64364405">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北</w:t>
                  </w:r>
                </w:p>
              </w:tc>
              <w:tc>
                <w:tcPr>
                  <w:tcW w:w="229" w:type="pct"/>
                  <w:vMerge w:val="continue"/>
                  <w:vAlign w:val="center"/>
                </w:tcPr>
                <w:p w14:paraId="74EE44A4">
                  <w:pPr>
                    <w:adjustRightInd w:val="0"/>
                    <w:snapToGrid w:val="0"/>
                    <w:jc w:val="center"/>
                    <w:rPr>
                      <w:rFonts w:hint="default" w:ascii="Times New Roman" w:hAnsi="Times New Roman" w:eastAsia="Times New Roman" w:cs="Times New Roman"/>
                      <w:color w:val="auto"/>
                      <w:sz w:val="21"/>
                      <w:szCs w:val="21"/>
                      <w:lang w:bidi="zh-CN"/>
                    </w:rPr>
                  </w:pPr>
                </w:p>
              </w:tc>
              <w:tc>
                <w:tcPr>
                  <w:tcW w:w="310" w:type="pct"/>
                  <w:vMerge w:val="continue"/>
                  <w:shd w:val="clear" w:color="auto" w:fill="auto"/>
                  <w:vAlign w:val="center"/>
                </w:tcPr>
                <w:p w14:paraId="7FE23A32">
                  <w:pPr>
                    <w:spacing w:line="240" w:lineRule="auto"/>
                    <w:ind w:firstLine="0" w:firstLineChars="0"/>
                    <w:jc w:val="center"/>
                    <w:rPr>
                      <w:rFonts w:hint="default" w:ascii="Times New Roman" w:hAnsi="Times New Roman" w:cs="Times New Roman"/>
                      <w:b w:val="0"/>
                      <w:bCs w:val="0"/>
                      <w:color w:val="auto"/>
                      <w:sz w:val="21"/>
                      <w:szCs w:val="21"/>
                      <w:highlight w:val="none"/>
                    </w:rPr>
                  </w:pPr>
                </w:p>
              </w:tc>
              <w:tc>
                <w:tcPr>
                  <w:tcW w:w="1034" w:type="pct"/>
                  <w:gridSpan w:val="4"/>
                  <w:shd w:val="clear" w:color="auto" w:fill="auto"/>
                  <w:vAlign w:val="center"/>
                </w:tcPr>
                <w:p w14:paraId="4CBD8D92">
                  <w:pPr>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cs="Times New Roman"/>
                      <w:b w:val="0"/>
                      <w:bCs w:val="0"/>
                      <w:color w:val="auto"/>
                      <w:sz w:val="21"/>
                      <w:szCs w:val="21"/>
                      <w:highlight w:val="none"/>
                    </w:rPr>
                    <w:t>声压级/dB（A）</w:t>
                  </w:r>
                </w:p>
              </w:tc>
              <w:tc>
                <w:tcPr>
                  <w:tcW w:w="116" w:type="pct"/>
                  <w:vMerge w:val="restart"/>
                  <w:shd w:val="clear" w:color="auto" w:fill="auto"/>
                  <w:vAlign w:val="center"/>
                </w:tcPr>
                <w:p w14:paraId="4F84061F">
                  <w:pPr>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cs="Times New Roman"/>
                      <w:b w:val="0"/>
                      <w:bCs w:val="0"/>
                      <w:color w:val="auto"/>
                      <w:sz w:val="21"/>
                      <w:szCs w:val="21"/>
                      <w:highlight w:val="none"/>
                    </w:rPr>
                    <w:t>建筑物外距离</w:t>
                  </w:r>
                </w:p>
              </w:tc>
            </w:tr>
            <w:tr w14:paraId="7C57A3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2" w:hRule="atLeast"/>
                <w:jc w:val="center"/>
              </w:trPr>
              <w:tc>
                <w:tcPr>
                  <w:tcW w:w="328" w:type="pct"/>
                  <w:vMerge w:val="continue"/>
                  <w:vAlign w:val="center"/>
                </w:tcPr>
                <w:p w14:paraId="1F47D342">
                  <w:pPr>
                    <w:adjustRightInd w:val="0"/>
                    <w:snapToGrid w:val="0"/>
                    <w:jc w:val="center"/>
                    <w:rPr>
                      <w:rFonts w:hint="default" w:ascii="Times New Roman" w:hAnsi="Times New Roman" w:eastAsia="Times New Roman" w:cs="Times New Roman"/>
                      <w:color w:val="auto"/>
                      <w:sz w:val="21"/>
                      <w:szCs w:val="21"/>
                      <w:lang w:val="zh-CN" w:bidi="zh-CN"/>
                    </w:rPr>
                  </w:pPr>
                </w:p>
              </w:tc>
              <w:tc>
                <w:tcPr>
                  <w:tcW w:w="93" w:type="pct"/>
                  <w:vMerge w:val="continue"/>
                  <w:shd w:val="clear" w:color="auto" w:fill="auto"/>
                  <w:vAlign w:val="center"/>
                </w:tcPr>
                <w:p w14:paraId="620BE389">
                  <w:pPr>
                    <w:jc w:val="center"/>
                    <w:rPr>
                      <w:rFonts w:hint="default" w:ascii="Times New Roman" w:hAnsi="Times New Roman" w:eastAsia="Times New Roman" w:cs="Times New Roman"/>
                      <w:b/>
                      <w:bCs/>
                      <w:color w:val="auto"/>
                      <w:kern w:val="2"/>
                      <w:sz w:val="21"/>
                      <w:szCs w:val="21"/>
                      <w:lang w:val="en-US" w:eastAsia="zh-CN" w:bidi="zh-CN"/>
                    </w:rPr>
                  </w:pPr>
                </w:p>
              </w:tc>
              <w:tc>
                <w:tcPr>
                  <w:tcW w:w="229" w:type="pct"/>
                  <w:vMerge w:val="continue"/>
                  <w:shd w:val="clear" w:color="auto" w:fill="auto"/>
                  <w:vAlign w:val="center"/>
                </w:tcPr>
                <w:p w14:paraId="7ED70130">
                  <w:pPr>
                    <w:adjustRightInd w:val="0"/>
                    <w:snapToGrid w:val="0"/>
                    <w:jc w:val="center"/>
                    <w:rPr>
                      <w:rFonts w:hint="default" w:ascii="Times New Roman" w:hAnsi="Times New Roman" w:eastAsia="Times New Roman" w:cs="Times New Roman"/>
                      <w:color w:val="auto"/>
                      <w:kern w:val="2"/>
                      <w:sz w:val="21"/>
                      <w:szCs w:val="21"/>
                      <w:lang w:val="en-US" w:eastAsia="zh-CN" w:bidi="zh-CN"/>
                    </w:rPr>
                  </w:pPr>
                </w:p>
              </w:tc>
              <w:tc>
                <w:tcPr>
                  <w:tcW w:w="258" w:type="pct"/>
                  <w:vMerge w:val="continue"/>
                  <w:vAlign w:val="center"/>
                </w:tcPr>
                <w:p w14:paraId="45C4EFB5">
                  <w:pPr>
                    <w:adjustRightInd w:val="0"/>
                    <w:snapToGrid w:val="0"/>
                    <w:jc w:val="center"/>
                    <w:rPr>
                      <w:rFonts w:hint="default" w:ascii="Times New Roman" w:hAnsi="Times New Roman" w:eastAsia="Times New Roman" w:cs="Times New Roman"/>
                      <w:color w:val="auto"/>
                      <w:sz w:val="21"/>
                      <w:szCs w:val="21"/>
                      <w:lang w:bidi="zh-CN"/>
                    </w:rPr>
                  </w:pPr>
                </w:p>
              </w:tc>
              <w:tc>
                <w:tcPr>
                  <w:tcW w:w="314" w:type="pct"/>
                  <w:vMerge w:val="continue"/>
                  <w:vAlign w:val="center"/>
                </w:tcPr>
                <w:p w14:paraId="76EF63A2">
                  <w:pPr>
                    <w:adjustRightInd w:val="0"/>
                    <w:snapToGrid w:val="0"/>
                    <w:jc w:val="center"/>
                    <w:rPr>
                      <w:rFonts w:hint="default" w:ascii="Times New Roman" w:hAnsi="Times New Roman" w:eastAsia="Times New Roman" w:cs="Times New Roman"/>
                      <w:color w:val="auto"/>
                      <w:sz w:val="21"/>
                      <w:szCs w:val="21"/>
                      <w:lang w:bidi="zh-CN"/>
                    </w:rPr>
                  </w:pPr>
                </w:p>
              </w:tc>
              <w:tc>
                <w:tcPr>
                  <w:tcW w:w="74" w:type="pct"/>
                  <w:vMerge w:val="continue"/>
                  <w:vAlign w:val="center"/>
                </w:tcPr>
                <w:p w14:paraId="0C00DC1F">
                  <w:pPr>
                    <w:adjustRightInd w:val="0"/>
                    <w:snapToGrid w:val="0"/>
                    <w:jc w:val="center"/>
                    <w:rPr>
                      <w:rFonts w:hint="default" w:ascii="Times New Roman" w:hAnsi="Times New Roman" w:eastAsia="Times New Roman" w:cs="Times New Roman"/>
                      <w:color w:val="auto"/>
                      <w:sz w:val="21"/>
                      <w:szCs w:val="21"/>
                      <w:lang w:bidi="zh-CN"/>
                    </w:rPr>
                  </w:pPr>
                </w:p>
              </w:tc>
              <w:tc>
                <w:tcPr>
                  <w:tcW w:w="258" w:type="pct"/>
                  <w:vMerge w:val="continue"/>
                  <w:vAlign w:val="center"/>
                </w:tcPr>
                <w:p w14:paraId="48BEBA8B">
                  <w:pPr>
                    <w:adjustRightInd w:val="0"/>
                    <w:snapToGrid w:val="0"/>
                    <w:jc w:val="center"/>
                    <w:rPr>
                      <w:rFonts w:hint="default" w:ascii="Times New Roman" w:hAnsi="Times New Roman" w:eastAsia="Times New Roman" w:cs="Times New Roman"/>
                      <w:color w:val="auto"/>
                      <w:sz w:val="21"/>
                      <w:szCs w:val="21"/>
                      <w:lang w:bidi="zh-CN"/>
                    </w:rPr>
                  </w:pPr>
                </w:p>
              </w:tc>
              <w:tc>
                <w:tcPr>
                  <w:tcW w:w="258" w:type="pct"/>
                  <w:vMerge w:val="continue"/>
                  <w:vAlign w:val="center"/>
                </w:tcPr>
                <w:p w14:paraId="6A70E81E">
                  <w:pPr>
                    <w:adjustRightInd w:val="0"/>
                    <w:snapToGrid w:val="0"/>
                    <w:jc w:val="center"/>
                    <w:rPr>
                      <w:rFonts w:hint="default" w:ascii="Times New Roman" w:hAnsi="Times New Roman" w:eastAsia="Times New Roman" w:cs="Times New Roman"/>
                      <w:color w:val="auto"/>
                      <w:sz w:val="21"/>
                      <w:szCs w:val="21"/>
                      <w:lang w:bidi="zh-CN"/>
                    </w:rPr>
                  </w:pPr>
                </w:p>
              </w:tc>
              <w:tc>
                <w:tcPr>
                  <w:tcW w:w="258" w:type="pct"/>
                  <w:vMerge w:val="continue"/>
                  <w:vAlign w:val="center"/>
                </w:tcPr>
                <w:p w14:paraId="0C858F28">
                  <w:pPr>
                    <w:adjustRightInd w:val="0"/>
                    <w:snapToGrid w:val="0"/>
                    <w:jc w:val="center"/>
                    <w:rPr>
                      <w:rFonts w:hint="default" w:ascii="Times New Roman" w:hAnsi="Times New Roman" w:eastAsia="Times New Roman" w:cs="Times New Roman"/>
                      <w:color w:val="auto"/>
                      <w:sz w:val="21"/>
                      <w:szCs w:val="21"/>
                      <w:lang w:bidi="zh-CN"/>
                    </w:rPr>
                  </w:pPr>
                </w:p>
              </w:tc>
              <w:tc>
                <w:tcPr>
                  <w:tcW w:w="203" w:type="pct"/>
                  <w:vMerge w:val="continue"/>
                  <w:vAlign w:val="center"/>
                </w:tcPr>
                <w:p w14:paraId="116489E2">
                  <w:pPr>
                    <w:adjustRightInd w:val="0"/>
                    <w:snapToGrid w:val="0"/>
                    <w:jc w:val="center"/>
                    <w:rPr>
                      <w:rFonts w:hint="default" w:ascii="Times New Roman" w:hAnsi="Times New Roman" w:eastAsia="Times New Roman" w:cs="Times New Roman"/>
                      <w:color w:val="auto"/>
                      <w:sz w:val="21"/>
                      <w:szCs w:val="21"/>
                      <w:lang w:bidi="zh-CN"/>
                    </w:rPr>
                  </w:pPr>
                </w:p>
              </w:tc>
              <w:tc>
                <w:tcPr>
                  <w:tcW w:w="258" w:type="pct"/>
                  <w:vMerge w:val="continue"/>
                  <w:vAlign w:val="center"/>
                </w:tcPr>
                <w:p w14:paraId="7E9C0D53">
                  <w:pPr>
                    <w:adjustRightInd w:val="0"/>
                    <w:snapToGrid w:val="0"/>
                    <w:jc w:val="center"/>
                    <w:rPr>
                      <w:rFonts w:hint="default" w:ascii="Times New Roman" w:hAnsi="Times New Roman" w:eastAsia="Times New Roman" w:cs="Times New Roman"/>
                      <w:color w:val="auto"/>
                      <w:sz w:val="21"/>
                      <w:szCs w:val="21"/>
                      <w:lang w:bidi="zh-CN"/>
                    </w:rPr>
                  </w:pPr>
                </w:p>
              </w:tc>
              <w:tc>
                <w:tcPr>
                  <w:tcW w:w="258" w:type="pct"/>
                  <w:vMerge w:val="continue"/>
                  <w:vAlign w:val="center"/>
                </w:tcPr>
                <w:p w14:paraId="37DACE17">
                  <w:pPr>
                    <w:adjustRightInd w:val="0"/>
                    <w:snapToGrid w:val="0"/>
                    <w:jc w:val="center"/>
                    <w:rPr>
                      <w:rFonts w:hint="default" w:ascii="Times New Roman" w:hAnsi="Times New Roman" w:eastAsia="Times New Roman" w:cs="Times New Roman"/>
                      <w:color w:val="auto"/>
                      <w:sz w:val="21"/>
                      <w:szCs w:val="21"/>
                      <w:lang w:bidi="zh-CN"/>
                    </w:rPr>
                  </w:pPr>
                </w:p>
              </w:tc>
              <w:tc>
                <w:tcPr>
                  <w:tcW w:w="258" w:type="pct"/>
                  <w:vMerge w:val="continue"/>
                  <w:vAlign w:val="center"/>
                </w:tcPr>
                <w:p w14:paraId="6A45E7C7">
                  <w:pPr>
                    <w:adjustRightInd w:val="0"/>
                    <w:snapToGrid w:val="0"/>
                    <w:jc w:val="center"/>
                    <w:rPr>
                      <w:rFonts w:hint="default" w:ascii="Times New Roman" w:hAnsi="Times New Roman" w:eastAsia="Times New Roman" w:cs="Times New Roman"/>
                      <w:color w:val="auto"/>
                      <w:sz w:val="21"/>
                      <w:szCs w:val="21"/>
                      <w:lang w:bidi="zh-CN"/>
                    </w:rPr>
                  </w:pPr>
                </w:p>
              </w:tc>
              <w:tc>
                <w:tcPr>
                  <w:tcW w:w="258" w:type="pct"/>
                  <w:vMerge w:val="continue"/>
                  <w:vAlign w:val="center"/>
                </w:tcPr>
                <w:p w14:paraId="4A7309DE">
                  <w:pPr>
                    <w:adjustRightInd w:val="0"/>
                    <w:snapToGrid w:val="0"/>
                    <w:jc w:val="center"/>
                    <w:rPr>
                      <w:rFonts w:hint="default" w:ascii="Times New Roman" w:hAnsi="Times New Roman" w:eastAsia="Times New Roman" w:cs="Times New Roman"/>
                      <w:color w:val="auto"/>
                      <w:sz w:val="21"/>
                      <w:szCs w:val="21"/>
                      <w:lang w:bidi="zh-CN"/>
                    </w:rPr>
                  </w:pPr>
                </w:p>
              </w:tc>
              <w:tc>
                <w:tcPr>
                  <w:tcW w:w="229" w:type="pct"/>
                  <w:vMerge w:val="continue"/>
                  <w:vAlign w:val="center"/>
                </w:tcPr>
                <w:p w14:paraId="25653E41">
                  <w:pPr>
                    <w:adjustRightInd w:val="0"/>
                    <w:snapToGrid w:val="0"/>
                    <w:jc w:val="center"/>
                    <w:rPr>
                      <w:rFonts w:hint="default" w:ascii="Times New Roman" w:hAnsi="Times New Roman" w:eastAsia="Times New Roman" w:cs="Times New Roman"/>
                      <w:color w:val="auto"/>
                      <w:sz w:val="21"/>
                      <w:szCs w:val="21"/>
                      <w:lang w:bidi="zh-CN"/>
                    </w:rPr>
                  </w:pPr>
                </w:p>
              </w:tc>
              <w:tc>
                <w:tcPr>
                  <w:tcW w:w="310" w:type="pct"/>
                  <w:vMerge w:val="continue"/>
                  <w:shd w:val="clear" w:color="auto" w:fill="auto"/>
                  <w:vAlign w:val="center"/>
                </w:tcPr>
                <w:p w14:paraId="0915D97A">
                  <w:pPr>
                    <w:adjustRightInd w:val="0"/>
                    <w:snapToGrid w:val="0"/>
                    <w:jc w:val="center"/>
                    <w:rPr>
                      <w:rFonts w:hint="default" w:ascii="Times New Roman" w:hAnsi="Times New Roman" w:eastAsia="Times New Roman" w:cs="Times New Roman"/>
                      <w:color w:val="auto"/>
                      <w:sz w:val="21"/>
                      <w:szCs w:val="21"/>
                      <w:lang w:val="en-US" w:bidi="zh-CN"/>
                    </w:rPr>
                  </w:pPr>
                </w:p>
              </w:tc>
              <w:tc>
                <w:tcPr>
                  <w:tcW w:w="258" w:type="pct"/>
                  <w:shd w:val="clear" w:color="auto" w:fill="auto"/>
                  <w:vAlign w:val="center"/>
                </w:tcPr>
                <w:p w14:paraId="3B9DB502">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东</w:t>
                  </w:r>
                </w:p>
              </w:tc>
              <w:tc>
                <w:tcPr>
                  <w:tcW w:w="258" w:type="pct"/>
                  <w:shd w:val="clear" w:color="auto" w:fill="auto"/>
                  <w:vAlign w:val="center"/>
                </w:tcPr>
                <w:p w14:paraId="54CDB302">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南</w:t>
                  </w:r>
                </w:p>
              </w:tc>
              <w:tc>
                <w:tcPr>
                  <w:tcW w:w="258" w:type="pct"/>
                  <w:shd w:val="clear" w:color="auto" w:fill="auto"/>
                  <w:vAlign w:val="center"/>
                </w:tcPr>
                <w:p w14:paraId="0A16866C">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西</w:t>
                  </w:r>
                </w:p>
              </w:tc>
              <w:tc>
                <w:tcPr>
                  <w:tcW w:w="260" w:type="pct"/>
                  <w:shd w:val="clear" w:color="auto" w:fill="auto"/>
                  <w:vAlign w:val="center"/>
                </w:tcPr>
                <w:p w14:paraId="5AA96993">
                  <w:pPr>
                    <w:adjustRightInd w:val="0"/>
                    <w:snapToGrid w:val="0"/>
                    <w:jc w:val="center"/>
                    <w:rPr>
                      <w:rFonts w:hint="default" w:ascii="Times New Roman" w:hAnsi="Times New Roman" w:eastAsia="Times New Roman" w:cs="Times New Roman"/>
                      <w:color w:val="auto"/>
                      <w:kern w:val="2"/>
                      <w:sz w:val="21"/>
                      <w:szCs w:val="21"/>
                      <w:lang w:val="en-US" w:eastAsia="zh-CN" w:bidi="zh-CN"/>
                    </w:rPr>
                  </w:pPr>
                  <w:r>
                    <w:rPr>
                      <w:rFonts w:hint="default" w:ascii="Times New Roman" w:hAnsi="Times New Roman" w:eastAsia="Times New Roman" w:cs="Times New Roman"/>
                      <w:color w:val="auto"/>
                      <w:sz w:val="21"/>
                      <w:szCs w:val="21"/>
                      <w:lang w:val="en-US" w:bidi="zh-CN"/>
                    </w:rPr>
                    <w:t>北</w:t>
                  </w:r>
                </w:p>
              </w:tc>
              <w:tc>
                <w:tcPr>
                  <w:tcW w:w="116" w:type="pct"/>
                  <w:vMerge w:val="continue"/>
                  <w:vAlign w:val="center"/>
                </w:tcPr>
                <w:p w14:paraId="3C460560">
                  <w:pPr>
                    <w:adjustRightInd w:val="0"/>
                    <w:snapToGrid w:val="0"/>
                    <w:jc w:val="center"/>
                    <w:rPr>
                      <w:rFonts w:hint="default" w:ascii="Times New Roman" w:hAnsi="Times New Roman" w:eastAsia="Times New Roman" w:cs="Times New Roman"/>
                      <w:color w:val="auto"/>
                      <w:sz w:val="21"/>
                      <w:szCs w:val="21"/>
                      <w:lang w:bidi="zh-CN"/>
                    </w:rPr>
                  </w:pPr>
                </w:p>
              </w:tc>
            </w:tr>
            <w:tr w14:paraId="6B5F4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8" w:hRule="atLeast"/>
                <w:jc w:val="center"/>
              </w:trPr>
              <w:tc>
                <w:tcPr>
                  <w:tcW w:w="328" w:type="pct"/>
                  <w:shd w:val="clear" w:color="auto" w:fill="auto"/>
                  <w:vAlign w:val="center"/>
                </w:tcPr>
                <w:p w14:paraId="327C48AF">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微机控制抗折抗压同步一体机</w:t>
                  </w:r>
                </w:p>
              </w:tc>
              <w:tc>
                <w:tcPr>
                  <w:tcW w:w="93" w:type="pct"/>
                  <w:shd w:val="clear" w:color="auto" w:fill="auto"/>
                  <w:vAlign w:val="center"/>
                </w:tcPr>
                <w:p w14:paraId="33E679AB">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z w:val="21"/>
                      <w:szCs w:val="21"/>
                    </w:rPr>
                    <w:t>80</w:t>
                  </w:r>
                </w:p>
              </w:tc>
              <w:tc>
                <w:tcPr>
                  <w:tcW w:w="229" w:type="pct"/>
                  <w:vMerge w:val="restart"/>
                  <w:shd w:val="clear" w:color="auto" w:fill="auto"/>
                  <w:vAlign w:val="center"/>
                </w:tcPr>
                <w:p w14:paraId="41EC7D0A">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基础减振、厂房隔声</w:t>
                  </w:r>
                </w:p>
              </w:tc>
              <w:tc>
                <w:tcPr>
                  <w:tcW w:w="258" w:type="pct"/>
                  <w:vAlign w:val="center"/>
                </w:tcPr>
                <w:p w14:paraId="357B2CF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44.88</w:t>
                  </w:r>
                </w:p>
              </w:tc>
              <w:tc>
                <w:tcPr>
                  <w:tcW w:w="314" w:type="pct"/>
                  <w:vAlign w:val="center"/>
                </w:tcPr>
                <w:p w14:paraId="71B9ECD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13.27</w:t>
                  </w:r>
                </w:p>
              </w:tc>
              <w:tc>
                <w:tcPr>
                  <w:tcW w:w="74" w:type="pct"/>
                  <w:vAlign w:val="center"/>
                </w:tcPr>
                <w:p w14:paraId="7C8ECAC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087FCE0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5.98</w:t>
                  </w:r>
                </w:p>
              </w:tc>
              <w:tc>
                <w:tcPr>
                  <w:tcW w:w="258" w:type="pct"/>
                  <w:vAlign w:val="center"/>
                </w:tcPr>
                <w:p w14:paraId="6DBD377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12.99</w:t>
                  </w:r>
                </w:p>
              </w:tc>
              <w:tc>
                <w:tcPr>
                  <w:tcW w:w="258" w:type="pct"/>
                  <w:vAlign w:val="center"/>
                </w:tcPr>
                <w:p w14:paraId="3AF9557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44.73</w:t>
                  </w:r>
                </w:p>
              </w:tc>
              <w:tc>
                <w:tcPr>
                  <w:tcW w:w="203" w:type="pct"/>
                  <w:vAlign w:val="center"/>
                </w:tcPr>
                <w:p w14:paraId="2CDA034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2.40</w:t>
                  </w:r>
                </w:p>
              </w:tc>
              <w:tc>
                <w:tcPr>
                  <w:tcW w:w="258" w:type="pct"/>
                  <w:shd w:val="clear" w:color="auto" w:fill="auto"/>
                  <w:vAlign w:val="center"/>
                </w:tcPr>
                <w:p w14:paraId="6FC1C01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74.92</w:t>
                  </w:r>
                </w:p>
              </w:tc>
              <w:tc>
                <w:tcPr>
                  <w:tcW w:w="258" w:type="pct"/>
                  <w:shd w:val="clear" w:color="auto" w:fill="auto"/>
                  <w:vAlign w:val="center"/>
                </w:tcPr>
                <w:p w14:paraId="1D9205D2">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74.90</w:t>
                  </w:r>
                </w:p>
              </w:tc>
              <w:tc>
                <w:tcPr>
                  <w:tcW w:w="258" w:type="pct"/>
                  <w:shd w:val="clear" w:color="auto" w:fill="auto"/>
                  <w:vAlign w:val="center"/>
                </w:tcPr>
                <w:p w14:paraId="47AE641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74.89</w:t>
                  </w:r>
                </w:p>
              </w:tc>
              <w:tc>
                <w:tcPr>
                  <w:tcW w:w="258" w:type="pct"/>
                  <w:shd w:val="clear" w:color="auto" w:fill="auto"/>
                  <w:vAlign w:val="center"/>
                </w:tcPr>
                <w:p w14:paraId="47C7E0F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75.08</w:t>
                  </w:r>
                </w:p>
              </w:tc>
              <w:tc>
                <w:tcPr>
                  <w:tcW w:w="229" w:type="pct"/>
                  <w:vMerge w:val="restart"/>
                  <w:vAlign w:val="center"/>
                </w:tcPr>
                <w:p w14:paraId="3007D41C">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昼间</w:t>
                  </w:r>
                </w:p>
              </w:tc>
              <w:tc>
                <w:tcPr>
                  <w:tcW w:w="310" w:type="pct"/>
                  <w:vAlign w:val="center"/>
                </w:tcPr>
                <w:p w14:paraId="29C9E1A0">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58" w:type="pct"/>
                  <w:vAlign w:val="center"/>
                </w:tcPr>
                <w:p w14:paraId="7A1FEBE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48.92</w:t>
                  </w:r>
                </w:p>
              </w:tc>
              <w:tc>
                <w:tcPr>
                  <w:tcW w:w="258" w:type="pct"/>
                  <w:vAlign w:val="center"/>
                </w:tcPr>
                <w:p w14:paraId="7D7F012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48.90</w:t>
                  </w:r>
                </w:p>
              </w:tc>
              <w:tc>
                <w:tcPr>
                  <w:tcW w:w="258" w:type="pct"/>
                  <w:vAlign w:val="center"/>
                </w:tcPr>
                <w:p w14:paraId="2C32E1D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48.89</w:t>
                  </w:r>
                </w:p>
              </w:tc>
              <w:tc>
                <w:tcPr>
                  <w:tcW w:w="260" w:type="pct"/>
                  <w:vAlign w:val="center"/>
                </w:tcPr>
                <w:p w14:paraId="3A3891A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49.08</w:t>
                  </w:r>
                </w:p>
              </w:tc>
              <w:tc>
                <w:tcPr>
                  <w:tcW w:w="116" w:type="pct"/>
                  <w:vAlign w:val="center"/>
                </w:tcPr>
                <w:p w14:paraId="363D677D">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73E059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328" w:type="pct"/>
                  <w:shd w:val="clear" w:color="auto" w:fill="auto"/>
                  <w:vAlign w:val="center"/>
                </w:tcPr>
                <w:p w14:paraId="05F9269F">
                  <w:pPr>
                    <w:jc w:val="center"/>
                    <w:rPr>
                      <w:rFonts w:hint="default" w:ascii="Times New Roman" w:hAnsi="Times New Roman" w:eastAsia="宋体" w:cs="Times New Roman"/>
                      <w:spacing w:val="6"/>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井盖压力试验机</w:t>
                  </w:r>
                </w:p>
              </w:tc>
              <w:tc>
                <w:tcPr>
                  <w:tcW w:w="93" w:type="pct"/>
                  <w:shd w:val="clear" w:color="auto" w:fill="auto"/>
                  <w:vAlign w:val="center"/>
                </w:tcPr>
                <w:p w14:paraId="22BDF037">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z w:val="21"/>
                      <w:szCs w:val="21"/>
                    </w:rPr>
                    <w:t>80</w:t>
                  </w:r>
                </w:p>
              </w:tc>
              <w:tc>
                <w:tcPr>
                  <w:tcW w:w="229" w:type="pct"/>
                  <w:vMerge w:val="continue"/>
                  <w:shd w:val="clear" w:color="auto" w:fill="auto"/>
                  <w:vAlign w:val="center"/>
                </w:tcPr>
                <w:p w14:paraId="5978C4B6">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65EE64F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34.26</w:t>
                  </w:r>
                </w:p>
              </w:tc>
              <w:tc>
                <w:tcPr>
                  <w:tcW w:w="314" w:type="pct"/>
                  <w:vAlign w:val="center"/>
                </w:tcPr>
                <w:p w14:paraId="60FE4C7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2.92</w:t>
                  </w:r>
                </w:p>
              </w:tc>
              <w:tc>
                <w:tcPr>
                  <w:tcW w:w="74" w:type="pct"/>
                  <w:vAlign w:val="center"/>
                </w:tcPr>
                <w:p w14:paraId="7DAC211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2A5163D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9.29</w:t>
                  </w:r>
                </w:p>
              </w:tc>
              <w:tc>
                <w:tcPr>
                  <w:tcW w:w="258" w:type="pct"/>
                  <w:vAlign w:val="center"/>
                </w:tcPr>
                <w:p w14:paraId="68F9DE7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12.73</w:t>
                  </w:r>
                </w:p>
              </w:tc>
              <w:tc>
                <w:tcPr>
                  <w:tcW w:w="258" w:type="pct"/>
                  <w:vAlign w:val="center"/>
                </w:tcPr>
                <w:p w14:paraId="76E7B39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41.43</w:t>
                  </w:r>
                </w:p>
              </w:tc>
              <w:tc>
                <w:tcPr>
                  <w:tcW w:w="203" w:type="pct"/>
                  <w:vAlign w:val="center"/>
                </w:tcPr>
                <w:p w14:paraId="2A0FD55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2.69</w:t>
                  </w:r>
                </w:p>
              </w:tc>
              <w:tc>
                <w:tcPr>
                  <w:tcW w:w="258" w:type="pct"/>
                  <w:vAlign w:val="center"/>
                </w:tcPr>
                <w:p w14:paraId="504EE9F4">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69.89</w:t>
                  </w:r>
                </w:p>
              </w:tc>
              <w:tc>
                <w:tcPr>
                  <w:tcW w:w="258" w:type="pct"/>
                  <w:vAlign w:val="center"/>
                </w:tcPr>
                <w:p w14:paraId="1CA2F12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70.04</w:t>
                  </w:r>
                </w:p>
              </w:tc>
              <w:tc>
                <w:tcPr>
                  <w:tcW w:w="258" w:type="pct"/>
                  <w:vAlign w:val="center"/>
                </w:tcPr>
                <w:p w14:paraId="1860826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69.89</w:t>
                  </w:r>
                </w:p>
              </w:tc>
              <w:tc>
                <w:tcPr>
                  <w:tcW w:w="258" w:type="pct"/>
                  <w:vAlign w:val="center"/>
                </w:tcPr>
                <w:p w14:paraId="7350E574">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69.90</w:t>
                  </w:r>
                </w:p>
              </w:tc>
              <w:tc>
                <w:tcPr>
                  <w:tcW w:w="229" w:type="pct"/>
                  <w:vMerge w:val="continue"/>
                  <w:vAlign w:val="center"/>
                </w:tcPr>
                <w:p w14:paraId="39EB2D47">
                  <w:pPr>
                    <w:jc w:val="center"/>
                    <w:rPr>
                      <w:rFonts w:hint="default" w:ascii="Times New Roman" w:hAnsi="Times New Roman" w:eastAsia="宋体" w:cs="Times New Roman"/>
                      <w:color w:val="auto"/>
                      <w:sz w:val="21"/>
                      <w:szCs w:val="21"/>
                      <w:lang w:val="en-US" w:eastAsia="zh-CN"/>
                    </w:rPr>
                  </w:pPr>
                </w:p>
              </w:tc>
              <w:tc>
                <w:tcPr>
                  <w:tcW w:w="310" w:type="pct"/>
                  <w:vAlign w:val="center"/>
                </w:tcPr>
                <w:p w14:paraId="2FD574BD">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58" w:type="pct"/>
                  <w:vAlign w:val="center"/>
                </w:tcPr>
                <w:p w14:paraId="0500C03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43.89</w:t>
                  </w:r>
                </w:p>
              </w:tc>
              <w:tc>
                <w:tcPr>
                  <w:tcW w:w="258" w:type="pct"/>
                  <w:vAlign w:val="center"/>
                </w:tcPr>
                <w:p w14:paraId="18AF494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44.04</w:t>
                  </w:r>
                </w:p>
              </w:tc>
              <w:tc>
                <w:tcPr>
                  <w:tcW w:w="258" w:type="pct"/>
                  <w:vAlign w:val="center"/>
                </w:tcPr>
                <w:p w14:paraId="6F8B87E2">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43.89</w:t>
                  </w:r>
                </w:p>
              </w:tc>
              <w:tc>
                <w:tcPr>
                  <w:tcW w:w="260" w:type="pct"/>
                  <w:vAlign w:val="center"/>
                </w:tcPr>
                <w:p w14:paraId="7F2D5C6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43.90</w:t>
                  </w:r>
                </w:p>
              </w:tc>
              <w:tc>
                <w:tcPr>
                  <w:tcW w:w="116" w:type="pct"/>
                  <w:vAlign w:val="center"/>
                </w:tcPr>
                <w:p w14:paraId="561F6462">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10E8D1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328" w:type="pct"/>
                  <w:shd w:val="clear" w:color="auto" w:fill="auto"/>
                  <w:vAlign w:val="center"/>
                </w:tcPr>
                <w:p w14:paraId="17723831">
                  <w:pPr>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多功能电动击实仪</w:t>
                  </w:r>
                </w:p>
              </w:tc>
              <w:tc>
                <w:tcPr>
                  <w:tcW w:w="93" w:type="pct"/>
                  <w:shd w:val="clear" w:color="auto" w:fill="auto"/>
                  <w:vAlign w:val="center"/>
                </w:tcPr>
                <w:p w14:paraId="62974720">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z w:val="21"/>
                      <w:szCs w:val="21"/>
                      <w:lang w:val="en-US" w:eastAsia="zh-CN"/>
                    </w:rPr>
                    <w:t>70</w:t>
                  </w:r>
                </w:p>
              </w:tc>
              <w:tc>
                <w:tcPr>
                  <w:tcW w:w="229" w:type="pct"/>
                  <w:vMerge w:val="continue"/>
                  <w:shd w:val="clear" w:color="auto" w:fill="auto"/>
                  <w:vAlign w:val="center"/>
                </w:tcPr>
                <w:p w14:paraId="47BD9AD2">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38978B4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31.22</w:t>
                  </w:r>
                </w:p>
              </w:tc>
              <w:tc>
                <w:tcPr>
                  <w:tcW w:w="314" w:type="pct"/>
                  <w:vAlign w:val="center"/>
                </w:tcPr>
                <w:p w14:paraId="05D7644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8.72</w:t>
                  </w:r>
                </w:p>
              </w:tc>
              <w:tc>
                <w:tcPr>
                  <w:tcW w:w="74" w:type="pct"/>
                  <w:vAlign w:val="center"/>
                </w:tcPr>
                <w:p w14:paraId="62F27B1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3DFEF17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4.36</w:t>
                  </w:r>
                </w:p>
              </w:tc>
              <w:tc>
                <w:tcPr>
                  <w:tcW w:w="258" w:type="pct"/>
                  <w:vAlign w:val="center"/>
                </w:tcPr>
                <w:p w14:paraId="34391BD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2.91</w:t>
                  </w:r>
                </w:p>
              </w:tc>
              <w:tc>
                <w:tcPr>
                  <w:tcW w:w="258" w:type="pct"/>
                  <w:vAlign w:val="center"/>
                </w:tcPr>
                <w:p w14:paraId="1960F70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46.62</w:t>
                  </w:r>
                </w:p>
              </w:tc>
              <w:tc>
                <w:tcPr>
                  <w:tcW w:w="203" w:type="pct"/>
                  <w:vAlign w:val="center"/>
                </w:tcPr>
                <w:p w14:paraId="1F767B8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12.45</w:t>
                  </w:r>
                </w:p>
              </w:tc>
              <w:tc>
                <w:tcPr>
                  <w:tcW w:w="258" w:type="pct"/>
                  <w:vAlign w:val="center"/>
                </w:tcPr>
                <w:p w14:paraId="40CEE02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69.89</w:t>
                  </w:r>
                </w:p>
              </w:tc>
              <w:tc>
                <w:tcPr>
                  <w:tcW w:w="258" w:type="pct"/>
                  <w:vAlign w:val="center"/>
                </w:tcPr>
                <w:p w14:paraId="5215EA6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69.91</w:t>
                  </w:r>
                </w:p>
              </w:tc>
              <w:tc>
                <w:tcPr>
                  <w:tcW w:w="258" w:type="pct"/>
                  <w:vAlign w:val="center"/>
                </w:tcPr>
                <w:p w14:paraId="12DC23D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69.89</w:t>
                  </w:r>
                </w:p>
              </w:tc>
              <w:tc>
                <w:tcPr>
                  <w:tcW w:w="258" w:type="pct"/>
                  <w:vAlign w:val="center"/>
                </w:tcPr>
                <w:p w14:paraId="57A83C1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69.91</w:t>
                  </w:r>
                </w:p>
              </w:tc>
              <w:tc>
                <w:tcPr>
                  <w:tcW w:w="229" w:type="pct"/>
                  <w:vMerge w:val="continue"/>
                  <w:vAlign w:val="center"/>
                </w:tcPr>
                <w:p w14:paraId="393A5596">
                  <w:pPr>
                    <w:jc w:val="center"/>
                    <w:rPr>
                      <w:rFonts w:hint="default" w:ascii="Times New Roman" w:hAnsi="Times New Roman" w:eastAsia="宋体" w:cs="Times New Roman"/>
                      <w:color w:val="auto"/>
                      <w:sz w:val="21"/>
                      <w:szCs w:val="21"/>
                      <w:lang w:val="en-US" w:eastAsia="zh-CN"/>
                    </w:rPr>
                  </w:pPr>
                </w:p>
              </w:tc>
              <w:tc>
                <w:tcPr>
                  <w:tcW w:w="310" w:type="pct"/>
                  <w:vAlign w:val="center"/>
                </w:tcPr>
                <w:p w14:paraId="64F4CE43">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58" w:type="pct"/>
                  <w:vAlign w:val="center"/>
                </w:tcPr>
                <w:p w14:paraId="3785306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43.89</w:t>
                  </w:r>
                </w:p>
              </w:tc>
              <w:tc>
                <w:tcPr>
                  <w:tcW w:w="258" w:type="pct"/>
                  <w:vAlign w:val="center"/>
                </w:tcPr>
                <w:p w14:paraId="2C43002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43.91</w:t>
                  </w:r>
                </w:p>
              </w:tc>
              <w:tc>
                <w:tcPr>
                  <w:tcW w:w="258" w:type="pct"/>
                  <w:vAlign w:val="center"/>
                </w:tcPr>
                <w:p w14:paraId="06A9D07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43.89</w:t>
                  </w:r>
                </w:p>
              </w:tc>
              <w:tc>
                <w:tcPr>
                  <w:tcW w:w="260" w:type="pct"/>
                  <w:vAlign w:val="center"/>
                </w:tcPr>
                <w:p w14:paraId="24291C6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43.91</w:t>
                  </w:r>
                </w:p>
              </w:tc>
              <w:tc>
                <w:tcPr>
                  <w:tcW w:w="116" w:type="pct"/>
                  <w:vAlign w:val="center"/>
                </w:tcPr>
                <w:p w14:paraId="1F1CA941">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72ED72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328" w:type="pct"/>
                  <w:shd w:val="clear" w:color="auto" w:fill="auto"/>
                  <w:vAlign w:val="center"/>
                </w:tcPr>
                <w:p w14:paraId="3CC6FF92">
                  <w:pPr>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水泥胶砂搅拌机</w:t>
                  </w:r>
                </w:p>
              </w:tc>
              <w:tc>
                <w:tcPr>
                  <w:tcW w:w="93" w:type="pct"/>
                  <w:shd w:val="clear" w:color="auto" w:fill="auto"/>
                  <w:vAlign w:val="center"/>
                </w:tcPr>
                <w:p w14:paraId="3DD78AB2">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z w:val="21"/>
                      <w:szCs w:val="21"/>
                      <w:lang w:val="en-US" w:eastAsia="zh-CN"/>
                    </w:rPr>
                    <w:t>75</w:t>
                  </w:r>
                </w:p>
              </w:tc>
              <w:tc>
                <w:tcPr>
                  <w:tcW w:w="229" w:type="pct"/>
                  <w:vMerge w:val="continue"/>
                  <w:shd w:val="clear" w:color="auto" w:fill="auto"/>
                  <w:vAlign w:val="center"/>
                </w:tcPr>
                <w:p w14:paraId="5F18282D">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3DB2E99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46.95</w:t>
                  </w:r>
                </w:p>
              </w:tc>
              <w:tc>
                <w:tcPr>
                  <w:tcW w:w="314" w:type="pct"/>
                  <w:vAlign w:val="center"/>
                </w:tcPr>
                <w:p w14:paraId="1835E08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9.27</w:t>
                  </w:r>
                </w:p>
              </w:tc>
              <w:tc>
                <w:tcPr>
                  <w:tcW w:w="74" w:type="pct"/>
                  <w:vAlign w:val="center"/>
                </w:tcPr>
                <w:p w14:paraId="19D74E3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0EE9635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4.31</w:t>
                  </w:r>
                </w:p>
              </w:tc>
              <w:tc>
                <w:tcPr>
                  <w:tcW w:w="258" w:type="pct"/>
                  <w:vAlign w:val="center"/>
                </w:tcPr>
                <w:p w14:paraId="2CF09D4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5.53</w:t>
                  </w:r>
                </w:p>
              </w:tc>
              <w:tc>
                <w:tcPr>
                  <w:tcW w:w="258" w:type="pct"/>
                  <w:vAlign w:val="center"/>
                </w:tcPr>
                <w:p w14:paraId="137D6A2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46.60</w:t>
                  </w:r>
                </w:p>
              </w:tc>
              <w:tc>
                <w:tcPr>
                  <w:tcW w:w="203" w:type="pct"/>
                  <w:vAlign w:val="center"/>
                </w:tcPr>
                <w:p w14:paraId="6042EDD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9.83</w:t>
                  </w:r>
                </w:p>
              </w:tc>
              <w:tc>
                <w:tcPr>
                  <w:tcW w:w="258" w:type="pct"/>
                  <w:vAlign w:val="center"/>
                </w:tcPr>
                <w:p w14:paraId="029A5B4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74.96</w:t>
                  </w:r>
                </w:p>
              </w:tc>
              <w:tc>
                <w:tcPr>
                  <w:tcW w:w="258" w:type="pct"/>
                  <w:vAlign w:val="center"/>
                </w:tcPr>
                <w:p w14:paraId="62FA879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74.90</w:t>
                  </w:r>
                </w:p>
              </w:tc>
              <w:tc>
                <w:tcPr>
                  <w:tcW w:w="258" w:type="pct"/>
                  <w:vAlign w:val="center"/>
                </w:tcPr>
                <w:p w14:paraId="6FBEECB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74.89</w:t>
                  </w:r>
                </w:p>
              </w:tc>
              <w:tc>
                <w:tcPr>
                  <w:tcW w:w="258" w:type="pct"/>
                  <w:vAlign w:val="center"/>
                </w:tcPr>
                <w:p w14:paraId="3718233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74.92</w:t>
                  </w:r>
                </w:p>
              </w:tc>
              <w:tc>
                <w:tcPr>
                  <w:tcW w:w="229" w:type="pct"/>
                  <w:vMerge w:val="continue"/>
                  <w:vAlign w:val="center"/>
                </w:tcPr>
                <w:p w14:paraId="5945EF81">
                  <w:pPr>
                    <w:jc w:val="center"/>
                    <w:rPr>
                      <w:rFonts w:hint="default" w:ascii="Times New Roman" w:hAnsi="Times New Roman" w:eastAsia="宋体" w:cs="Times New Roman"/>
                      <w:color w:val="auto"/>
                      <w:sz w:val="21"/>
                      <w:szCs w:val="21"/>
                      <w:lang w:val="en-US" w:eastAsia="zh-CN"/>
                    </w:rPr>
                  </w:pPr>
                </w:p>
              </w:tc>
              <w:tc>
                <w:tcPr>
                  <w:tcW w:w="310" w:type="pct"/>
                  <w:vAlign w:val="center"/>
                </w:tcPr>
                <w:p w14:paraId="49125E15">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58" w:type="pct"/>
                  <w:vAlign w:val="center"/>
                </w:tcPr>
                <w:p w14:paraId="653B230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48.96</w:t>
                  </w:r>
                </w:p>
              </w:tc>
              <w:tc>
                <w:tcPr>
                  <w:tcW w:w="258" w:type="pct"/>
                  <w:vAlign w:val="center"/>
                </w:tcPr>
                <w:p w14:paraId="6219E3B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48.90</w:t>
                  </w:r>
                </w:p>
              </w:tc>
              <w:tc>
                <w:tcPr>
                  <w:tcW w:w="258" w:type="pct"/>
                  <w:vAlign w:val="center"/>
                </w:tcPr>
                <w:p w14:paraId="02BF6CB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48.89</w:t>
                  </w:r>
                </w:p>
              </w:tc>
              <w:tc>
                <w:tcPr>
                  <w:tcW w:w="260" w:type="pct"/>
                  <w:vAlign w:val="center"/>
                </w:tcPr>
                <w:p w14:paraId="12BE3712">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48.92</w:t>
                  </w:r>
                </w:p>
              </w:tc>
              <w:tc>
                <w:tcPr>
                  <w:tcW w:w="116" w:type="pct"/>
                  <w:vAlign w:val="center"/>
                </w:tcPr>
                <w:p w14:paraId="544D77AE">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70729B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4" w:hRule="atLeast"/>
                <w:jc w:val="center"/>
              </w:trPr>
              <w:tc>
                <w:tcPr>
                  <w:tcW w:w="328" w:type="pct"/>
                  <w:shd w:val="clear" w:color="auto" w:fill="auto"/>
                  <w:vAlign w:val="center"/>
                </w:tcPr>
                <w:p w14:paraId="0FFCAB0A">
                  <w:pPr>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混凝土程控磁通震动台</w:t>
                  </w:r>
                </w:p>
              </w:tc>
              <w:tc>
                <w:tcPr>
                  <w:tcW w:w="93" w:type="pct"/>
                  <w:shd w:val="clear" w:color="auto" w:fill="auto"/>
                  <w:vAlign w:val="center"/>
                </w:tcPr>
                <w:p w14:paraId="3B05D0AF">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z w:val="21"/>
                      <w:szCs w:val="21"/>
                    </w:rPr>
                    <w:t>80</w:t>
                  </w:r>
                </w:p>
              </w:tc>
              <w:tc>
                <w:tcPr>
                  <w:tcW w:w="229" w:type="pct"/>
                  <w:vMerge w:val="continue"/>
                  <w:shd w:val="clear" w:color="auto" w:fill="auto"/>
                  <w:vAlign w:val="center"/>
                </w:tcPr>
                <w:p w14:paraId="33D15DE3">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52A2FAA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35.91</w:t>
                  </w:r>
                </w:p>
              </w:tc>
              <w:tc>
                <w:tcPr>
                  <w:tcW w:w="314" w:type="pct"/>
                  <w:vAlign w:val="center"/>
                </w:tcPr>
                <w:p w14:paraId="2CC8B42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12.72</w:t>
                  </w:r>
                </w:p>
              </w:tc>
              <w:tc>
                <w:tcPr>
                  <w:tcW w:w="74" w:type="pct"/>
                  <w:vAlign w:val="center"/>
                </w:tcPr>
                <w:p w14:paraId="68404BD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59F352E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8.16</w:t>
                  </w:r>
                </w:p>
              </w:tc>
              <w:tc>
                <w:tcPr>
                  <w:tcW w:w="258" w:type="pct"/>
                  <w:vAlign w:val="center"/>
                </w:tcPr>
                <w:p w14:paraId="01D8764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6.64</w:t>
                  </w:r>
                </w:p>
              </w:tc>
              <w:tc>
                <w:tcPr>
                  <w:tcW w:w="258" w:type="pct"/>
                  <w:vAlign w:val="center"/>
                </w:tcPr>
                <w:p w14:paraId="2F544C5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42.72</w:t>
                  </w:r>
                </w:p>
              </w:tc>
              <w:tc>
                <w:tcPr>
                  <w:tcW w:w="203" w:type="pct"/>
                  <w:vAlign w:val="center"/>
                </w:tcPr>
                <w:p w14:paraId="03734EB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8.76</w:t>
                  </w:r>
                </w:p>
              </w:tc>
              <w:tc>
                <w:tcPr>
                  <w:tcW w:w="258" w:type="pct"/>
                  <w:vAlign w:val="center"/>
                </w:tcPr>
                <w:p w14:paraId="5BAD048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74.90</w:t>
                  </w:r>
                </w:p>
              </w:tc>
              <w:tc>
                <w:tcPr>
                  <w:tcW w:w="258" w:type="pct"/>
                  <w:vAlign w:val="center"/>
                </w:tcPr>
                <w:p w14:paraId="7199DBE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74.90</w:t>
                  </w:r>
                </w:p>
              </w:tc>
              <w:tc>
                <w:tcPr>
                  <w:tcW w:w="258" w:type="pct"/>
                  <w:vAlign w:val="center"/>
                </w:tcPr>
                <w:p w14:paraId="7E23226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74.89</w:t>
                  </w:r>
                </w:p>
              </w:tc>
              <w:tc>
                <w:tcPr>
                  <w:tcW w:w="258" w:type="pct"/>
                  <w:vAlign w:val="center"/>
                </w:tcPr>
                <w:p w14:paraId="4A0D92C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75.01</w:t>
                  </w:r>
                </w:p>
              </w:tc>
              <w:tc>
                <w:tcPr>
                  <w:tcW w:w="229" w:type="pct"/>
                  <w:vMerge w:val="continue"/>
                  <w:vAlign w:val="center"/>
                </w:tcPr>
                <w:p w14:paraId="6A62D88B">
                  <w:pPr>
                    <w:jc w:val="center"/>
                    <w:rPr>
                      <w:rFonts w:hint="default" w:ascii="Times New Roman" w:hAnsi="Times New Roman" w:eastAsia="宋体" w:cs="Times New Roman"/>
                      <w:color w:val="auto"/>
                      <w:sz w:val="21"/>
                      <w:szCs w:val="21"/>
                      <w:lang w:val="en-US" w:eastAsia="zh-CN"/>
                    </w:rPr>
                  </w:pPr>
                </w:p>
              </w:tc>
              <w:tc>
                <w:tcPr>
                  <w:tcW w:w="310" w:type="pct"/>
                  <w:vAlign w:val="center"/>
                </w:tcPr>
                <w:p w14:paraId="0A7D6E58">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58" w:type="pct"/>
                  <w:vAlign w:val="center"/>
                </w:tcPr>
                <w:p w14:paraId="00EB625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48.90</w:t>
                  </w:r>
                </w:p>
              </w:tc>
              <w:tc>
                <w:tcPr>
                  <w:tcW w:w="258" w:type="pct"/>
                  <w:vAlign w:val="center"/>
                </w:tcPr>
                <w:p w14:paraId="115CD13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48.90</w:t>
                  </w:r>
                </w:p>
              </w:tc>
              <w:tc>
                <w:tcPr>
                  <w:tcW w:w="258" w:type="pct"/>
                  <w:vAlign w:val="center"/>
                </w:tcPr>
                <w:p w14:paraId="2F72C5C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48.89</w:t>
                  </w:r>
                </w:p>
              </w:tc>
              <w:tc>
                <w:tcPr>
                  <w:tcW w:w="260" w:type="pct"/>
                  <w:vAlign w:val="center"/>
                </w:tcPr>
                <w:p w14:paraId="60ABB65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49.01</w:t>
                  </w:r>
                </w:p>
              </w:tc>
              <w:tc>
                <w:tcPr>
                  <w:tcW w:w="116" w:type="pct"/>
                  <w:vAlign w:val="center"/>
                </w:tcPr>
                <w:p w14:paraId="2CA1EB7F">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6AD6AA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4FD7CFB0">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单卧轴强制式混凝土搅拌机</w:t>
                  </w:r>
                </w:p>
              </w:tc>
              <w:tc>
                <w:tcPr>
                  <w:tcW w:w="93" w:type="pct"/>
                  <w:shd w:val="clear" w:color="auto" w:fill="auto"/>
                  <w:vAlign w:val="center"/>
                </w:tcPr>
                <w:p w14:paraId="573B09A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z w:val="21"/>
                      <w:szCs w:val="21"/>
                    </w:rPr>
                    <w:t>80</w:t>
                  </w:r>
                </w:p>
              </w:tc>
              <w:tc>
                <w:tcPr>
                  <w:tcW w:w="229" w:type="pct"/>
                  <w:vMerge w:val="continue"/>
                  <w:shd w:val="clear" w:color="auto" w:fill="auto"/>
                  <w:vAlign w:val="center"/>
                </w:tcPr>
                <w:p w14:paraId="0445AF02">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6619A7C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30.95</w:t>
                  </w:r>
                </w:p>
              </w:tc>
              <w:tc>
                <w:tcPr>
                  <w:tcW w:w="314" w:type="pct"/>
                  <w:vAlign w:val="center"/>
                </w:tcPr>
                <w:p w14:paraId="491F031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13.13</w:t>
                  </w:r>
                </w:p>
              </w:tc>
              <w:tc>
                <w:tcPr>
                  <w:tcW w:w="74" w:type="pct"/>
                  <w:vAlign w:val="center"/>
                </w:tcPr>
                <w:p w14:paraId="2ACD885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25BCF05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7.95</w:t>
                  </w:r>
                </w:p>
              </w:tc>
              <w:tc>
                <w:tcPr>
                  <w:tcW w:w="258" w:type="pct"/>
                  <w:vAlign w:val="center"/>
                </w:tcPr>
                <w:p w14:paraId="267CC38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2.92</w:t>
                  </w:r>
                </w:p>
              </w:tc>
              <w:tc>
                <w:tcPr>
                  <w:tcW w:w="258" w:type="pct"/>
                  <w:vAlign w:val="center"/>
                </w:tcPr>
                <w:p w14:paraId="0B16F22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43.03</w:t>
                  </w:r>
                </w:p>
              </w:tc>
              <w:tc>
                <w:tcPr>
                  <w:tcW w:w="203" w:type="pct"/>
                  <w:vAlign w:val="center"/>
                </w:tcPr>
                <w:p w14:paraId="6E72120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12.48</w:t>
                  </w:r>
                </w:p>
              </w:tc>
              <w:tc>
                <w:tcPr>
                  <w:tcW w:w="258" w:type="pct"/>
                  <w:vAlign w:val="center"/>
                </w:tcPr>
                <w:p w14:paraId="5B1097C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74.89</w:t>
                  </w:r>
                </w:p>
              </w:tc>
              <w:tc>
                <w:tcPr>
                  <w:tcW w:w="258" w:type="pct"/>
                  <w:vAlign w:val="center"/>
                </w:tcPr>
                <w:p w14:paraId="537944F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74.90</w:t>
                  </w:r>
                </w:p>
              </w:tc>
              <w:tc>
                <w:tcPr>
                  <w:tcW w:w="258" w:type="pct"/>
                  <w:vAlign w:val="center"/>
                </w:tcPr>
                <w:p w14:paraId="4CDA371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74.89</w:t>
                  </w:r>
                </w:p>
              </w:tc>
              <w:tc>
                <w:tcPr>
                  <w:tcW w:w="258" w:type="pct"/>
                  <w:vAlign w:val="center"/>
                </w:tcPr>
                <w:p w14:paraId="303B7A8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75.05</w:t>
                  </w:r>
                </w:p>
              </w:tc>
              <w:tc>
                <w:tcPr>
                  <w:tcW w:w="229" w:type="pct"/>
                  <w:vMerge w:val="continue"/>
                  <w:vAlign w:val="center"/>
                </w:tcPr>
                <w:p w14:paraId="39720636">
                  <w:pPr>
                    <w:jc w:val="center"/>
                    <w:rPr>
                      <w:rFonts w:hint="default" w:ascii="Times New Roman" w:hAnsi="Times New Roman" w:eastAsia="宋体" w:cs="Times New Roman"/>
                      <w:color w:val="auto"/>
                      <w:sz w:val="21"/>
                      <w:szCs w:val="21"/>
                      <w:lang w:val="en-US" w:eastAsia="zh-CN"/>
                    </w:rPr>
                  </w:pPr>
                </w:p>
              </w:tc>
              <w:tc>
                <w:tcPr>
                  <w:tcW w:w="310" w:type="pct"/>
                  <w:vAlign w:val="center"/>
                </w:tcPr>
                <w:p w14:paraId="65252479">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26</w:t>
                  </w:r>
                </w:p>
              </w:tc>
              <w:tc>
                <w:tcPr>
                  <w:tcW w:w="258" w:type="pct"/>
                  <w:vAlign w:val="center"/>
                </w:tcPr>
                <w:p w14:paraId="7D4F95A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48.89</w:t>
                  </w:r>
                </w:p>
              </w:tc>
              <w:tc>
                <w:tcPr>
                  <w:tcW w:w="258" w:type="pct"/>
                  <w:vAlign w:val="center"/>
                </w:tcPr>
                <w:p w14:paraId="7D92734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48.90</w:t>
                  </w:r>
                </w:p>
              </w:tc>
              <w:tc>
                <w:tcPr>
                  <w:tcW w:w="258" w:type="pct"/>
                  <w:vAlign w:val="center"/>
                </w:tcPr>
                <w:p w14:paraId="56391AC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48.89</w:t>
                  </w:r>
                </w:p>
              </w:tc>
              <w:tc>
                <w:tcPr>
                  <w:tcW w:w="260" w:type="pct"/>
                  <w:vAlign w:val="center"/>
                </w:tcPr>
                <w:p w14:paraId="75A23472">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49.05</w:t>
                  </w:r>
                </w:p>
              </w:tc>
              <w:tc>
                <w:tcPr>
                  <w:tcW w:w="116" w:type="pct"/>
                  <w:vAlign w:val="center"/>
                </w:tcPr>
                <w:p w14:paraId="48801148">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07C1FC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11857CFF">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砌墙砖抗压强度试样制备搅拌机</w:t>
                  </w:r>
                </w:p>
              </w:tc>
              <w:tc>
                <w:tcPr>
                  <w:tcW w:w="93" w:type="pct"/>
                  <w:shd w:val="clear" w:color="auto" w:fill="auto"/>
                  <w:vAlign w:val="center"/>
                </w:tcPr>
                <w:p w14:paraId="1E882FC8">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sz w:val="21"/>
                      <w:szCs w:val="21"/>
                    </w:rPr>
                    <w:t>85</w:t>
                  </w:r>
                </w:p>
              </w:tc>
              <w:tc>
                <w:tcPr>
                  <w:tcW w:w="229" w:type="pct"/>
                  <w:vMerge w:val="continue"/>
                  <w:shd w:val="clear" w:color="auto" w:fill="auto"/>
                  <w:vAlign w:val="center"/>
                </w:tcPr>
                <w:p w14:paraId="5FF47439">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409D9A8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41.57</w:t>
                  </w:r>
                </w:p>
              </w:tc>
              <w:tc>
                <w:tcPr>
                  <w:tcW w:w="314" w:type="pct"/>
                  <w:vAlign w:val="center"/>
                </w:tcPr>
                <w:p w14:paraId="7EB098D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74" w:type="pct"/>
                  <w:vAlign w:val="center"/>
                </w:tcPr>
                <w:p w14:paraId="749C7C7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7E1A974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12.50</w:t>
                  </w:r>
                </w:p>
              </w:tc>
              <w:tc>
                <w:tcPr>
                  <w:tcW w:w="258" w:type="pct"/>
                  <w:vAlign w:val="center"/>
                </w:tcPr>
                <w:p w14:paraId="46E9C01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2.65</w:t>
                  </w:r>
                </w:p>
              </w:tc>
              <w:tc>
                <w:tcPr>
                  <w:tcW w:w="258" w:type="pct"/>
                  <w:vAlign w:val="center"/>
                </w:tcPr>
                <w:p w14:paraId="7EB181C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38.48</w:t>
                  </w:r>
                </w:p>
              </w:tc>
              <w:tc>
                <w:tcPr>
                  <w:tcW w:w="203" w:type="pct"/>
                  <w:vAlign w:val="center"/>
                </w:tcPr>
                <w:p w14:paraId="4A5726E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12.80</w:t>
                  </w:r>
                </w:p>
              </w:tc>
              <w:tc>
                <w:tcPr>
                  <w:tcW w:w="258" w:type="pct"/>
                  <w:vAlign w:val="center"/>
                </w:tcPr>
                <w:p w14:paraId="153B178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74.90</w:t>
                  </w:r>
                </w:p>
              </w:tc>
              <w:tc>
                <w:tcPr>
                  <w:tcW w:w="258" w:type="pct"/>
                  <w:vAlign w:val="center"/>
                </w:tcPr>
                <w:p w14:paraId="3FDFA78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74.90</w:t>
                  </w:r>
                </w:p>
              </w:tc>
              <w:tc>
                <w:tcPr>
                  <w:tcW w:w="258" w:type="pct"/>
                  <w:vAlign w:val="center"/>
                </w:tcPr>
                <w:p w14:paraId="0E0C982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74.89</w:t>
                  </w:r>
                </w:p>
              </w:tc>
              <w:tc>
                <w:tcPr>
                  <w:tcW w:w="258" w:type="pct"/>
                  <w:vAlign w:val="center"/>
                </w:tcPr>
                <w:p w14:paraId="206A28B2">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75.04</w:t>
                  </w:r>
                </w:p>
              </w:tc>
              <w:tc>
                <w:tcPr>
                  <w:tcW w:w="229" w:type="pct"/>
                  <w:vMerge w:val="continue"/>
                  <w:vAlign w:val="center"/>
                </w:tcPr>
                <w:p w14:paraId="7895D22D">
                  <w:pPr>
                    <w:jc w:val="center"/>
                    <w:rPr>
                      <w:rFonts w:hint="default" w:ascii="Times New Roman" w:hAnsi="Times New Roman" w:eastAsia="宋体" w:cs="Times New Roman"/>
                      <w:color w:val="auto"/>
                      <w:sz w:val="21"/>
                      <w:szCs w:val="21"/>
                      <w:lang w:val="en-US" w:eastAsia="zh-CN"/>
                    </w:rPr>
                  </w:pPr>
                </w:p>
              </w:tc>
              <w:tc>
                <w:tcPr>
                  <w:tcW w:w="310" w:type="pct"/>
                  <w:vAlign w:val="center"/>
                </w:tcPr>
                <w:p w14:paraId="589B4427">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26</w:t>
                  </w:r>
                </w:p>
              </w:tc>
              <w:tc>
                <w:tcPr>
                  <w:tcW w:w="258" w:type="pct"/>
                  <w:vAlign w:val="center"/>
                </w:tcPr>
                <w:p w14:paraId="160C244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48.90</w:t>
                  </w:r>
                </w:p>
              </w:tc>
              <w:tc>
                <w:tcPr>
                  <w:tcW w:w="258" w:type="pct"/>
                  <w:vAlign w:val="center"/>
                </w:tcPr>
                <w:p w14:paraId="5E71D50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48.90</w:t>
                  </w:r>
                </w:p>
              </w:tc>
              <w:tc>
                <w:tcPr>
                  <w:tcW w:w="258" w:type="pct"/>
                  <w:vAlign w:val="center"/>
                </w:tcPr>
                <w:p w14:paraId="201EF0D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48.89</w:t>
                  </w:r>
                </w:p>
              </w:tc>
              <w:tc>
                <w:tcPr>
                  <w:tcW w:w="260" w:type="pct"/>
                  <w:vAlign w:val="center"/>
                </w:tcPr>
                <w:p w14:paraId="068D5E8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49.04</w:t>
                  </w:r>
                </w:p>
              </w:tc>
              <w:tc>
                <w:tcPr>
                  <w:tcW w:w="116" w:type="pct"/>
                  <w:vAlign w:val="center"/>
                </w:tcPr>
                <w:p w14:paraId="5808D862">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1D88CB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76B01523">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砌墙砖抗压强度试验用振动台</w:t>
                  </w:r>
                </w:p>
              </w:tc>
              <w:tc>
                <w:tcPr>
                  <w:tcW w:w="93" w:type="pct"/>
                  <w:vAlign w:val="center"/>
                </w:tcPr>
                <w:p w14:paraId="4DA9E1BF">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sz w:val="21"/>
                      <w:szCs w:val="21"/>
                    </w:rPr>
                    <w:t>85</w:t>
                  </w:r>
                </w:p>
              </w:tc>
              <w:tc>
                <w:tcPr>
                  <w:tcW w:w="229" w:type="pct"/>
                  <w:vMerge w:val="continue"/>
                  <w:vAlign w:val="center"/>
                </w:tcPr>
                <w:p w14:paraId="35CD5F4C">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3FC6C11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46.68</w:t>
                  </w:r>
                </w:p>
              </w:tc>
              <w:tc>
                <w:tcPr>
                  <w:tcW w:w="314" w:type="pct"/>
                  <w:vAlign w:val="center"/>
                </w:tcPr>
                <w:p w14:paraId="2FED3D3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3.2</w:t>
                  </w:r>
                </w:p>
              </w:tc>
              <w:tc>
                <w:tcPr>
                  <w:tcW w:w="74" w:type="pct"/>
                  <w:vAlign w:val="center"/>
                </w:tcPr>
                <w:p w14:paraId="5D92A8E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6C35F00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16.87</w:t>
                  </w:r>
                </w:p>
              </w:tc>
              <w:tc>
                <w:tcPr>
                  <w:tcW w:w="258" w:type="pct"/>
                  <w:vAlign w:val="center"/>
                </w:tcPr>
                <w:p w14:paraId="3614E3C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5.85</w:t>
                  </w:r>
                </w:p>
              </w:tc>
              <w:tc>
                <w:tcPr>
                  <w:tcW w:w="258" w:type="pct"/>
                  <w:vAlign w:val="center"/>
                </w:tcPr>
                <w:p w14:paraId="21BE662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34.04</w:t>
                  </w:r>
                </w:p>
              </w:tc>
              <w:tc>
                <w:tcPr>
                  <w:tcW w:w="203" w:type="pct"/>
                  <w:vAlign w:val="center"/>
                </w:tcPr>
                <w:p w14:paraId="4CBB6A34">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9.65</w:t>
                  </w:r>
                </w:p>
              </w:tc>
              <w:tc>
                <w:tcPr>
                  <w:tcW w:w="258" w:type="pct"/>
                  <w:vAlign w:val="center"/>
                </w:tcPr>
                <w:p w14:paraId="6EA63DF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64.95</w:t>
                  </w:r>
                </w:p>
              </w:tc>
              <w:tc>
                <w:tcPr>
                  <w:tcW w:w="258" w:type="pct"/>
                  <w:vAlign w:val="center"/>
                </w:tcPr>
                <w:p w14:paraId="0BD71F72">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65.02</w:t>
                  </w:r>
                </w:p>
              </w:tc>
              <w:tc>
                <w:tcPr>
                  <w:tcW w:w="258" w:type="pct"/>
                  <w:vAlign w:val="center"/>
                </w:tcPr>
                <w:p w14:paraId="3EA22D3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64.89</w:t>
                  </w:r>
                </w:p>
              </w:tc>
              <w:tc>
                <w:tcPr>
                  <w:tcW w:w="258" w:type="pct"/>
                  <w:vAlign w:val="center"/>
                </w:tcPr>
                <w:p w14:paraId="37FB37A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64.90</w:t>
                  </w:r>
                </w:p>
              </w:tc>
              <w:tc>
                <w:tcPr>
                  <w:tcW w:w="229" w:type="pct"/>
                  <w:vAlign w:val="center"/>
                </w:tcPr>
                <w:p w14:paraId="12652A77">
                  <w:pPr>
                    <w:jc w:val="center"/>
                    <w:rPr>
                      <w:rFonts w:hint="default" w:ascii="Times New Roman" w:hAnsi="Times New Roman" w:eastAsia="宋体" w:cs="Times New Roman"/>
                      <w:color w:val="auto"/>
                      <w:sz w:val="21"/>
                      <w:szCs w:val="21"/>
                      <w:lang w:val="en-US" w:eastAsia="zh-CN"/>
                    </w:rPr>
                  </w:pPr>
                </w:p>
              </w:tc>
              <w:tc>
                <w:tcPr>
                  <w:tcW w:w="310" w:type="pct"/>
                  <w:shd w:val="clear" w:color="auto" w:fill="auto"/>
                  <w:vAlign w:val="center"/>
                </w:tcPr>
                <w:p w14:paraId="387A04BE">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26</w:t>
                  </w:r>
                </w:p>
              </w:tc>
              <w:tc>
                <w:tcPr>
                  <w:tcW w:w="258" w:type="pct"/>
                  <w:vAlign w:val="center"/>
                </w:tcPr>
                <w:p w14:paraId="11BB8CA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38.95</w:t>
                  </w:r>
                </w:p>
              </w:tc>
              <w:tc>
                <w:tcPr>
                  <w:tcW w:w="258" w:type="pct"/>
                  <w:vAlign w:val="center"/>
                </w:tcPr>
                <w:p w14:paraId="2231469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39.02</w:t>
                  </w:r>
                </w:p>
              </w:tc>
              <w:tc>
                <w:tcPr>
                  <w:tcW w:w="258" w:type="pct"/>
                  <w:vAlign w:val="center"/>
                </w:tcPr>
                <w:p w14:paraId="233B5342">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38.89</w:t>
                  </w:r>
                </w:p>
              </w:tc>
              <w:tc>
                <w:tcPr>
                  <w:tcW w:w="260" w:type="pct"/>
                  <w:vAlign w:val="center"/>
                </w:tcPr>
                <w:p w14:paraId="6EBC07E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38.90</w:t>
                  </w:r>
                </w:p>
              </w:tc>
              <w:tc>
                <w:tcPr>
                  <w:tcW w:w="116" w:type="pct"/>
                  <w:vAlign w:val="center"/>
                </w:tcPr>
                <w:p w14:paraId="61B377BE">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585A8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1F0697D0">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落锤冲击试验机</w:t>
                  </w:r>
                </w:p>
              </w:tc>
              <w:tc>
                <w:tcPr>
                  <w:tcW w:w="93" w:type="pct"/>
                  <w:vAlign w:val="center"/>
                </w:tcPr>
                <w:p w14:paraId="7F7D671F">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sz w:val="21"/>
                      <w:szCs w:val="21"/>
                    </w:rPr>
                    <w:t>75</w:t>
                  </w:r>
                </w:p>
              </w:tc>
              <w:tc>
                <w:tcPr>
                  <w:tcW w:w="229" w:type="pct"/>
                  <w:vMerge w:val="continue"/>
                  <w:vAlign w:val="center"/>
                </w:tcPr>
                <w:p w14:paraId="26378F42">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6E3FD1C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46.68</w:t>
                  </w:r>
                </w:p>
              </w:tc>
              <w:tc>
                <w:tcPr>
                  <w:tcW w:w="314" w:type="pct"/>
                  <w:vAlign w:val="center"/>
                </w:tcPr>
                <w:p w14:paraId="6BC7F70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5.82</w:t>
                  </w:r>
                </w:p>
              </w:tc>
              <w:tc>
                <w:tcPr>
                  <w:tcW w:w="74" w:type="pct"/>
                  <w:vAlign w:val="center"/>
                </w:tcPr>
                <w:p w14:paraId="7DAC93D4">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6161988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13.11</w:t>
                  </w:r>
                </w:p>
              </w:tc>
              <w:tc>
                <w:tcPr>
                  <w:tcW w:w="258" w:type="pct"/>
                  <w:vAlign w:val="center"/>
                </w:tcPr>
                <w:p w14:paraId="201BA48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w:t>
                  </w:r>
                </w:p>
              </w:tc>
              <w:tc>
                <w:tcPr>
                  <w:tcW w:w="258" w:type="pct"/>
                  <w:vAlign w:val="center"/>
                </w:tcPr>
                <w:p w14:paraId="1C4CCEF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37.75</w:t>
                  </w:r>
                </w:p>
              </w:tc>
              <w:tc>
                <w:tcPr>
                  <w:tcW w:w="203" w:type="pct"/>
                  <w:vAlign w:val="center"/>
                </w:tcPr>
                <w:p w14:paraId="096FB2A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7.97</w:t>
                  </w:r>
                </w:p>
              </w:tc>
              <w:tc>
                <w:tcPr>
                  <w:tcW w:w="258" w:type="pct"/>
                  <w:vAlign w:val="center"/>
                </w:tcPr>
                <w:p w14:paraId="2E5AEF9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69.95</w:t>
                  </w:r>
                </w:p>
              </w:tc>
              <w:tc>
                <w:tcPr>
                  <w:tcW w:w="258" w:type="pct"/>
                  <w:vAlign w:val="center"/>
                </w:tcPr>
                <w:p w14:paraId="36108F8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69.93</w:t>
                  </w:r>
                </w:p>
              </w:tc>
              <w:tc>
                <w:tcPr>
                  <w:tcW w:w="258" w:type="pct"/>
                  <w:vAlign w:val="center"/>
                </w:tcPr>
                <w:p w14:paraId="15C987D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69.89</w:t>
                  </w:r>
                </w:p>
              </w:tc>
              <w:tc>
                <w:tcPr>
                  <w:tcW w:w="258" w:type="pct"/>
                  <w:vAlign w:val="center"/>
                </w:tcPr>
                <w:p w14:paraId="2B9DF97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69.90</w:t>
                  </w:r>
                </w:p>
              </w:tc>
              <w:tc>
                <w:tcPr>
                  <w:tcW w:w="229" w:type="pct"/>
                  <w:vAlign w:val="center"/>
                </w:tcPr>
                <w:p w14:paraId="69B4DA0F">
                  <w:pPr>
                    <w:jc w:val="center"/>
                    <w:rPr>
                      <w:rFonts w:hint="default" w:ascii="Times New Roman" w:hAnsi="Times New Roman" w:eastAsia="宋体" w:cs="Times New Roman"/>
                      <w:color w:val="auto"/>
                      <w:sz w:val="21"/>
                      <w:szCs w:val="21"/>
                      <w:lang w:val="en-US" w:eastAsia="zh-CN"/>
                    </w:rPr>
                  </w:pPr>
                </w:p>
              </w:tc>
              <w:tc>
                <w:tcPr>
                  <w:tcW w:w="310" w:type="pct"/>
                  <w:shd w:val="clear" w:color="auto" w:fill="auto"/>
                  <w:vAlign w:val="center"/>
                </w:tcPr>
                <w:p w14:paraId="668DDF4D">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26</w:t>
                  </w:r>
                </w:p>
              </w:tc>
              <w:tc>
                <w:tcPr>
                  <w:tcW w:w="258" w:type="pct"/>
                  <w:vAlign w:val="center"/>
                </w:tcPr>
                <w:p w14:paraId="4CED7C7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43.95</w:t>
                  </w:r>
                </w:p>
              </w:tc>
              <w:tc>
                <w:tcPr>
                  <w:tcW w:w="258" w:type="pct"/>
                  <w:vAlign w:val="center"/>
                </w:tcPr>
                <w:p w14:paraId="445E583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43.93</w:t>
                  </w:r>
                </w:p>
              </w:tc>
              <w:tc>
                <w:tcPr>
                  <w:tcW w:w="258" w:type="pct"/>
                  <w:vAlign w:val="center"/>
                </w:tcPr>
                <w:p w14:paraId="737FB952">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43.89</w:t>
                  </w:r>
                </w:p>
              </w:tc>
              <w:tc>
                <w:tcPr>
                  <w:tcW w:w="260" w:type="pct"/>
                  <w:vAlign w:val="center"/>
                </w:tcPr>
                <w:p w14:paraId="318183B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43.90</w:t>
                  </w:r>
                </w:p>
              </w:tc>
              <w:tc>
                <w:tcPr>
                  <w:tcW w:w="116" w:type="pct"/>
                  <w:vAlign w:val="center"/>
                </w:tcPr>
                <w:p w14:paraId="33D58914">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67B6B3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40EAEA19">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微机控制环刚度试验机</w:t>
                  </w:r>
                </w:p>
              </w:tc>
              <w:tc>
                <w:tcPr>
                  <w:tcW w:w="93" w:type="pct"/>
                  <w:vAlign w:val="center"/>
                </w:tcPr>
                <w:p w14:paraId="7E34CAE0">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sz w:val="21"/>
                      <w:szCs w:val="21"/>
                    </w:rPr>
                    <w:t>75</w:t>
                  </w:r>
                </w:p>
              </w:tc>
              <w:tc>
                <w:tcPr>
                  <w:tcW w:w="229" w:type="pct"/>
                  <w:vMerge w:val="continue"/>
                  <w:vAlign w:val="center"/>
                </w:tcPr>
                <w:p w14:paraId="3A975986">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5E1761C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42.81</w:t>
                  </w:r>
                </w:p>
              </w:tc>
              <w:tc>
                <w:tcPr>
                  <w:tcW w:w="314" w:type="pct"/>
                  <w:vAlign w:val="center"/>
                </w:tcPr>
                <w:p w14:paraId="1A11AD3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6.92</w:t>
                  </w:r>
                </w:p>
              </w:tc>
              <w:tc>
                <w:tcPr>
                  <w:tcW w:w="74" w:type="pct"/>
                  <w:vAlign w:val="center"/>
                </w:tcPr>
                <w:p w14:paraId="082B66B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22B9746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16.78</w:t>
                  </w:r>
                </w:p>
              </w:tc>
              <w:tc>
                <w:tcPr>
                  <w:tcW w:w="258" w:type="pct"/>
                  <w:vAlign w:val="center"/>
                </w:tcPr>
                <w:p w14:paraId="7AECC0F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2.67</w:t>
                  </w:r>
                </w:p>
              </w:tc>
              <w:tc>
                <w:tcPr>
                  <w:tcW w:w="258" w:type="pct"/>
                  <w:vAlign w:val="center"/>
                </w:tcPr>
                <w:p w14:paraId="0C5E489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34.20</w:t>
                  </w:r>
                </w:p>
              </w:tc>
              <w:tc>
                <w:tcPr>
                  <w:tcW w:w="203" w:type="pct"/>
                  <w:vAlign w:val="center"/>
                </w:tcPr>
                <w:p w14:paraId="080752B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12.83</w:t>
                  </w:r>
                </w:p>
              </w:tc>
              <w:tc>
                <w:tcPr>
                  <w:tcW w:w="258" w:type="pct"/>
                  <w:vAlign w:val="center"/>
                </w:tcPr>
                <w:p w14:paraId="25CCB1A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74.91</w:t>
                  </w:r>
                </w:p>
              </w:tc>
              <w:tc>
                <w:tcPr>
                  <w:tcW w:w="258" w:type="pct"/>
                  <w:vAlign w:val="center"/>
                </w:tcPr>
                <w:p w14:paraId="6EBA89B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74.92</w:t>
                  </w:r>
                </w:p>
              </w:tc>
              <w:tc>
                <w:tcPr>
                  <w:tcW w:w="258" w:type="pct"/>
                  <w:vAlign w:val="center"/>
                </w:tcPr>
                <w:p w14:paraId="3A14B7D2">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74.89</w:t>
                  </w:r>
                </w:p>
              </w:tc>
              <w:tc>
                <w:tcPr>
                  <w:tcW w:w="258" w:type="pct"/>
                  <w:vAlign w:val="center"/>
                </w:tcPr>
                <w:p w14:paraId="6A2FFFE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74.90</w:t>
                  </w:r>
                </w:p>
              </w:tc>
              <w:tc>
                <w:tcPr>
                  <w:tcW w:w="229" w:type="pct"/>
                  <w:vAlign w:val="center"/>
                </w:tcPr>
                <w:p w14:paraId="220F0AE5">
                  <w:pPr>
                    <w:jc w:val="center"/>
                    <w:rPr>
                      <w:rFonts w:hint="default" w:ascii="Times New Roman" w:hAnsi="Times New Roman" w:eastAsia="宋体" w:cs="Times New Roman"/>
                      <w:color w:val="auto"/>
                      <w:sz w:val="21"/>
                      <w:szCs w:val="21"/>
                      <w:lang w:val="en-US" w:eastAsia="zh-CN"/>
                    </w:rPr>
                  </w:pPr>
                </w:p>
              </w:tc>
              <w:tc>
                <w:tcPr>
                  <w:tcW w:w="310" w:type="pct"/>
                  <w:shd w:val="clear" w:color="auto" w:fill="auto"/>
                  <w:vAlign w:val="center"/>
                </w:tcPr>
                <w:p w14:paraId="7628801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26</w:t>
                  </w:r>
                </w:p>
              </w:tc>
              <w:tc>
                <w:tcPr>
                  <w:tcW w:w="258" w:type="pct"/>
                  <w:vAlign w:val="center"/>
                </w:tcPr>
                <w:p w14:paraId="5E9E32B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48.91</w:t>
                  </w:r>
                </w:p>
              </w:tc>
              <w:tc>
                <w:tcPr>
                  <w:tcW w:w="258" w:type="pct"/>
                  <w:vAlign w:val="center"/>
                </w:tcPr>
                <w:p w14:paraId="6997869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48.92</w:t>
                  </w:r>
                </w:p>
              </w:tc>
              <w:tc>
                <w:tcPr>
                  <w:tcW w:w="258" w:type="pct"/>
                  <w:vAlign w:val="center"/>
                </w:tcPr>
                <w:p w14:paraId="52474FF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48.89</w:t>
                  </w:r>
                </w:p>
              </w:tc>
              <w:tc>
                <w:tcPr>
                  <w:tcW w:w="260" w:type="pct"/>
                  <w:vAlign w:val="center"/>
                </w:tcPr>
                <w:p w14:paraId="3F64756A">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48.90</w:t>
                  </w:r>
                </w:p>
              </w:tc>
              <w:tc>
                <w:tcPr>
                  <w:tcW w:w="116" w:type="pct"/>
                  <w:vAlign w:val="center"/>
                </w:tcPr>
                <w:p w14:paraId="04EFD856">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6A7FB3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091FDB43">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微机控制电子万能试验机</w:t>
                  </w:r>
                </w:p>
              </w:tc>
              <w:tc>
                <w:tcPr>
                  <w:tcW w:w="93" w:type="pct"/>
                  <w:vAlign w:val="center"/>
                </w:tcPr>
                <w:p w14:paraId="7AF19E6F">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sz w:val="21"/>
                      <w:szCs w:val="21"/>
                    </w:rPr>
                    <w:t>75</w:t>
                  </w:r>
                </w:p>
              </w:tc>
              <w:tc>
                <w:tcPr>
                  <w:tcW w:w="229" w:type="pct"/>
                  <w:vMerge w:val="continue"/>
                  <w:vAlign w:val="center"/>
                </w:tcPr>
                <w:p w14:paraId="4329EFB5">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7B8AFFB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43.09</w:t>
                  </w:r>
                </w:p>
              </w:tc>
              <w:tc>
                <w:tcPr>
                  <w:tcW w:w="314" w:type="pct"/>
                  <w:vAlign w:val="center"/>
                </w:tcPr>
                <w:p w14:paraId="003FDDB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3.2</w:t>
                  </w:r>
                </w:p>
              </w:tc>
              <w:tc>
                <w:tcPr>
                  <w:tcW w:w="74" w:type="pct"/>
                  <w:vAlign w:val="center"/>
                </w:tcPr>
                <w:p w14:paraId="6F608ED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4645E0F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19.72</w:t>
                  </w:r>
                </w:p>
              </w:tc>
              <w:tc>
                <w:tcPr>
                  <w:tcW w:w="258" w:type="pct"/>
                  <w:vAlign w:val="center"/>
                </w:tcPr>
                <w:p w14:paraId="7F7AC38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8.47</w:t>
                  </w:r>
                </w:p>
              </w:tc>
              <w:tc>
                <w:tcPr>
                  <w:tcW w:w="258" w:type="pct"/>
                  <w:vAlign w:val="center"/>
                </w:tcPr>
                <w:p w14:paraId="513C9A7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31.11</w:t>
                  </w:r>
                </w:p>
              </w:tc>
              <w:tc>
                <w:tcPr>
                  <w:tcW w:w="203" w:type="pct"/>
                  <w:vAlign w:val="center"/>
                </w:tcPr>
                <w:p w14:paraId="29632D5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7.06</w:t>
                  </w:r>
                </w:p>
              </w:tc>
              <w:tc>
                <w:tcPr>
                  <w:tcW w:w="258" w:type="pct"/>
                  <w:vAlign w:val="center"/>
                </w:tcPr>
                <w:p w14:paraId="11D79A6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69.91</w:t>
                  </w:r>
                </w:p>
              </w:tc>
              <w:tc>
                <w:tcPr>
                  <w:tcW w:w="258" w:type="pct"/>
                  <w:vAlign w:val="center"/>
                </w:tcPr>
                <w:p w14:paraId="5B09D39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70.02</w:t>
                  </w:r>
                </w:p>
              </w:tc>
              <w:tc>
                <w:tcPr>
                  <w:tcW w:w="258" w:type="pct"/>
                  <w:vAlign w:val="center"/>
                </w:tcPr>
                <w:p w14:paraId="07B81FE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69.89</w:t>
                  </w:r>
                </w:p>
              </w:tc>
              <w:tc>
                <w:tcPr>
                  <w:tcW w:w="258" w:type="pct"/>
                  <w:vAlign w:val="center"/>
                </w:tcPr>
                <w:p w14:paraId="34A0BB7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69.90</w:t>
                  </w:r>
                </w:p>
              </w:tc>
              <w:tc>
                <w:tcPr>
                  <w:tcW w:w="229" w:type="pct"/>
                  <w:vAlign w:val="center"/>
                </w:tcPr>
                <w:p w14:paraId="650B8862">
                  <w:pPr>
                    <w:jc w:val="center"/>
                    <w:rPr>
                      <w:rFonts w:hint="default" w:ascii="Times New Roman" w:hAnsi="Times New Roman" w:eastAsia="宋体" w:cs="Times New Roman"/>
                      <w:color w:val="auto"/>
                      <w:sz w:val="21"/>
                      <w:szCs w:val="21"/>
                      <w:lang w:val="en-US" w:eastAsia="zh-CN"/>
                    </w:rPr>
                  </w:pPr>
                </w:p>
              </w:tc>
              <w:tc>
                <w:tcPr>
                  <w:tcW w:w="310" w:type="pct"/>
                  <w:shd w:val="clear" w:color="auto" w:fill="auto"/>
                  <w:vAlign w:val="center"/>
                </w:tcPr>
                <w:p w14:paraId="0F4AFBFC">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26</w:t>
                  </w:r>
                </w:p>
              </w:tc>
              <w:tc>
                <w:tcPr>
                  <w:tcW w:w="258" w:type="pct"/>
                  <w:vAlign w:val="center"/>
                </w:tcPr>
                <w:p w14:paraId="3452B42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43.91</w:t>
                  </w:r>
                </w:p>
              </w:tc>
              <w:tc>
                <w:tcPr>
                  <w:tcW w:w="258" w:type="pct"/>
                  <w:vAlign w:val="center"/>
                </w:tcPr>
                <w:p w14:paraId="2504115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44.02</w:t>
                  </w:r>
                </w:p>
              </w:tc>
              <w:tc>
                <w:tcPr>
                  <w:tcW w:w="258" w:type="pct"/>
                  <w:vAlign w:val="center"/>
                </w:tcPr>
                <w:p w14:paraId="13A00CF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43.89</w:t>
                  </w:r>
                </w:p>
              </w:tc>
              <w:tc>
                <w:tcPr>
                  <w:tcW w:w="260" w:type="pct"/>
                  <w:vAlign w:val="center"/>
                </w:tcPr>
                <w:p w14:paraId="2091D374">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43.90</w:t>
                  </w:r>
                </w:p>
              </w:tc>
              <w:tc>
                <w:tcPr>
                  <w:tcW w:w="116" w:type="pct"/>
                  <w:vAlign w:val="center"/>
                </w:tcPr>
                <w:p w14:paraId="7B7621F5">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179788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3FECB052">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手动击实仪</w:t>
                  </w:r>
                </w:p>
              </w:tc>
              <w:tc>
                <w:tcPr>
                  <w:tcW w:w="93" w:type="pct"/>
                  <w:vAlign w:val="center"/>
                </w:tcPr>
                <w:p w14:paraId="2245172A">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sz w:val="21"/>
                      <w:szCs w:val="21"/>
                    </w:rPr>
                    <w:t>80</w:t>
                  </w:r>
                </w:p>
              </w:tc>
              <w:tc>
                <w:tcPr>
                  <w:tcW w:w="229" w:type="pct"/>
                  <w:vMerge w:val="continue"/>
                  <w:vAlign w:val="center"/>
                </w:tcPr>
                <w:p w14:paraId="690EFF1E">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2FDD34E2">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38.54</w:t>
                  </w:r>
                </w:p>
              </w:tc>
              <w:tc>
                <w:tcPr>
                  <w:tcW w:w="314" w:type="pct"/>
                  <w:vAlign w:val="center"/>
                </w:tcPr>
                <w:p w14:paraId="447E533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2.92</w:t>
                  </w:r>
                </w:p>
              </w:tc>
              <w:tc>
                <w:tcPr>
                  <w:tcW w:w="74" w:type="pct"/>
                  <w:vAlign w:val="center"/>
                </w:tcPr>
                <w:p w14:paraId="6EA40A6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7A2F3981">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3.98</w:t>
                  </w:r>
                </w:p>
              </w:tc>
              <w:tc>
                <w:tcPr>
                  <w:tcW w:w="258" w:type="pct"/>
                  <w:vAlign w:val="center"/>
                </w:tcPr>
                <w:p w14:paraId="722DD6D2">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8.98</w:t>
                  </w:r>
                </w:p>
              </w:tc>
              <w:tc>
                <w:tcPr>
                  <w:tcW w:w="258" w:type="pct"/>
                  <w:vAlign w:val="center"/>
                </w:tcPr>
                <w:p w14:paraId="3E21538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46.84</w:t>
                  </w:r>
                </w:p>
              </w:tc>
              <w:tc>
                <w:tcPr>
                  <w:tcW w:w="203" w:type="pct"/>
                  <w:vAlign w:val="center"/>
                </w:tcPr>
                <w:p w14:paraId="0C57D54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6.38</w:t>
                  </w:r>
                </w:p>
              </w:tc>
              <w:tc>
                <w:tcPr>
                  <w:tcW w:w="258" w:type="pct"/>
                  <w:vAlign w:val="center"/>
                </w:tcPr>
                <w:p w14:paraId="3EFF4F7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79.90</w:t>
                  </w:r>
                </w:p>
              </w:tc>
              <w:tc>
                <w:tcPr>
                  <w:tcW w:w="258" w:type="pct"/>
                  <w:vAlign w:val="center"/>
                </w:tcPr>
                <w:p w14:paraId="484590C4">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80.05</w:t>
                  </w:r>
                </w:p>
              </w:tc>
              <w:tc>
                <w:tcPr>
                  <w:tcW w:w="258" w:type="pct"/>
                  <w:vAlign w:val="center"/>
                </w:tcPr>
                <w:p w14:paraId="332AB8E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79.89</w:t>
                  </w:r>
                </w:p>
              </w:tc>
              <w:tc>
                <w:tcPr>
                  <w:tcW w:w="258" w:type="pct"/>
                  <w:vAlign w:val="center"/>
                </w:tcPr>
                <w:p w14:paraId="6BB5E333">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79.90</w:t>
                  </w:r>
                </w:p>
              </w:tc>
              <w:tc>
                <w:tcPr>
                  <w:tcW w:w="229" w:type="pct"/>
                  <w:vAlign w:val="center"/>
                </w:tcPr>
                <w:p w14:paraId="680C1A8D">
                  <w:pPr>
                    <w:jc w:val="center"/>
                    <w:rPr>
                      <w:rFonts w:hint="default" w:ascii="Times New Roman" w:hAnsi="Times New Roman" w:eastAsia="宋体" w:cs="Times New Roman"/>
                      <w:color w:val="auto"/>
                      <w:sz w:val="21"/>
                      <w:szCs w:val="21"/>
                      <w:lang w:val="en-US" w:eastAsia="zh-CN"/>
                    </w:rPr>
                  </w:pPr>
                </w:p>
              </w:tc>
              <w:tc>
                <w:tcPr>
                  <w:tcW w:w="310" w:type="pct"/>
                  <w:shd w:val="clear" w:color="auto" w:fill="auto"/>
                  <w:vAlign w:val="center"/>
                </w:tcPr>
                <w:p w14:paraId="61A47804">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26</w:t>
                  </w:r>
                </w:p>
              </w:tc>
              <w:tc>
                <w:tcPr>
                  <w:tcW w:w="258" w:type="pct"/>
                  <w:vAlign w:val="center"/>
                </w:tcPr>
                <w:p w14:paraId="365FA66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53.90</w:t>
                  </w:r>
                </w:p>
              </w:tc>
              <w:tc>
                <w:tcPr>
                  <w:tcW w:w="258" w:type="pct"/>
                  <w:vAlign w:val="center"/>
                </w:tcPr>
                <w:p w14:paraId="73D94F1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54.05</w:t>
                  </w:r>
                </w:p>
              </w:tc>
              <w:tc>
                <w:tcPr>
                  <w:tcW w:w="258" w:type="pct"/>
                  <w:vAlign w:val="center"/>
                </w:tcPr>
                <w:p w14:paraId="47F8AC4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53.89</w:t>
                  </w:r>
                </w:p>
              </w:tc>
              <w:tc>
                <w:tcPr>
                  <w:tcW w:w="260" w:type="pct"/>
                  <w:vAlign w:val="center"/>
                </w:tcPr>
                <w:p w14:paraId="2ABDCCF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53.90</w:t>
                  </w:r>
                </w:p>
              </w:tc>
              <w:tc>
                <w:tcPr>
                  <w:tcW w:w="116" w:type="pct"/>
                  <w:vAlign w:val="center"/>
                </w:tcPr>
                <w:p w14:paraId="53C3B3CD">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39B4A0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7FA226FA">
                  <w:pPr>
                    <w:keepNext w:val="0"/>
                    <w:keepLines w:val="0"/>
                    <w:pageBreakBefore w:val="0"/>
                    <w:widowControl/>
                    <w:suppressLineNumbers w:val="0"/>
                    <w:kinsoku/>
                    <w:wordWrap/>
                    <w:overflowPunct/>
                    <w:topLinePunct w:val="0"/>
                    <w:autoSpaceDE/>
                    <w:autoSpaceDN/>
                    <w:bidi w:val="0"/>
                    <w:adjustRightInd w:val="0"/>
                    <w:snapToGrid w:val="0"/>
                    <w:ind w:left="0" w:leftChars="0" w:firstLine="0" w:firstLineChars="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钢筋混凝土切片机</w:t>
                  </w:r>
                </w:p>
              </w:tc>
              <w:tc>
                <w:tcPr>
                  <w:tcW w:w="93" w:type="pct"/>
                  <w:vAlign w:val="center"/>
                </w:tcPr>
                <w:p w14:paraId="36A306AB">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sz w:val="21"/>
                      <w:szCs w:val="21"/>
                    </w:rPr>
                    <w:t>80</w:t>
                  </w:r>
                </w:p>
              </w:tc>
              <w:tc>
                <w:tcPr>
                  <w:tcW w:w="229" w:type="pct"/>
                  <w:vMerge w:val="continue"/>
                  <w:vAlign w:val="center"/>
                </w:tcPr>
                <w:p w14:paraId="6DE901F4">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73D3455C">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34.12</w:t>
                  </w:r>
                </w:p>
              </w:tc>
              <w:tc>
                <w:tcPr>
                  <w:tcW w:w="314" w:type="pct"/>
                  <w:vAlign w:val="center"/>
                </w:tcPr>
                <w:p w14:paraId="66D169F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6.1</w:t>
                  </w:r>
                </w:p>
              </w:tc>
              <w:tc>
                <w:tcPr>
                  <w:tcW w:w="74" w:type="pct"/>
                  <w:vAlign w:val="center"/>
                </w:tcPr>
                <w:p w14:paraId="52CB358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489A762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14.96</w:t>
                  </w:r>
                </w:p>
              </w:tc>
              <w:tc>
                <w:tcPr>
                  <w:tcW w:w="258" w:type="pct"/>
                  <w:vAlign w:val="center"/>
                </w:tcPr>
                <w:p w14:paraId="3A49F37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12.46</w:t>
                  </w:r>
                </w:p>
              </w:tc>
              <w:tc>
                <w:tcPr>
                  <w:tcW w:w="258" w:type="pct"/>
                  <w:vAlign w:val="center"/>
                </w:tcPr>
                <w:p w14:paraId="489FC15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35.77</w:t>
                  </w:r>
                </w:p>
              </w:tc>
              <w:tc>
                <w:tcPr>
                  <w:tcW w:w="203" w:type="pct"/>
                  <w:vAlign w:val="center"/>
                </w:tcPr>
                <w:p w14:paraId="75B6E56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3.02</w:t>
                  </w:r>
                </w:p>
              </w:tc>
              <w:tc>
                <w:tcPr>
                  <w:tcW w:w="258" w:type="pct"/>
                  <w:vAlign w:val="center"/>
                </w:tcPr>
                <w:p w14:paraId="515417B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79.89</w:t>
                  </w:r>
                </w:p>
              </w:tc>
              <w:tc>
                <w:tcPr>
                  <w:tcW w:w="258" w:type="pct"/>
                  <w:vAlign w:val="center"/>
                </w:tcPr>
                <w:p w14:paraId="4B9E957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79.92</w:t>
                  </w:r>
                </w:p>
              </w:tc>
              <w:tc>
                <w:tcPr>
                  <w:tcW w:w="258" w:type="pct"/>
                  <w:vAlign w:val="center"/>
                </w:tcPr>
                <w:p w14:paraId="7801E88D">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79.89</w:t>
                  </w:r>
                </w:p>
              </w:tc>
              <w:tc>
                <w:tcPr>
                  <w:tcW w:w="258" w:type="pct"/>
                  <w:vAlign w:val="center"/>
                </w:tcPr>
                <w:p w14:paraId="0EF2AF9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79.90</w:t>
                  </w:r>
                </w:p>
              </w:tc>
              <w:tc>
                <w:tcPr>
                  <w:tcW w:w="229" w:type="pct"/>
                  <w:vAlign w:val="center"/>
                </w:tcPr>
                <w:p w14:paraId="5CC3B445">
                  <w:pPr>
                    <w:jc w:val="center"/>
                    <w:rPr>
                      <w:rFonts w:hint="default" w:ascii="Times New Roman" w:hAnsi="Times New Roman" w:eastAsia="宋体" w:cs="Times New Roman"/>
                      <w:color w:val="auto"/>
                      <w:sz w:val="21"/>
                      <w:szCs w:val="21"/>
                      <w:lang w:val="en-US" w:eastAsia="zh-CN"/>
                    </w:rPr>
                  </w:pPr>
                </w:p>
              </w:tc>
              <w:tc>
                <w:tcPr>
                  <w:tcW w:w="310" w:type="pct"/>
                  <w:vAlign w:val="center"/>
                </w:tcPr>
                <w:p w14:paraId="25C84D04">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26</w:t>
                  </w:r>
                </w:p>
              </w:tc>
              <w:tc>
                <w:tcPr>
                  <w:tcW w:w="258" w:type="pct"/>
                  <w:vAlign w:val="center"/>
                </w:tcPr>
                <w:p w14:paraId="55BECF2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53.89</w:t>
                  </w:r>
                </w:p>
              </w:tc>
              <w:tc>
                <w:tcPr>
                  <w:tcW w:w="258" w:type="pct"/>
                  <w:vAlign w:val="center"/>
                </w:tcPr>
                <w:p w14:paraId="360556DF">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53.92</w:t>
                  </w:r>
                </w:p>
              </w:tc>
              <w:tc>
                <w:tcPr>
                  <w:tcW w:w="258" w:type="pct"/>
                  <w:vAlign w:val="center"/>
                </w:tcPr>
                <w:p w14:paraId="5A0E071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53.89</w:t>
                  </w:r>
                </w:p>
              </w:tc>
              <w:tc>
                <w:tcPr>
                  <w:tcW w:w="260" w:type="pct"/>
                  <w:vAlign w:val="center"/>
                </w:tcPr>
                <w:p w14:paraId="64124D5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53.90</w:t>
                  </w:r>
                </w:p>
              </w:tc>
              <w:tc>
                <w:tcPr>
                  <w:tcW w:w="116" w:type="pct"/>
                  <w:vAlign w:val="center"/>
                </w:tcPr>
                <w:p w14:paraId="04A7E068">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14:paraId="117E16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328" w:type="pct"/>
                  <w:shd w:val="clear" w:color="auto" w:fill="auto"/>
                  <w:vAlign w:val="center"/>
                </w:tcPr>
                <w:p w14:paraId="5B67CE8D">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双头磨片机</w:t>
                  </w:r>
                </w:p>
              </w:tc>
              <w:tc>
                <w:tcPr>
                  <w:tcW w:w="93" w:type="pct"/>
                  <w:vAlign w:val="center"/>
                </w:tcPr>
                <w:p w14:paraId="48375DF0">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sz w:val="21"/>
                      <w:szCs w:val="21"/>
                    </w:rPr>
                    <w:t>80</w:t>
                  </w:r>
                </w:p>
              </w:tc>
              <w:tc>
                <w:tcPr>
                  <w:tcW w:w="229" w:type="pct"/>
                  <w:vMerge w:val="continue"/>
                  <w:vAlign w:val="center"/>
                </w:tcPr>
                <w:p w14:paraId="56E49D1D">
                  <w:pPr>
                    <w:jc w:val="center"/>
                    <w:rPr>
                      <w:rFonts w:hint="default" w:ascii="Times New Roman" w:hAnsi="Times New Roman" w:eastAsia="宋体" w:cs="Times New Roman"/>
                      <w:color w:val="auto"/>
                      <w:kern w:val="2"/>
                      <w:sz w:val="21"/>
                      <w:szCs w:val="21"/>
                      <w:lang w:val="en-US" w:eastAsia="zh-CN" w:bidi="ar-SA"/>
                    </w:rPr>
                  </w:pPr>
                </w:p>
              </w:tc>
              <w:tc>
                <w:tcPr>
                  <w:tcW w:w="258" w:type="pct"/>
                  <w:vAlign w:val="center"/>
                </w:tcPr>
                <w:p w14:paraId="7EC3E63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37.85</w:t>
                  </w:r>
                </w:p>
              </w:tc>
              <w:tc>
                <w:tcPr>
                  <w:tcW w:w="314" w:type="pct"/>
                  <w:vAlign w:val="center"/>
                </w:tcPr>
                <w:p w14:paraId="1585D0C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7.75</w:t>
                  </w:r>
                </w:p>
              </w:tc>
              <w:tc>
                <w:tcPr>
                  <w:tcW w:w="74" w:type="pct"/>
                  <w:vAlign w:val="center"/>
                </w:tcPr>
                <w:p w14:paraId="10EE020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58" w:type="pct"/>
                  <w:vAlign w:val="center"/>
                </w:tcPr>
                <w:p w14:paraId="63654D6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19.91</w:t>
                  </w:r>
                </w:p>
              </w:tc>
              <w:tc>
                <w:tcPr>
                  <w:tcW w:w="258" w:type="pct"/>
                  <w:vAlign w:val="center"/>
                </w:tcPr>
                <w:p w14:paraId="3261687E">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12.89</w:t>
                  </w:r>
                </w:p>
              </w:tc>
              <w:tc>
                <w:tcPr>
                  <w:tcW w:w="258" w:type="pct"/>
                  <w:vAlign w:val="center"/>
                </w:tcPr>
                <w:p w14:paraId="79236C1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30.80</w:t>
                  </w:r>
                </w:p>
              </w:tc>
              <w:tc>
                <w:tcPr>
                  <w:tcW w:w="203" w:type="pct"/>
                  <w:vAlign w:val="center"/>
                </w:tcPr>
                <w:p w14:paraId="4F5107B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2.65</w:t>
                  </w:r>
                </w:p>
              </w:tc>
              <w:tc>
                <w:tcPr>
                  <w:tcW w:w="258" w:type="pct"/>
                  <w:vAlign w:val="center"/>
                </w:tcPr>
                <w:p w14:paraId="318CCA46">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69.90</w:t>
                  </w:r>
                </w:p>
              </w:tc>
              <w:tc>
                <w:tcPr>
                  <w:tcW w:w="258" w:type="pct"/>
                  <w:vAlign w:val="center"/>
                </w:tcPr>
                <w:p w14:paraId="7CDFD13B">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69.91</w:t>
                  </w:r>
                </w:p>
              </w:tc>
              <w:tc>
                <w:tcPr>
                  <w:tcW w:w="258" w:type="pct"/>
                  <w:vAlign w:val="center"/>
                </w:tcPr>
                <w:p w14:paraId="3C033860">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69.89</w:t>
                  </w:r>
                </w:p>
              </w:tc>
              <w:tc>
                <w:tcPr>
                  <w:tcW w:w="258" w:type="pct"/>
                  <w:vAlign w:val="center"/>
                </w:tcPr>
                <w:p w14:paraId="37AB92E5">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69.91</w:t>
                  </w:r>
                </w:p>
              </w:tc>
              <w:tc>
                <w:tcPr>
                  <w:tcW w:w="229" w:type="pct"/>
                  <w:vAlign w:val="center"/>
                </w:tcPr>
                <w:p w14:paraId="194959CC">
                  <w:pPr>
                    <w:jc w:val="center"/>
                    <w:rPr>
                      <w:rFonts w:hint="default" w:ascii="Times New Roman" w:hAnsi="Times New Roman" w:eastAsia="宋体" w:cs="Times New Roman"/>
                      <w:color w:val="auto"/>
                      <w:sz w:val="21"/>
                      <w:szCs w:val="21"/>
                      <w:lang w:val="en-US" w:eastAsia="zh-CN"/>
                    </w:rPr>
                  </w:pPr>
                </w:p>
              </w:tc>
              <w:tc>
                <w:tcPr>
                  <w:tcW w:w="310" w:type="pct"/>
                  <w:vAlign w:val="center"/>
                </w:tcPr>
                <w:p w14:paraId="36461B06">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26</w:t>
                  </w:r>
                </w:p>
              </w:tc>
              <w:tc>
                <w:tcPr>
                  <w:tcW w:w="258" w:type="pct"/>
                  <w:vAlign w:val="center"/>
                </w:tcPr>
                <w:p w14:paraId="6F554F78">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43.90</w:t>
                  </w:r>
                </w:p>
              </w:tc>
              <w:tc>
                <w:tcPr>
                  <w:tcW w:w="258" w:type="pct"/>
                  <w:vAlign w:val="center"/>
                </w:tcPr>
                <w:p w14:paraId="1865F564">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43.91</w:t>
                  </w:r>
                </w:p>
              </w:tc>
              <w:tc>
                <w:tcPr>
                  <w:tcW w:w="258" w:type="pct"/>
                  <w:vAlign w:val="center"/>
                </w:tcPr>
                <w:p w14:paraId="71E06257">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43.89</w:t>
                  </w:r>
                </w:p>
              </w:tc>
              <w:tc>
                <w:tcPr>
                  <w:tcW w:w="260" w:type="pct"/>
                  <w:vAlign w:val="center"/>
                </w:tcPr>
                <w:p w14:paraId="448E1BE9">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43.91</w:t>
                  </w:r>
                </w:p>
              </w:tc>
              <w:tc>
                <w:tcPr>
                  <w:tcW w:w="116" w:type="pct"/>
                  <w:vAlign w:val="center"/>
                </w:tcPr>
                <w:p w14:paraId="59BB4306">
                  <w:pPr>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bl>
          <w:p w14:paraId="404B92B6">
            <w:pPr>
              <w:rPr>
                <w:rFonts w:hint="eastAsia" w:ascii="黑体" w:hAnsi="黑体" w:eastAsia="黑体"/>
                <w:snapToGrid w:val="0"/>
                <w:color w:val="000000" w:themeColor="text1"/>
                <w:sz w:val="30"/>
                <w:szCs w:val="30"/>
                <w:vertAlign w:val="baseline"/>
                <w14:textFill>
                  <w14:solidFill>
                    <w14:schemeClr w14:val="tx1"/>
                  </w14:solidFill>
                </w14:textFill>
              </w:rPr>
            </w:pPr>
          </w:p>
        </w:tc>
      </w:tr>
    </w:tbl>
    <w:p w14:paraId="2E529808">
      <w:pPr>
        <w:rPr>
          <w:rFonts w:hint="eastAsia" w:ascii="黑体" w:hAnsi="黑体" w:eastAsia="黑体"/>
          <w:snapToGrid w:val="0"/>
          <w:color w:val="000000" w:themeColor="text1"/>
          <w:sz w:val="30"/>
          <w:szCs w:val="30"/>
          <w14:textFill>
            <w14:solidFill>
              <w14:schemeClr w14:val="tx1"/>
            </w14:solidFill>
          </w14:textFill>
        </w:rPr>
      </w:pPr>
    </w:p>
    <w:p w14:paraId="25D77EA8">
      <w:pPr>
        <w:pStyle w:val="25"/>
        <w:jc w:val="center"/>
        <w:outlineLvl w:val="0"/>
        <w:rPr>
          <w:rFonts w:hint="eastAsia" w:ascii="黑体" w:hAnsi="黑体" w:eastAsia="黑体"/>
          <w:snapToGrid w:val="0"/>
          <w:color w:val="000000" w:themeColor="text1"/>
          <w:sz w:val="30"/>
          <w:szCs w:val="30"/>
          <w14:textFill>
            <w14:solidFill>
              <w14:schemeClr w14:val="tx1"/>
            </w14:solidFill>
          </w14:textFill>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8496"/>
      </w:tblGrid>
      <w:tr w14:paraId="07558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16EE4C53">
            <w:pPr>
              <w:pStyle w:val="25"/>
              <w:jc w:val="center"/>
              <w:outlineLvl w:val="0"/>
              <w:rPr>
                <w:rFonts w:hint="eastAsia" w:ascii="黑体" w:hAnsi="黑体" w:eastAsia="黑体"/>
                <w:snapToGrid w:val="0"/>
                <w:color w:val="auto"/>
                <w:sz w:val="30"/>
                <w:szCs w:val="30"/>
                <w:vertAlign w:val="baseline"/>
              </w:rPr>
            </w:pPr>
          </w:p>
        </w:tc>
        <w:tc>
          <w:tcPr>
            <w:tcW w:w="8496" w:type="dxa"/>
          </w:tcPr>
          <w:p w14:paraId="288DFBC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jc w:val="center"/>
              <w:textAlignment w:val="auto"/>
              <w:rPr>
                <w:rFonts w:hint="eastAsia" w:eastAsia="宋体"/>
                <w:b/>
                <w:bCs/>
                <w:color w:val="auto"/>
                <w:sz w:val="21"/>
                <w:szCs w:val="21"/>
                <w:lang w:eastAsia="zh-CN"/>
              </w:rPr>
            </w:pPr>
            <w:r>
              <w:rPr>
                <w:rFonts w:hint="default" w:ascii="Times New Roman" w:hAnsi="Times New Roman" w:eastAsia="宋体" w:cs="Times New Roman"/>
                <w:b/>
                <w:color w:val="auto"/>
                <w:kern w:val="2"/>
                <w:sz w:val="24"/>
                <w:szCs w:val="24"/>
                <w:lang w:val="en-US" w:eastAsia="zh-CN" w:bidi="ar-SA"/>
              </w:rPr>
              <w:t>表4-</w:t>
            </w:r>
            <w:r>
              <w:rPr>
                <w:rFonts w:hint="eastAsia" w:cs="Times New Roman"/>
                <w:b/>
                <w:color w:val="auto"/>
                <w:kern w:val="2"/>
                <w:sz w:val="24"/>
                <w:szCs w:val="24"/>
                <w:lang w:val="en-US" w:eastAsia="zh-CN" w:bidi="ar-SA"/>
              </w:rPr>
              <w:t>6</w:t>
            </w:r>
            <w:r>
              <w:rPr>
                <w:rFonts w:hint="default" w:ascii="Times New Roman" w:hAnsi="Times New Roman" w:eastAsia="宋体" w:cs="Times New Roman"/>
                <w:b/>
                <w:color w:val="auto"/>
                <w:kern w:val="2"/>
                <w:sz w:val="24"/>
                <w:szCs w:val="24"/>
                <w:lang w:val="en-US" w:eastAsia="zh-CN" w:bidi="ar-SA"/>
              </w:rPr>
              <w:t xml:space="preserve">   </w:t>
            </w:r>
            <w:r>
              <w:rPr>
                <w:rFonts w:hint="eastAsia"/>
                <w:b/>
                <w:bCs/>
                <w:color w:val="auto"/>
                <w:sz w:val="24"/>
              </w:rPr>
              <w:t>本项目</w:t>
            </w:r>
            <w:r>
              <w:rPr>
                <w:b/>
                <w:bCs/>
                <w:color w:val="auto"/>
                <w:sz w:val="24"/>
              </w:rPr>
              <w:t>噪声源强调查清单</w:t>
            </w:r>
            <w:r>
              <w:rPr>
                <w:rFonts w:hint="eastAsia"/>
                <w:b/>
                <w:bCs/>
                <w:color w:val="auto"/>
                <w:sz w:val="24"/>
                <w:lang w:eastAsia="zh-CN"/>
              </w:rPr>
              <w:t>（</w:t>
            </w:r>
            <w:r>
              <w:rPr>
                <w:rFonts w:hint="eastAsia"/>
                <w:b/>
                <w:bCs/>
                <w:color w:val="auto"/>
                <w:sz w:val="24"/>
                <w:lang w:val="en-US" w:eastAsia="zh-CN"/>
              </w:rPr>
              <w:t>室外</w:t>
            </w:r>
            <w:r>
              <w:rPr>
                <w:rFonts w:hint="eastAsia"/>
                <w:b/>
                <w:bCs/>
                <w:color w:val="auto"/>
                <w:sz w:val="24"/>
                <w:lang w:eastAsia="zh-CN"/>
              </w:rPr>
              <w:t>）</w:t>
            </w:r>
          </w:p>
          <w:tbl>
            <w:tblPr>
              <w:tblStyle w:val="29"/>
              <w:tblW w:w="5041"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1097"/>
              <w:gridCol w:w="915"/>
              <w:gridCol w:w="847"/>
              <w:gridCol w:w="1415"/>
              <w:gridCol w:w="1084"/>
              <w:gridCol w:w="1134"/>
              <w:gridCol w:w="1183"/>
            </w:tblGrid>
            <w:tr w14:paraId="372D20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3" w:type="pct"/>
                  <w:vMerge w:val="restart"/>
                  <w:tcBorders>
                    <w:tl2br w:val="nil"/>
                    <w:tr2bl w:val="nil"/>
                  </w:tcBorders>
                  <w:noWrap w:val="0"/>
                  <w:vAlign w:val="center"/>
                </w:tcPr>
                <w:p w14:paraId="5976400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序号</w:t>
                  </w:r>
                </w:p>
              </w:tc>
              <w:tc>
                <w:tcPr>
                  <w:tcW w:w="657" w:type="pct"/>
                  <w:vMerge w:val="restart"/>
                  <w:tcBorders>
                    <w:tl2br w:val="nil"/>
                    <w:tr2bl w:val="nil"/>
                  </w:tcBorders>
                  <w:noWrap w:val="0"/>
                  <w:vAlign w:val="center"/>
                </w:tcPr>
                <w:p w14:paraId="0E43DA3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val="en-US" w:eastAsia="zh-CN"/>
                    </w:rPr>
                    <w:t>声源名称</w:t>
                  </w:r>
                </w:p>
              </w:tc>
              <w:tc>
                <w:tcPr>
                  <w:tcW w:w="1902" w:type="pct"/>
                  <w:gridSpan w:val="3"/>
                  <w:tcBorders>
                    <w:tl2br w:val="nil"/>
                    <w:tr2bl w:val="nil"/>
                  </w:tcBorders>
                  <w:noWrap w:val="0"/>
                  <w:vAlign w:val="center"/>
                </w:tcPr>
                <w:p w14:paraId="100D20F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val="en-US"/>
                    </w:rPr>
                  </w:pPr>
                  <w:r>
                    <w:rPr>
                      <w:rFonts w:hint="default" w:ascii="Times New Roman" w:hAnsi="Times New Roman" w:eastAsia="宋体" w:cs="Times New Roman"/>
                      <w:b w:val="0"/>
                      <w:bCs w:val="0"/>
                      <w:color w:val="auto"/>
                      <w:sz w:val="21"/>
                      <w:szCs w:val="21"/>
                      <w:vertAlign w:val="baseline"/>
                      <w:lang w:eastAsia="zh-CN"/>
                    </w:rPr>
                    <w:t>空间相对位置</w:t>
                  </w:r>
                  <w:r>
                    <w:rPr>
                      <w:rFonts w:hint="default" w:ascii="Times New Roman" w:hAnsi="Times New Roman" w:eastAsia="宋体" w:cs="Times New Roman"/>
                      <w:b w:val="0"/>
                      <w:bCs w:val="0"/>
                      <w:color w:val="auto"/>
                      <w:sz w:val="21"/>
                      <w:szCs w:val="21"/>
                      <w:vertAlign w:val="baseline"/>
                      <w:lang w:val="en-US" w:eastAsia="zh-CN"/>
                    </w:rPr>
                    <w:t>/m</w:t>
                  </w:r>
                </w:p>
              </w:tc>
              <w:tc>
                <w:tcPr>
                  <w:tcW w:w="649" w:type="pct"/>
                  <w:vMerge w:val="restart"/>
                  <w:tcBorders>
                    <w:tl2br w:val="nil"/>
                    <w:tr2bl w:val="nil"/>
                  </w:tcBorders>
                  <w:noWrap w:val="0"/>
                  <w:vAlign w:val="center"/>
                </w:tcPr>
                <w:p w14:paraId="61E8648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声功率级/dB</w:t>
                  </w:r>
                  <w:r>
                    <w:rPr>
                      <w:rFonts w:hint="default" w:ascii="Times New Roman" w:hAnsi="Times New Roman" w:eastAsia="宋体" w:cs="Times New Roman"/>
                      <w:b w:val="0"/>
                      <w:bCs w:val="0"/>
                      <w:color w:val="auto"/>
                      <w:sz w:val="21"/>
                      <w:szCs w:val="21"/>
                      <w:vertAlign w:val="baseline"/>
                      <w:lang w:eastAsia="zh-CN"/>
                    </w:rPr>
                    <w:t>（</w:t>
                  </w:r>
                  <w:r>
                    <w:rPr>
                      <w:rFonts w:hint="default" w:ascii="Times New Roman" w:hAnsi="Times New Roman" w:eastAsia="宋体" w:cs="Times New Roman"/>
                      <w:b w:val="0"/>
                      <w:bCs w:val="0"/>
                      <w:color w:val="auto"/>
                      <w:sz w:val="21"/>
                      <w:szCs w:val="21"/>
                      <w:vertAlign w:val="baseline"/>
                      <w:lang w:val="en-US" w:eastAsia="zh-CN"/>
                    </w:rPr>
                    <w:t>A</w:t>
                  </w:r>
                  <w:r>
                    <w:rPr>
                      <w:rFonts w:hint="default" w:ascii="Times New Roman" w:hAnsi="Times New Roman" w:eastAsia="宋体" w:cs="Times New Roman"/>
                      <w:b w:val="0"/>
                      <w:bCs w:val="0"/>
                      <w:color w:val="auto"/>
                      <w:sz w:val="21"/>
                      <w:szCs w:val="21"/>
                      <w:vertAlign w:val="baseline"/>
                      <w:lang w:eastAsia="zh-CN"/>
                    </w:rPr>
                    <w:t>）</w:t>
                  </w:r>
                </w:p>
              </w:tc>
              <w:tc>
                <w:tcPr>
                  <w:tcW w:w="679" w:type="pct"/>
                  <w:vMerge w:val="restart"/>
                  <w:tcBorders>
                    <w:tl2br w:val="nil"/>
                    <w:tr2bl w:val="nil"/>
                  </w:tcBorders>
                  <w:noWrap w:val="0"/>
                  <w:vAlign w:val="center"/>
                </w:tcPr>
                <w:p w14:paraId="2663EF3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声源控制措施</w:t>
                  </w:r>
                </w:p>
              </w:tc>
              <w:tc>
                <w:tcPr>
                  <w:tcW w:w="708" w:type="pct"/>
                  <w:vMerge w:val="restart"/>
                  <w:tcBorders>
                    <w:tl2br w:val="nil"/>
                    <w:tr2bl w:val="nil"/>
                  </w:tcBorders>
                  <w:noWrap w:val="0"/>
                  <w:vAlign w:val="center"/>
                </w:tcPr>
                <w:p w14:paraId="7039F48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eastAsia="宋体" w:cs="Times New Roman"/>
                      <w:b w:val="0"/>
                      <w:bCs w:val="0"/>
                      <w:color w:val="auto"/>
                      <w:sz w:val="21"/>
                      <w:szCs w:val="21"/>
                      <w:vertAlign w:val="baseline"/>
                      <w:lang w:eastAsia="zh-CN"/>
                    </w:rPr>
                    <w:t>运行时段</w:t>
                  </w:r>
                </w:p>
              </w:tc>
            </w:tr>
            <w:tr w14:paraId="6E0238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3" w:type="pct"/>
                  <w:vMerge w:val="continue"/>
                  <w:tcBorders>
                    <w:tl2br w:val="nil"/>
                    <w:tr2bl w:val="nil"/>
                  </w:tcBorders>
                  <w:noWrap w:val="0"/>
                  <w:vAlign w:val="center"/>
                </w:tcPr>
                <w:p w14:paraId="624AF09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rPr>
                  </w:pPr>
                </w:p>
              </w:tc>
              <w:tc>
                <w:tcPr>
                  <w:tcW w:w="657" w:type="pct"/>
                  <w:vMerge w:val="continue"/>
                  <w:tcBorders>
                    <w:tl2br w:val="nil"/>
                    <w:tr2bl w:val="nil"/>
                  </w:tcBorders>
                  <w:noWrap w:val="0"/>
                  <w:vAlign w:val="center"/>
                </w:tcPr>
                <w:p w14:paraId="6989101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rPr>
                  </w:pPr>
                </w:p>
              </w:tc>
              <w:tc>
                <w:tcPr>
                  <w:tcW w:w="548" w:type="pct"/>
                  <w:tcBorders>
                    <w:tl2br w:val="nil"/>
                    <w:tr2bl w:val="nil"/>
                  </w:tcBorders>
                  <w:noWrap w:val="0"/>
                  <w:vAlign w:val="center"/>
                </w:tcPr>
                <w:p w14:paraId="38AE9A3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X</w:t>
                  </w:r>
                </w:p>
              </w:tc>
              <w:tc>
                <w:tcPr>
                  <w:tcW w:w="507" w:type="pct"/>
                  <w:tcBorders>
                    <w:tl2br w:val="nil"/>
                    <w:tr2bl w:val="nil"/>
                  </w:tcBorders>
                  <w:noWrap w:val="0"/>
                  <w:vAlign w:val="center"/>
                </w:tcPr>
                <w:p w14:paraId="14BB0D8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Y</w:t>
                  </w:r>
                </w:p>
              </w:tc>
              <w:tc>
                <w:tcPr>
                  <w:tcW w:w="846" w:type="pct"/>
                  <w:tcBorders>
                    <w:tl2br w:val="nil"/>
                    <w:tr2bl w:val="nil"/>
                  </w:tcBorders>
                  <w:noWrap w:val="0"/>
                  <w:vAlign w:val="center"/>
                </w:tcPr>
                <w:p w14:paraId="5A8F74E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Z</w:t>
                  </w:r>
                </w:p>
              </w:tc>
              <w:tc>
                <w:tcPr>
                  <w:tcW w:w="649" w:type="pct"/>
                  <w:vMerge w:val="continue"/>
                  <w:tcBorders>
                    <w:tl2br w:val="nil"/>
                    <w:tr2bl w:val="nil"/>
                  </w:tcBorders>
                  <w:noWrap w:val="0"/>
                  <w:vAlign w:val="center"/>
                </w:tcPr>
                <w:p w14:paraId="26165EB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val="en-US" w:eastAsia="zh-CN"/>
                    </w:rPr>
                  </w:pPr>
                </w:p>
              </w:tc>
              <w:tc>
                <w:tcPr>
                  <w:tcW w:w="679" w:type="pct"/>
                  <w:vMerge w:val="continue"/>
                  <w:tcBorders>
                    <w:tl2br w:val="nil"/>
                    <w:tr2bl w:val="nil"/>
                  </w:tcBorders>
                  <w:noWrap w:val="0"/>
                  <w:vAlign w:val="center"/>
                </w:tcPr>
                <w:p w14:paraId="40BAE79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rPr>
                  </w:pPr>
                </w:p>
              </w:tc>
              <w:tc>
                <w:tcPr>
                  <w:tcW w:w="708" w:type="pct"/>
                  <w:vMerge w:val="continue"/>
                  <w:tcBorders>
                    <w:tl2br w:val="nil"/>
                    <w:tr2bl w:val="nil"/>
                  </w:tcBorders>
                  <w:noWrap w:val="0"/>
                  <w:vAlign w:val="center"/>
                </w:tcPr>
                <w:p w14:paraId="23B9B08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rPr>
                  </w:pPr>
                </w:p>
              </w:tc>
            </w:tr>
            <w:tr w14:paraId="5BDB36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3" w:type="pct"/>
                  <w:tcBorders>
                    <w:tl2br w:val="nil"/>
                    <w:tr2bl w:val="nil"/>
                  </w:tcBorders>
                  <w:noWrap w:val="0"/>
                  <w:vAlign w:val="center"/>
                </w:tcPr>
                <w:p w14:paraId="3043B8B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657" w:type="pct"/>
                  <w:tcBorders>
                    <w:tl2br w:val="nil"/>
                    <w:tr2bl w:val="nil"/>
                  </w:tcBorders>
                  <w:shd w:val="clear" w:color="auto" w:fill="auto"/>
                  <w:noWrap w:val="0"/>
                  <w:vAlign w:val="center"/>
                </w:tcPr>
                <w:p w14:paraId="6FAE862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4"/>
                      <w:lang w:val="en-US" w:eastAsia="zh-CN" w:bidi="ar-SA"/>
                    </w:rPr>
                    <w:t>风机1</w:t>
                  </w:r>
                </w:p>
              </w:tc>
              <w:tc>
                <w:tcPr>
                  <w:tcW w:w="548" w:type="pct"/>
                  <w:tcBorders>
                    <w:tl2br w:val="nil"/>
                    <w:tr2bl w:val="nil"/>
                  </w:tcBorders>
                  <w:shd w:val="clear" w:color="auto" w:fill="auto"/>
                  <w:noWrap w:val="0"/>
                  <w:vAlign w:val="center"/>
                </w:tcPr>
                <w:p w14:paraId="6E6BB4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4"/>
                      <w:lang w:val="en-US" w:eastAsia="zh-CN" w:bidi="ar-SA"/>
                    </w:rPr>
                  </w:pPr>
                  <w:r>
                    <w:rPr>
                      <w:rFonts w:hint="eastAsia"/>
                      <w:color w:val="auto"/>
                    </w:rPr>
                    <w:t>44.53</w:t>
                  </w:r>
                </w:p>
              </w:tc>
              <w:tc>
                <w:tcPr>
                  <w:tcW w:w="507" w:type="pct"/>
                  <w:tcBorders>
                    <w:tl2br w:val="nil"/>
                    <w:tr2bl w:val="nil"/>
                  </w:tcBorders>
                  <w:shd w:val="clear" w:color="auto" w:fill="auto"/>
                  <w:noWrap w:val="0"/>
                  <w:vAlign w:val="center"/>
                </w:tcPr>
                <w:p w14:paraId="130660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4"/>
                      <w:lang w:val="en-US" w:eastAsia="zh-CN" w:bidi="ar-SA"/>
                    </w:rPr>
                  </w:pPr>
                  <w:r>
                    <w:rPr>
                      <w:rFonts w:hint="eastAsia"/>
                      <w:color w:val="auto"/>
                    </w:rPr>
                    <w:t>0.2</w:t>
                  </w:r>
                </w:p>
              </w:tc>
              <w:tc>
                <w:tcPr>
                  <w:tcW w:w="846" w:type="pct"/>
                  <w:tcBorders>
                    <w:tl2br w:val="nil"/>
                    <w:tr2bl w:val="nil"/>
                  </w:tcBorders>
                  <w:shd w:val="clear" w:color="auto" w:fill="auto"/>
                  <w:noWrap w:val="0"/>
                  <w:vAlign w:val="center"/>
                </w:tcPr>
                <w:p w14:paraId="7479620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4"/>
                      <w:lang w:val="en-US" w:eastAsia="zh-CN" w:bidi="ar-SA"/>
                    </w:rPr>
                  </w:pPr>
                  <w:r>
                    <w:rPr>
                      <w:rFonts w:hint="eastAsia"/>
                      <w:color w:val="auto"/>
                    </w:rPr>
                    <w:t>18</w:t>
                  </w:r>
                </w:p>
              </w:tc>
              <w:tc>
                <w:tcPr>
                  <w:tcW w:w="649" w:type="pct"/>
                  <w:tcBorders>
                    <w:tl2br w:val="nil"/>
                    <w:tr2bl w:val="nil"/>
                  </w:tcBorders>
                  <w:noWrap w:val="0"/>
                  <w:vAlign w:val="center"/>
                </w:tcPr>
                <w:p w14:paraId="578F3DB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80</w:t>
                  </w:r>
                </w:p>
              </w:tc>
              <w:tc>
                <w:tcPr>
                  <w:tcW w:w="679" w:type="pct"/>
                  <w:vMerge w:val="restart"/>
                  <w:tcBorders>
                    <w:tl2br w:val="nil"/>
                    <w:tr2bl w:val="nil"/>
                  </w:tcBorders>
                  <w:noWrap w:val="0"/>
                  <w:vAlign w:val="center"/>
                </w:tcPr>
                <w:p w14:paraId="6626562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color w:val="auto"/>
                      <w:sz w:val="21"/>
                      <w:szCs w:val="21"/>
                      <w:highlight w:val="none"/>
                      <w:lang w:val="en-US" w:eastAsia="zh-CN"/>
                    </w:rPr>
                    <w:t>选用低噪声设备</w:t>
                  </w:r>
                  <w:r>
                    <w:rPr>
                      <w:rFonts w:hint="eastAsia" w:ascii="Times New Roman" w:hAnsi="Times New Roman" w:eastAsia="宋体" w:cs="Times New Roman"/>
                      <w:color w:val="auto"/>
                      <w:sz w:val="21"/>
                      <w:szCs w:val="21"/>
                      <w:highlight w:val="none"/>
                      <w:lang w:val="en-US" w:eastAsia="zh-CN"/>
                    </w:rPr>
                    <w:t>、隔声、减振</w:t>
                  </w:r>
                </w:p>
              </w:tc>
              <w:tc>
                <w:tcPr>
                  <w:tcW w:w="708" w:type="pct"/>
                  <w:vMerge w:val="restart"/>
                  <w:tcBorders>
                    <w:tl2br w:val="nil"/>
                    <w:tr2bl w:val="nil"/>
                  </w:tcBorders>
                  <w:noWrap w:val="0"/>
                  <w:vAlign w:val="center"/>
                </w:tcPr>
                <w:p w14:paraId="135DC5D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i w:val="0"/>
                      <w:iCs w:val="0"/>
                      <w:color w:val="auto"/>
                      <w:kern w:val="0"/>
                      <w:sz w:val="21"/>
                      <w:szCs w:val="21"/>
                      <w:u w:val="none"/>
                      <w:lang w:val="en-US" w:eastAsia="zh-CN" w:bidi="ar"/>
                    </w:rPr>
                    <w:t>昼间</w:t>
                  </w:r>
                </w:p>
              </w:tc>
            </w:tr>
            <w:tr w14:paraId="12654C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3" w:type="pct"/>
                  <w:tcBorders>
                    <w:tl2br w:val="nil"/>
                    <w:tr2bl w:val="nil"/>
                  </w:tcBorders>
                  <w:noWrap w:val="0"/>
                  <w:vAlign w:val="center"/>
                </w:tcPr>
                <w:p w14:paraId="7CF7D51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2</w:t>
                  </w:r>
                </w:p>
              </w:tc>
              <w:tc>
                <w:tcPr>
                  <w:tcW w:w="657" w:type="pct"/>
                  <w:tcBorders>
                    <w:tl2br w:val="nil"/>
                    <w:tr2bl w:val="nil"/>
                  </w:tcBorders>
                  <w:shd w:val="clear" w:color="auto" w:fill="auto"/>
                  <w:noWrap w:val="0"/>
                  <w:vAlign w:val="center"/>
                </w:tcPr>
                <w:p w14:paraId="7659230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4"/>
                      <w:lang w:val="en-US" w:eastAsia="zh-CN" w:bidi="ar-SA"/>
                    </w:rPr>
                    <w:t>风机2</w:t>
                  </w:r>
                </w:p>
              </w:tc>
              <w:tc>
                <w:tcPr>
                  <w:tcW w:w="548" w:type="pct"/>
                  <w:tcBorders>
                    <w:tl2br w:val="nil"/>
                    <w:tr2bl w:val="nil"/>
                  </w:tcBorders>
                  <w:shd w:val="clear" w:color="auto" w:fill="auto"/>
                  <w:noWrap w:val="0"/>
                  <w:vAlign w:val="center"/>
                </w:tcPr>
                <w:p w14:paraId="22CA48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eastAsia" w:ascii="Times New Roman" w:hAnsi="Times New Roman" w:eastAsia="宋体" w:cs="Times New Roman"/>
                      <w:color w:val="auto"/>
                      <w:kern w:val="2"/>
                      <w:sz w:val="21"/>
                      <w:szCs w:val="24"/>
                      <w:lang w:val="en-US" w:eastAsia="zh-CN" w:bidi="ar-SA"/>
                    </w:rPr>
                  </w:pPr>
                  <w:r>
                    <w:rPr>
                      <w:rFonts w:hint="eastAsia"/>
                      <w:color w:val="auto"/>
                    </w:rPr>
                    <w:t>35.78</w:t>
                  </w:r>
                </w:p>
              </w:tc>
              <w:tc>
                <w:tcPr>
                  <w:tcW w:w="507" w:type="pct"/>
                  <w:tcBorders>
                    <w:tl2br w:val="nil"/>
                    <w:tr2bl w:val="nil"/>
                  </w:tcBorders>
                  <w:shd w:val="clear" w:color="auto" w:fill="auto"/>
                  <w:noWrap w:val="0"/>
                  <w:vAlign w:val="center"/>
                </w:tcPr>
                <w:p w14:paraId="5FD11D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eastAsia" w:ascii="Times New Roman" w:hAnsi="Times New Roman" w:eastAsia="宋体" w:cs="Times New Roman"/>
                      <w:color w:val="auto"/>
                      <w:kern w:val="2"/>
                      <w:sz w:val="21"/>
                      <w:szCs w:val="24"/>
                      <w:lang w:val="en-US" w:eastAsia="zh-CN" w:bidi="ar-SA"/>
                    </w:rPr>
                  </w:pPr>
                  <w:r>
                    <w:rPr>
                      <w:rFonts w:hint="eastAsia"/>
                      <w:color w:val="auto"/>
                    </w:rPr>
                    <w:t>17</w:t>
                  </w:r>
                </w:p>
              </w:tc>
              <w:tc>
                <w:tcPr>
                  <w:tcW w:w="846" w:type="pct"/>
                  <w:tcBorders>
                    <w:tl2br w:val="nil"/>
                    <w:tr2bl w:val="nil"/>
                  </w:tcBorders>
                  <w:shd w:val="clear" w:color="auto" w:fill="auto"/>
                  <w:noWrap w:val="0"/>
                  <w:vAlign w:val="center"/>
                </w:tcPr>
                <w:p w14:paraId="79F00BE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4"/>
                      <w:lang w:val="en-US" w:eastAsia="zh-CN" w:bidi="ar-SA"/>
                    </w:rPr>
                  </w:pPr>
                  <w:r>
                    <w:rPr>
                      <w:rFonts w:hint="eastAsia"/>
                      <w:color w:val="auto"/>
                    </w:rPr>
                    <w:t>18</w:t>
                  </w:r>
                </w:p>
              </w:tc>
              <w:tc>
                <w:tcPr>
                  <w:tcW w:w="649" w:type="pct"/>
                  <w:tcBorders>
                    <w:tl2br w:val="nil"/>
                    <w:tr2bl w:val="nil"/>
                  </w:tcBorders>
                  <w:noWrap w:val="0"/>
                  <w:vAlign w:val="center"/>
                </w:tcPr>
                <w:p w14:paraId="1065800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80</w:t>
                  </w:r>
                </w:p>
              </w:tc>
              <w:tc>
                <w:tcPr>
                  <w:tcW w:w="679" w:type="pct"/>
                  <w:vMerge w:val="continue"/>
                  <w:tcBorders>
                    <w:tl2br w:val="nil"/>
                    <w:tr2bl w:val="nil"/>
                  </w:tcBorders>
                  <w:noWrap w:val="0"/>
                  <w:vAlign w:val="center"/>
                </w:tcPr>
                <w:p w14:paraId="11E0BAD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08" w:type="pct"/>
                  <w:vMerge w:val="continue"/>
                  <w:tcBorders>
                    <w:tl2br w:val="nil"/>
                    <w:tr2bl w:val="nil"/>
                  </w:tcBorders>
                  <w:noWrap w:val="0"/>
                  <w:vAlign w:val="center"/>
                </w:tcPr>
                <w:p w14:paraId="1A001BB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eastAsia="宋体" w:cs="Times New Roman"/>
                      <w:i w:val="0"/>
                      <w:iCs w:val="0"/>
                      <w:color w:val="auto"/>
                      <w:kern w:val="0"/>
                      <w:sz w:val="21"/>
                      <w:szCs w:val="21"/>
                      <w:u w:val="none"/>
                      <w:lang w:val="en-US" w:eastAsia="zh-CN" w:bidi="ar"/>
                    </w:rPr>
                  </w:pPr>
                </w:p>
              </w:tc>
            </w:tr>
            <w:tr w14:paraId="2ECC02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3" w:type="pct"/>
                  <w:tcBorders>
                    <w:tl2br w:val="nil"/>
                    <w:tr2bl w:val="nil"/>
                  </w:tcBorders>
                  <w:noWrap w:val="0"/>
                  <w:vAlign w:val="center"/>
                </w:tcPr>
                <w:p w14:paraId="766E018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3</w:t>
                  </w:r>
                </w:p>
              </w:tc>
              <w:tc>
                <w:tcPr>
                  <w:tcW w:w="657" w:type="pct"/>
                  <w:tcBorders>
                    <w:tl2br w:val="nil"/>
                    <w:tr2bl w:val="nil"/>
                  </w:tcBorders>
                  <w:shd w:val="clear" w:color="auto" w:fill="auto"/>
                  <w:noWrap w:val="0"/>
                  <w:vAlign w:val="center"/>
                </w:tcPr>
                <w:p w14:paraId="488EBA0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4"/>
                      <w:lang w:val="en-US" w:eastAsia="zh-CN" w:bidi="ar-SA"/>
                    </w:rPr>
                    <w:t>空调机组</w:t>
                  </w:r>
                </w:p>
              </w:tc>
              <w:tc>
                <w:tcPr>
                  <w:tcW w:w="548" w:type="pct"/>
                  <w:tcBorders>
                    <w:tl2br w:val="nil"/>
                    <w:tr2bl w:val="nil"/>
                  </w:tcBorders>
                  <w:shd w:val="clear" w:color="auto" w:fill="auto"/>
                  <w:noWrap w:val="0"/>
                  <w:vAlign w:val="center"/>
                </w:tcPr>
                <w:p w14:paraId="2C6D848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eastAsia" w:ascii="Times New Roman" w:hAnsi="Times New Roman" w:eastAsia="宋体" w:cs="Times New Roman"/>
                      <w:color w:val="auto"/>
                      <w:kern w:val="2"/>
                      <w:sz w:val="21"/>
                      <w:szCs w:val="24"/>
                      <w:lang w:val="en-US" w:eastAsia="zh-CN" w:bidi="ar-SA"/>
                    </w:rPr>
                  </w:pPr>
                  <w:r>
                    <w:rPr>
                      <w:rFonts w:hint="eastAsia"/>
                      <w:color w:val="auto"/>
                    </w:rPr>
                    <w:t>7.07</w:t>
                  </w:r>
                </w:p>
              </w:tc>
              <w:tc>
                <w:tcPr>
                  <w:tcW w:w="507" w:type="pct"/>
                  <w:tcBorders>
                    <w:tl2br w:val="nil"/>
                    <w:tr2bl w:val="nil"/>
                  </w:tcBorders>
                  <w:shd w:val="clear" w:color="auto" w:fill="auto"/>
                  <w:noWrap w:val="0"/>
                  <w:vAlign w:val="center"/>
                </w:tcPr>
                <w:p w14:paraId="312E58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eastAsia" w:ascii="Times New Roman" w:hAnsi="Times New Roman" w:eastAsia="宋体" w:cs="Times New Roman"/>
                      <w:color w:val="auto"/>
                      <w:kern w:val="2"/>
                      <w:sz w:val="21"/>
                      <w:szCs w:val="24"/>
                      <w:lang w:val="en-US" w:eastAsia="zh-CN" w:bidi="ar-SA"/>
                    </w:rPr>
                  </w:pPr>
                  <w:r>
                    <w:rPr>
                      <w:rFonts w:hint="eastAsia"/>
                      <w:color w:val="auto"/>
                    </w:rPr>
                    <w:t>16.86</w:t>
                  </w:r>
                </w:p>
              </w:tc>
              <w:tc>
                <w:tcPr>
                  <w:tcW w:w="846" w:type="pct"/>
                  <w:tcBorders>
                    <w:tl2br w:val="nil"/>
                    <w:tr2bl w:val="nil"/>
                  </w:tcBorders>
                  <w:shd w:val="clear" w:color="auto" w:fill="auto"/>
                  <w:noWrap w:val="0"/>
                  <w:vAlign w:val="center"/>
                </w:tcPr>
                <w:p w14:paraId="58DCC51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4"/>
                      <w:lang w:val="en-US" w:eastAsia="zh-CN" w:bidi="ar-SA"/>
                    </w:rPr>
                  </w:pPr>
                  <w:r>
                    <w:rPr>
                      <w:rFonts w:hint="eastAsia"/>
                      <w:color w:val="auto"/>
                    </w:rPr>
                    <w:t>3</w:t>
                  </w:r>
                </w:p>
              </w:tc>
              <w:tc>
                <w:tcPr>
                  <w:tcW w:w="649" w:type="pct"/>
                  <w:tcBorders>
                    <w:tl2br w:val="nil"/>
                    <w:tr2bl w:val="nil"/>
                  </w:tcBorders>
                  <w:noWrap w:val="0"/>
                  <w:vAlign w:val="center"/>
                </w:tcPr>
                <w:p w14:paraId="56B7BCF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80</w:t>
                  </w:r>
                </w:p>
              </w:tc>
              <w:tc>
                <w:tcPr>
                  <w:tcW w:w="679" w:type="pct"/>
                  <w:vMerge w:val="continue"/>
                  <w:tcBorders>
                    <w:tl2br w:val="nil"/>
                    <w:tr2bl w:val="nil"/>
                  </w:tcBorders>
                  <w:noWrap w:val="0"/>
                  <w:vAlign w:val="center"/>
                </w:tcPr>
                <w:p w14:paraId="2FD5013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708" w:type="pct"/>
                  <w:vMerge w:val="continue"/>
                  <w:tcBorders>
                    <w:tl2br w:val="nil"/>
                    <w:tr2bl w:val="nil"/>
                  </w:tcBorders>
                  <w:noWrap w:val="0"/>
                  <w:vAlign w:val="center"/>
                </w:tcPr>
                <w:p w14:paraId="664463C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eastAsia="宋体" w:cs="Times New Roman"/>
                      <w:i w:val="0"/>
                      <w:iCs w:val="0"/>
                      <w:color w:val="auto"/>
                      <w:kern w:val="0"/>
                      <w:sz w:val="21"/>
                      <w:szCs w:val="21"/>
                      <w:u w:val="none"/>
                      <w:lang w:val="en-US" w:eastAsia="zh-CN" w:bidi="ar"/>
                    </w:rPr>
                  </w:pPr>
                </w:p>
              </w:tc>
            </w:tr>
          </w:tbl>
          <w:p w14:paraId="0AEC260B">
            <w:pPr>
              <w:adjustRightInd w:val="0"/>
              <w:snapToGrid w:val="0"/>
              <w:spacing w:line="360" w:lineRule="auto"/>
              <w:ind w:firstLine="480" w:firstLineChars="200"/>
              <w:rPr>
                <w:bCs/>
                <w:color w:val="auto"/>
                <w:sz w:val="24"/>
              </w:rPr>
            </w:pPr>
            <w:r>
              <w:rPr>
                <w:rFonts w:hint="eastAsia"/>
                <w:bCs/>
                <w:color w:val="auto"/>
                <w:sz w:val="24"/>
              </w:rPr>
              <w:t>（2）</w:t>
            </w:r>
            <w:r>
              <w:rPr>
                <w:bCs/>
                <w:color w:val="auto"/>
                <w:sz w:val="24"/>
              </w:rPr>
              <w:t>预测结果及达标分析</w:t>
            </w:r>
          </w:p>
          <w:p w14:paraId="1F09FA69">
            <w:pPr>
              <w:adjustRightInd w:val="0"/>
              <w:snapToGrid w:val="0"/>
              <w:spacing w:line="360" w:lineRule="auto"/>
              <w:ind w:firstLine="480" w:firstLineChars="200"/>
              <w:rPr>
                <w:color w:val="auto"/>
                <w:kern w:val="0"/>
                <w:sz w:val="24"/>
                <w:szCs w:val="20"/>
                <w:lang w:val="zh-CN"/>
              </w:rPr>
            </w:pPr>
            <w:r>
              <w:rPr>
                <w:color w:val="auto"/>
                <w:sz w:val="24"/>
              </w:rPr>
              <w:t>预测模式根据《环境影响评价技术导则 声环境》（HJ2.4-20</w:t>
            </w:r>
            <w:r>
              <w:rPr>
                <w:rFonts w:hint="eastAsia"/>
                <w:color w:val="auto"/>
                <w:sz w:val="24"/>
              </w:rPr>
              <w:t>21</w:t>
            </w:r>
            <w:r>
              <w:rPr>
                <w:color w:val="auto"/>
                <w:sz w:val="24"/>
              </w:rPr>
              <w:t>）选取，</w:t>
            </w:r>
            <w:r>
              <w:rPr>
                <w:color w:val="auto"/>
                <w:kern w:val="0"/>
                <w:sz w:val="24"/>
                <w:szCs w:val="20"/>
                <w:lang w:val="zh-CN"/>
              </w:rPr>
              <w:t>根据项目噪声源源强、所在位置，利用噪声预测模式和方法，对厂界四周的噪声值进行预测，噪声影响预测结果见</w:t>
            </w:r>
            <w:r>
              <w:rPr>
                <w:color w:val="auto"/>
                <w:kern w:val="0"/>
                <w:sz w:val="24"/>
                <w:szCs w:val="20"/>
              </w:rPr>
              <w:t>下</w:t>
            </w:r>
            <w:r>
              <w:rPr>
                <w:color w:val="auto"/>
                <w:kern w:val="0"/>
                <w:sz w:val="24"/>
                <w:szCs w:val="20"/>
                <w:lang w:val="zh-CN"/>
              </w:rPr>
              <w:t>表。</w:t>
            </w:r>
          </w:p>
          <w:p w14:paraId="7D7C1F0A">
            <w:pPr>
              <w:pStyle w:val="62"/>
              <w:adjustRightInd/>
              <w:spacing w:line="240" w:lineRule="auto"/>
              <w:ind w:left="0" w:right="0" w:firstLine="0"/>
              <w:jc w:val="center"/>
              <w:rPr>
                <w:b/>
                <w:color w:val="auto"/>
                <w:szCs w:val="24"/>
              </w:rPr>
            </w:pPr>
            <w:r>
              <w:rPr>
                <w:b/>
                <w:color w:val="auto"/>
                <w:szCs w:val="24"/>
              </w:rPr>
              <w:t>表4-</w:t>
            </w:r>
            <w:r>
              <w:rPr>
                <w:rFonts w:hint="eastAsia"/>
                <w:b/>
                <w:color w:val="auto"/>
                <w:szCs w:val="24"/>
                <w:lang w:val="en-US" w:eastAsia="zh-CN"/>
              </w:rPr>
              <w:t>7</w:t>
            </w:r>
            <w:r>
              <w:rPr>
                <w:rFonts w:hint="eastAsia"/>
                <w:b/>
                <w:color w:val="auto"/>
                <w:szCs w:val="24"/>
              </w:rPr>
              <w:t xml:space="preserve">  </w:t>
            </w:r>
            <w:r>
              <w:rPr>
                <w:b/>
                <w:color w:val="auto"/>
                <w:szCs w:val="24"/>
              </w:rPr>
              <w:t xml:space="preserve"> </w:t>
            </w:r>
            <w:r>
              <w:rPr>
                <w:rFonts w:hint="eastAsia"/>
                <w:b/>
                <w:color w:val="auto"/>
                <w:szCs w:val="24"/>
              </w:rPr>
              <w:t>厂界</w:t>
            </w:r>
            <w:r>
              <w:rPr>
                <w:b/>
                <w:color w:val="auto"/>
                <w:szCs w:val="24"/>
              </w:rPr>
              <w:t>噪声预测结果一览表     单位：dB(A)</w:t>
            </w:r>
          </w:p>
          <w:tbl>
            <w:tblPr>
              <w:tblStyle w:val="28"/>
              <w:tblW w:w="493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1949"/>
              <w:gridCol w:w="1891"/>
              <w:gridCol w:w="1812"/>
              <w:gridCol w:w="1231"/>
            </w:tblGrid>
            <w:tr w14:paraId="12B5A8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983" w:type="pct"/>
                  <w:gridSpan w:val="2"/>
                  <w:vMerge w:val="restart"/>
                  <w:vAlign w:val="center"/>
                </w:tcPr>
                <w:p w14:paraId="0222DDC0">
                  <w:pPr>
                    <w:jc w:val="center"/>
                    <w:rPr>
                      <w:color w:val="auto"/>
                      <w:szCs w:val="21"/>
                    </w:rPr>
                  </w:pPr>
                  <w:r>
                    <w:rPr>
                      <w:color w:val="auto"/>
                      <w:szCs w:val="21"/>
                    </w:rPr>
                    <w:t>预测点位置</w:t>
                  </w:r>
                </w:p>
              </w:tc>
              <w:tc>
                <w:tcPr>
                  <w:tcW w:w="1155" w:type="pct"/>
                  <w:vAlign w:val="center"/>
                </w:tcPr>
                <w:p w14:paraId="5F83DB95">
                  <w:pPr>
                    <w:jc w:val="center"/>
                    <w:rPr>
                      <w:color w:val="auto"/>
                      <w:szCs w:val="21"/>
                    </w:rPr>
                  </w:pPr>
                  <w:r>
                    <w:rPr>
                      <w:color w:val="auto"/>
                      <w:szCs w:val="21"/>
                    </w:rPr>
                    <w:t>昼间</w:t>
                  </w:r>
                </w:p>
              </w:tc>
              <w:tc>
                <w:tcPr>
                  <w:tcW w:w="1107" w:type="pct"/>
                  <w:vMerge w:val="restart"/>
                  <w:vAlign w:val="center"/>
                </w:tcPr>
                <w:p w14:paraId="4397FD19">
                  <w:pPr>
                    <w:jc w:val="center"/>
                    <w:rPr>
                      <w:color w:val="auto"/>
                      <w:szCs w:val="21"/>
                    </w:rPr>
                  </w:pPr>
                  <w:r>
                    <w:rPr>
                      <w:rFonts w:hint="eastAsia"/>
                      <w:color w:val="auto"/>
                      <w:szCs w:val="21"/>
                    </w:rPr>
                    <w:t>昼间</w:t>
                  </w:r>
                  <w:r>
                    <w:rPr>
                      <w:color w:val="auto"/>
                      <w:szCs w:val="21"/>
                    </w:rPr>
                    <w:t>标准限值</w:t>
                  </w:r>
                </w:p>
              </w:tc>
              <w:tc>
                <w:tcPr>
                  <w:tcW w:w="752" w:type="pct"/>
                  <w:vMerge w:val="restart"/>
                  <w:vAlign w:val="center"/>
                </w:tcPr>
                <w:p w14:paraId="4D1CFEA8">
                  <w:pPr>
                    <w:jc w:val="center"/>
                    <w:rPr>
                      <w:color w:val="auto"/>
                      <w:szCs w:val="21"/>
                    </w:rPr>
                  </w:pPr>
                  <w:r>
                    <w:rPr>
                      <w:color w:val="auto"/>
                      <w:szCs w:val="21"/>
                    </w:rPr>
                    <w:t>达标情况</w:t>
                  </w:r>
                </w:p>
              </w:tc>
            </w:tr>
            <w:tr w14:paraId="7F2F5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983" w:type="pct"/>
                  <w:gridSpan w:val="2"/>
                  <w:vMerge w:val="continue"/>
                  <w:vAlign w:val="center"/>
                </w:tcPr>
                <w:p w14:paraId="48911ECF">
                  <w:pPr>
                    <w:jc w:val="center"/>
                    <w:rPr>
                      <w:color w:val="auto"/>
                    </w:rPr>
                  </w:pPr>
                </w:p>
              </w:tc>
              <w:tc>
                <w:tcPr>
                  <w:tcW w:w="1155" w:type="pct"/>
                  <w:vAlign w:val="center"/>
                </w:tcPr>
                <w:p w14:paraId="370667D2">
                  <w:pPr>
                    <w:jc w:val="center"/>
                    <w:rPr>
                      <w:color w:val="auto"/>
                      <w:szCs w:val="21"/>
                    </w:rPr>
                  </w:pPr>
                  <w:r>
                    <w:rPr>
                      <w:color w:val="auto"/>
                      <w:szCs w:val="21"/>
                    </w:rPr>
                    <w:t>贡献值</w:t>
                  </w:r>
                </w:p>
              </w:tc>
              <w:tc>
                <w:tcPr>
                  <w:tcW w:w="1107" w:type="pct"/>
                  <w:vMerge w:val="continue"/>
                  <w:vAlign w:val="center"/>
                </w:tcPr>
                <w:p w14:paraId="62018B49">
                  <w:pPr>
                    <w:jc w:val="center"/>
                    <w:rPr>
                      <w:b/>
                      <w:bCs/>
                      <w:color w:val="auto"/>
                      <w:szCs w:val="21"/>
                    </w:rPr>
                  </w:pPr>
                </w:p>
              </w:tc>
              <w:tc>
                <w:tcPr>
                  <w:tcW w:w="752" w:type="pct"/>
                  <w:vMerge w:val="continue"/>
                  <w:vAlign w:val="center"/>
                </w:tcPr>
                <w:p w14:paraId="4B0286D6">
                  <w:pPr>
                    <w:jc w:val="center"/>
                    <w:rPr>
                      <w:b/>
                      <w:bCs/>
                      <w:color w:val="auto"/>
                      <w:szCs w:val="21"/>
                    </w:rPr>
                  </w:pPr>
                </w:p>
              </w:tc>
            </w:tr>
            <w:tr w14:paraId="1902FE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792" w:type="pct"/>
                  <w:vMerge w:val="restart"/>
                  <w:vAlign w:val="center"/>
                </w:tcPr>
                <w:p w14:paraId="42788C16">
                  <w:pPr>
                    <w:jc w:val="center"/>
                    <w:rPr>
                      <w:bCs/>
                      <w:color w:val="auto"/>
                      <w:szCs w:val="21"/>
                    </w:rPr>
                  </w:pPr>
                  <w:r>
                    <w:rPr>
                      <w:bCs/>
                      <w:color w:val="auto"/>
                      <w:szCs w:val="21"/>
                    </w:rPr>
                    <w:t>厂界</w:t>
                  </w:r>
                </w:p>
              </w:tc>
              <w:tc>
                <w:tcPr>
                  <w:tcW w:w="1191" w:type="pct"/>
                  <w:vAlign w:val="center"/>
                </w:tcPr>
                <w:p w14:paraId="4A61F8BB">
                  <w:pPr>
                    <w:pStyle w:val="8"/>
                    <w:jc w:val="center"/>
                    <w:rPr>
                      <w:bCs/>
                      <w:color w:val="auto"/>
                      <w:sz w:val="21"/>
                      <w:szCs w:val="21"/>
                    </w:rPr>
                  </w:pPr>
                  <w:r>
                    <w:rPr>
                      <w:rFonts w:hint="eastAsia"/>
                      <w:color w:val="auto"/>
                      <w:sz w:val="21"/>
                      <w:szCs w:val="21"/>
                    </w:rPr>
                    <w:t>厂界东侧</w:t>
                  </w:r>
                </w:p>
              </w:tc>
              <w:tc>
                <w:tcPr>
                  <w:tcW w:w="1155" w:type="pct"/>
                  <w:vAlign w:val="center"/>
                </w:tcPr>
                <w:p w14:paraId="276BAE22">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48.92</w:t>
                  </w:r>
                </w:p>
              </w:tc>
              <w:tc>
                <w:tcPr>
                  <w:tcW w:w="1107" w:type="pct"/>
                  <w:vAlign w:val="center"/>
                </w:tcPr>
                <w:p w14:paraId="16700C41">
                  <w:pPr>
                    <w:jc w:val="center"/>
                    <w:rPr>
                      <w:rFonts w:hint="default" w:eastAsia="宋体"/>
                      <w:bCs/>
                      <w:color w:val="auto"/>
                      <w:szCs w:val="21"/>
                      <w:lang w:val="en-US" w:eastAsia="zh-CN"/>
                    </w:rPr>
                  </w:pPr>
                  <w:r>
                    <w:rPr>
                      <w:rFonts w:hint="eastAsia"/>
                      <w:bCs/>
                      <w:color w:val="auto"/>
                      <w:szCs w:val="21"/>
                      <w:lang w:val="en-US" w:eastAsia="zh-CN"/>
                    </w:rPr>
                    <w:t>60</w:t>
                  </w:r>
                </w:p>
              </w:tc>
              <w:tc>
                <w:tcPr>
                  <w:tcW w:w="752" w:type="pct"/>
                  <w:vMerge w:val="restart"/>
                  <w:vAlign w:val="center"/>
                </w:tcPr>
                <w:p w14:paraId="0FDDD344">
                  <w:pPr>
                    <w:jc w:val="center"/>
                    <w:rPr>
                      <w:bCs/>
                      <w:color w:val="auto"/>
                      <w:szCs w:val="21"/>
                    </w:rPr>
                  </w:pPr>
                  <w:r>
                    <w:rPr>
                      <w:bCs/>
                      <w:color w:val="auto"/>
                      <w:szCs w:val="21"/>
                    </w:rPr>
                    <w:t>达标</w:t>
                  </w:r>
                </w:p>
              </w:tc>
            </w:tr>
            <w:tr w14:paraId="21986F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792" w:type="pct"/>
                  <w:vMerge w:val="continue"/>
                  <w:vAlign w:val="center"/>
                </w:tcPr>
                <w:p w14:paraId="4ECE2676">
                  <w:pPr>
                    <w:jc w:val="center"/>
                    <w:rPr>
                      <w:bCs/>
                      <w:color w:val="auto"/>
                      <w:szCs w:val="21"/>
                    </w:rPr>
                  </w:pPr>
                </w:p>
              </w:tc>
              <w:tc>
                <w:tcPr>
                  <w:tcW w:w="1191" w:type="pct"/>
                  <w:vAlign w:val="center"/>
                </w:tcPr>
                <w:p w14:paraId="5CA7BD4A">
                  <w:pPr>
                    <w:jc w:val="center"/>
                    <w:rPr>
                      <w:bCs/>
                      <w:color w:val="auto"/>
                      <w:szCs w:val="21"/>
                    </w:rPr>
                  </w:pPr>
                  <w:r>
                    <w:rPr>
                      <w:color w:val="auto"/>
                      <w:szCs w:val="21"/>
                    </w:rPr>
                    <w:t>厂界</w:t>
                  </w:r>
                  <w:r>
                    <w:rPr>
                      <w:rFonts w:hint="eastAsia"/>
                      <w:color w:val="auto"/>
                      <w:szCs w:val="21"/>
                    </w:rPr>
                    <w:t>南</w:t>
                  </w:r>
                  <w:r>
                    <w:rPr>
                      <w:color w:val="auto"/>
                      <w:szCs w:val="21"/>
                    </w:rPr>
                    <w:t>侧</w:t>
                  </w:r>
                </w:p>
              </w:tc>
              <w:tc>
                <w:tcPr>
                  <w:tcW w:w="1155" w:type="pct"/>
                  <w:vAlign w:val="center"/>
                </w:tcPr>
                <w:p w14:paraId="76E5EDF3">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48.89</w:t>
                  </w:r>
                </w:p>
              </w:tc>
              <w:tc>
                <w:tcPr>
                  <w:tcW w:w="1107" w:type="pct"/>
                  <w:vAlign w:val="center"/>
                </w:tcPr>
                <w:p w14:paraId="3C226CB4">
                  <w:pPr>
                    <w:jc w:val="center"/>
                    <w:rPr>
                      <w:bCs/>
                      <w:color w:val="auto"/>
                      <w:szCs w:val="21"/>
                    </w:rPr>
                  </w:pPr>
                  <w:r>
                    <w:rPr>
                      <w:rFonts w:hint="eastAsia"/>
                      <w:bCs/>
                      <w:color w:val="auto"/>
                      <w:szCs w:val="21"/>
                    </w:rPr>
                    <w:t>60</w:t>
                  </w:r>
                </w:p>
              </w:tc>
              <w:tc>
                <w:tcPr>
                  <w:tcW w:w="752" w:type="pct"/>
                  <w:vMerge w:val="continue"/>
                  <w:vAlign w:val="center"/>
                </w:tcPr>
                <w:p w14:paraId="5F9C4E5F">
                  <w:pPr>
                    <w:jc w:val="center"/>
                    <w:rPr>
                      <w:bCs/>
                      <w:color w:val="auto"/>
                      <w:szCs w:val="21"/>
                    </w:rPr>
                  </w:pPr>
                </w:p>
              </w:tc>
            </w:tr>
            <w:tr w14:paraId="6D9FF3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792" w:type="pct"/>
                  <w:vMerge w:val="continue"/>
                  <w:vAlign w:val="center"/>
                </w:tcPr>
                <w:p w14:paraId="0219A2BC">
                  <w:pPr>
                    <w:jc w:val="center"/>
                    <w:rPr>
                      <w:bCs/>
                      <w:color w:val="auto"/>
                      <w:szCs w:val="21"/>
                    </w:rPr>
                  </w:pPr>
                </w:p>
              </w:tc>
              <w:tc>
                <w:tcPr>
                  <w:tcW w:w="1191" w:type="pct"/>
                  <w:vAlign w:val="center"/>
                </w:tcPr>
                <w:p w14:paraId="4AD5A373">
                  <w:pPr>
                    <w:jc w:val="center"/>
                    <w:rPr>
                      <w:bCs/>
                      <w:color w:val="auto"/>
                      <w:szCs w:val="21"/>
                    </w:rPr>
                  </w:pPr>
                  <w:r>
                    <w:rPr>
                      <w:rFonts w:hint="eastAsia"/>
                      <w:color w:val="auto"/>
                      <w:szCs w:val="21"/>
                    </w:rPr>
                    <w:t>厂界西侧</w:t>
                  </w:r>
                </w:p>
              </w:tc>
              <w:tc>
                <w:tcPr>
                  <w:tcW w:w="1155" w:type="pct"/>
                  <w:vAlign w:val="center"/>
                </w:tcPr>
                <w:p w14:paraId="6F46ED81">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46.38</w:t>
                  </w:r>
                </w:p>
              </w:tc>
              <w:tc>
                <w:tcPr>
                  <w:tcW w:w="1107" w:type="pct"/>
                  <w:vAlign w:val="center"/>
                </w:tcPr>
                <w:p w14:paraId="56A1A297">
                  <w:pPr>
                    <w:jc w:val="center"/>
                    <w:rPr>
                      <w:bCs/>
                      <w:color w:val="auto"/>
                      <w:szCs w:val="21"/>
                    </w:rPr>
                  </w:pPr>
                  <w:r>
                    <w:rPr>
                      <w:rFonts w:hint="eastAsia"/>
                      <w:bCs/>
                      <w:color w:val="auto"/>
                      <w:szCs w:val="21"/>
                    </w:rPr>
                    <w:t>60</w:t>
                  </w:r>
                </w:p>
              </w:tc>
              <w:tc>
                <w:tcPr>
                  <w:tcW w:w="752" w:type="pct"/>
                  <w:vMerge w:val="continue"/>
                  <w:vAlign w:val="center"/>
                </w:tcPr>
                <w:p w14:paraId="50B2D2B6">
                  <w:pPr>
                    <w:jc w:val="center"/>
                    <w:rPr>
                      <w:bCs/>
                      <w:color w:val="auto"/>
                      <w:szCs w:val="21"/>
                    </w:rPr>
                  </w:pPr>
                </w:p>
              </w:tc>
            </w:tr>
            <w:tr w14:paraId="5D8727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792" w:type="pct"/>
                  <w:vMerge w:val="continue"/>
                  <w:vAlign w:val="center"/>
                </w:tcPr>
                <w:p w14:paraId="41CAAD62">
                  <w:pPr>
                    <w:jc w:val="center"/>
                    <w:rPr>
                      <w:bCs/>
                      <w:color w:val="auto"/>
                      <w:szCs w:val="21"/>
                    </w:rPr>
                  </w:pPr>
                </w:p>
              </w:tc>
              <w:tc>
                <w:tcPr>
                  <w:tcW w:w="1191" w:type="pct"/>
                  <w:vAlign w:val="center"/>
                </w:tcPr>
                <w:p w14:paraId="2C930A21">
                  <w:pPr>
                    <w:jc w:val="center"/>
                    <w:rPr>
                      <w:bCs/>
                      <w:color w:val="auto"/>
                      <w:szCs w:val="21"/>
                    </w:rPr>
                  </w:pPr>
                  <w:r>
                    <w:rPr>
                      <w:rFonts w:hint="eastAsia"/>
                      <w:color w:val="auto"/>
                      <w:szCs w:val="21"/>
                    </w:rPr>
                    <w:t>厂界北侧</w:t>
                  </w:r>
                </w:p>
              </w:tc>
              <w:tc>
                <w:tcPr>
                  <w:tcW w:w="1155" w:type="pct"/>
                  <w:vAlign w:val="center"/>
                </w:tcPr>
                <w:p w14:paraId="534CA77F">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51.23</w:t>
                  </w:r>
                </w:p>
              </w:tc>
              <w:tc>
                <w:tcPr>
                  <w:tcW w:w="1107" w:type="pct"/>
                  <w:vAlign w:val="center"/>
                </w:tcPr>
                <w:p w14:paraId="2FF99678">
                  <w:pPr>
                    <w:jc w:val="center"/>
                    <w:rPr>
                      <w:bCs/>
                      <w:color w:val="auto"/>
                      <w:szCs w:val="21"/>
                    </w:rPr>
                  </w:pPr>
                  <w:r>
                    <w:rPr>
                      <w:rFonts w:hint="eastAsia"/>
                      <w:bCs/>
                      <w:color w:val="auto"/>
                      <w:szCs w:val="21"/>
                    </w:rPr>
                    <w:t>60</w:t>
                  </w:r>
                </w:p>
              </w:tc>
              <w:tc>
                <w:tcPr>
                  <w:tcW w:w="752" w:type="pct"/>
                  <w:vMerge w:val="continue"/>
                  <w:vAlign w:val="center"/>
                </w:tcPr>
                <w:p w14:paraId="65A9FA51">
                  <w:pPr>
                    <w:jc w:val="center"/>
                    <w:rPr>
                      <w:bCs/>
                      <w:color w:val="auto"/>
                      <w:szCs w:val="21"/>
                    </w:rPr>
                  </w:pPr>
                </w:p>
              </w:tc>
            </w:tr>
          </w:tbl>
          <w:p w14:paraId="74CCE35E">
            <w:pPr>
              <w:autoSpaceDE w:val="0"/>
              <w:autoSpaceDN w:val="0"/>
              <w:adjustRightInd w:val="0"/>
              <w:spacing w:line="360" w:lineRule="auto"/>
              <w:ind w:firstLine="480" w:firstLineChars="200"/>
              <w:rPr>
                <w:color w:val="auto"/>
                <w:sz w:val="24"/>
              </w:rPr>
            </w:pPr>
            <w:r>
              <w:rPr>
                <w:rFonts w:hint="eastAsia"/>
                <w:color w:val="auto"/>
                <w:sz w:val="24"/>
              </w:rPr>
              <w:t>根据预测结果可知，项目运营期间，项目厂界</w:t>
            </w:r>
            <w:r>
              <w:rPr>
                <w:rFonts w:hint="eastAsia"/>
                <w:color w:val="auto"/>
                <w:sz w:val="24"/>
                <w:lang w:val="en-US" w:eastAsia="zh-CN"/>
              </w:rPr>
              <w:t>四周</w:t>
            </w:r>
            <w:r>
              <w:rPr>
                <w:rFonts w:hint="eastAsia"/>
                <w:color w:val="auto"/>
                <w:sz w:val="24"/>
              </w:rPr>
              <w:t>噪声预测值达到《工业企业厂界环境噪声排放标准》（GB12348-2008）2类标准要求。为了进一步降低噪声污染，建设单位拟采取以下防治措施：</w:t>
            </w:r>
          </w:p>
          <w:p w14:paraId="403B36AA">
            <w:pPr>
              <w:autoSpaceDE w:val="0"/>
              <w:autoSpaceDN w:val="0"/>
              <w:adjustRightInd w:val="0"/>
              <w:spacing w:line="360" w:lineRule="auto"/>
              <w:ind w:firstLine="480" w:firstLineChars="200"/>
              <w:rPr>
                <w:color w:val="auto"/>
                <w:sz w:val="24"/>
              </w:rPr>
            </w:pPr>
            <w:r>
              <w:rPr>
                <w:rFonts w:hint="eastAsia"/>
                <w:color w:val="auto"/>
                <w:sz w:val="24"/>
              </w:rPr>
              <w:t>①在满足</w:t>
            </w:r>
            <w:r>
              <w:rPr>
                <w:rFonts w:hint="eastAsia"/>
                <w:color w:val="auto"/>
                <w:sz w:val="24"/>
                <w:lang w:val="en-US" w:eastAsia="zh-CN"/>
              </w:rPr>
              <w:t>试验</w:t>
            </w:r>
            <w:r>
              <w:rPr>
                <w:rFonts w:hint="eastAsia"/>
                <w:color w:val="auto"/>
                <w:sz w:val="24"/>
              </w:rPr>
              <w:t>需要的前提下，选用低噪声的设备和机械。</w:t>
            </w:r>
          </w:p>
          <w:p w14:paraId="79F64E23">
            <w:pPr>
              <w:autoSpaceDE w:val="0"/>
              <w:autoSpaceDN w:val="0"/>
              <w:adjustRightInd w:val="0"/>
              <w:spacing w:line="360" w:lineRule="auto"/>
              <w:ind w:firstLine="480" w:firstLineChars="200"/>
              <w:rPr>
                <w:rFonts w:hint="eastAsia"/>
                <w:color w:val="auto"/>
                <w:sz w:val="24"/>
              </w:rPr>
            </w:pPr>
            <w:r>
              <w:rPr>
                <w:rFonts w:hint="eastAsia"/>
                <w:color w:val="auto"/>
                <w:sz w:val="24"/>
              </w:rPr>
              <w:t>②</w:t>
            </w:r>
            <w:r>
              <w:rPr>
                <w:rFonts w:hint="eastAsia"/>
                <w:color w:val="auto"/>
                <w:sz w:val="24"/>
                <w:lang w:val="en-US" w:eastAsia="zh-CN"/>
              </w:rPr>
              <w:t>试验</w:t>
            </w:r>
            <w:r>
              <w:rPr>
                <w:rFonts w:hint="eastAsia"/>
                <w:color w:val="auto"/>
                <w:sz w:val="24"/>
              </w:rPr>
              <w:t>设备安装减振垫，按时检查、维修，防止</w:t>
            </w:r>
            <w:r>
              <w:rPr>
                <w:rFonts w:hint="eastAsia"/>
                <w:color w:val="auto"/>
                <w:sz w:val="24"/>
                <w:lang w:val="en-US" w:eastAsia="zh-CN"/>
              </w:rPr>
              <w:t>试验</w:t>
            </w:r>
            <w:r>
              <w:rPr>
                <w:rFonts w:hint="eastAsia"/>
                <w:color w:val="auto"/>
                <w:sz w:val="24"/>
              </w:rPr>
              <w:t>设备带病运行造成机械噪声值增加。</w:t>
            </w:r>
          </w:p>
          <w:p w14:paraId="26594DD3">
            <w:pPr>
              <w:autoSpaceDE w:val="0"/>
              <w:autoSpaceDN w:val="0"/>
              <w:adjustRightInd w:val="0"/>
              <w:spacing w:line="360" w:lineRule="auto"/>
              <w:ind w:firstLine="480" w:firstLineChars="200"/>
              <w:rPr>
                <w:color w:val="auto"/>
                <w:sz w:val="24"/>
              </w:rPr>
            </w:pPr>
            <w:r>
              <w:rPr>
                <w:rFonts w:hint="eastAsia"/>
                <w:color w:val="auto"/>
                <w:sz w:val="24"/>
              </w:rPr>
              <w:t>③所有生产设备合理布置，设备均置于</w:t>
            </w:r>
            <w:r>
              <w:rPr>
                <w:rFonts w:hint="eastAsia"/>
                <w:color w:val="auto"/>
                <w:sz w:val="24"/>
                <w:lang w:val="en-US" w:eastAsia="zh-CN"/>
              </w:rPr>
              <w:t>室</w:t>
            </w:r>
            <w:r>
              <w:rPr>
                <w:rFonts w:hint="eastAsia"/>
                <w:color w:val="auto"/>
                <w:sz w:val="24"/>
              </w:rPr>
              <w:t>内，采取隔声、减振措施。在采取上述降噪措施后，项目噪声对周围环境产生的影响较小。</w:t>
            </w:r>
          </w:p>
          <w:p w14:paraId="16E83CE9">
            <w:pPr>
              <w:adjustRightInd w:val="0"/>
              <w:snapToGrid w:val="0"/>
              <w:spacing w:line="360" w:lineRule="auto"/>
              <w:ind w:firstLine="480" w:firstLineChars="200"/>
              <w:rPr>
                <w:bCs/>
                <w:color w:val="auto"/>
                <w:sz w:val="24"/>
              </w:rPr>
            </w:pPr>
            <w:r>
              <w:rPr>
                <w:rFonts w:hint="eastAsia"/>
                <w:bCs/>
                <w:color w:val="auto"/>
                <w:sz w:val="24"/>
              </w:rPr>
              <w:t>（3）</w:t>
            </w:r>
            <w:r>
              <w:rPr>
                <w:bCs/>
                <w:color w:val="auto"/>
                <w:sz w:val="24"/>
              </w:rPr>
              <w:t>噪声监测要求</w:t>
            </w:r>
          </w:p>
          <w:p w14:paraId="1B97C63D">
            <w:pPr>
              <w:spacing w:line="360" w:lineRule="auto"/>
              <w:ind w:firstLine="495"/>
              <w:rPr>
                <w:color w:val="auto"/>
                <w:sz w:val="24"/>
              </w:rPr>
            </w:pPr>
            <w:r>
              <w:rPr>
                <w:color w:val="auto"/>
                <w:sz w:val="24"/>
              </w:rPr>
              <w:t>本项目运营期噪声监测计划见下表。</w:t>
            </w:r>
          </w:p>
          <w:p w14:paraId="7DAE928A">
            <w:pPr>
              <w:ind w:firstLine="482" w:firstLineChars="200"/>
              <w:jc w:val="center"/>
              <w:rPr>
                <w:b/>
                <w:color w:val="auto"/>
                <w:sz w:val="24"/>
              </w:rPr>
            </w:pPr>
            <w:r>
              <w:rPr>
                <w:b/>
                <w:color w:val="auto"/>
                <w:sz w:val="24"/>
              </w:rPr>
              <w:t>表4</w:t>
            </w:r>
            <w:r>
              <w:rPr>
                <w:rFonts w:hint="eastAsia"/>
                <w:b/>
                <w:color w:val="auto"/>
                <w:sz w:val="24"/>
              </w:rPr>
              <w:t>-</w:t>
            </w:r>
            <w:r>
              <w:rPr>
                <w:rFonts w:hint="eastAsia"/>
                <w:b/>
                <w:color w:val="auto"/>
                <w:sz w:val="24"/>
                <w:lang w:val="en-US" w:eastAsia="zh-CN"/>
              </w:rPr>
              <w:t>8</w:t>
            </w:r>
            <w:r>
              <w:rPr>
                <w:b/>
                <w:color w:val="auto"/>
                <w:sz w:val="24"/>
              </w:rPr>
              <w:t xml:space="preserve">  项目环境监测计划</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1721"/>
              <w:gridCol w:w="2894"/>
              <w:gridCol w:w="2223"/>
              <w:gridCol w:w="1439"/>
            </w:tblGrid>
            <w:tr w14:paraId="6AE4C8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40" w:hRule="atLeast"/>
                <w:jc w:val="center"/>
              </w:trPr>
              <w:tc>
                <w:tcPr>
                  <w:tcW w:w="1039" w:type="pct"/>
                  <w:vAlign w:val="center"/>
                </w:tcPr>
                <w:p w14:paraId="2B51623F">
                  <w:pPr>
                    <w:pStyle w:val="10"/>
                    <w:tabs>
                      <w:tab w:val="left" w:pos="451"/>
                      <w:tab w:val="center" w:pos="1013"/>
                    </w:tabs>
                    <w:adjustRightInd w:val="0"/>
                    <w:snapToGrid w:val="0"/>
                    <w:spacing w:after="0"/>
                    <w:ind w:left="0" w:leftChars="0"/>
                    <w:jc w:val="center"/>
                    <w:rPr>
                      <w:bCs/>
                      <w:color w:val="auto"/>
                      <w:sz w:val="21"/>
                      <w:szCs w:val="21"/>
                    </w:rPr>
                  </w:pPr>
                  <w:r>
                    <w:rPr>
                      <w:bCs/>
                      <w:color w:val="auto"/>
                      <w:sz w:val="21"/>
                      <w:szCs w:val="21"/>
                    </w:rPr>
                    <w:t>监测项目</w:t>
                  </w:r>
                </w:p>
              </w:tc>
              <w:tc>
                <w:tcPr>
                  <w:tcW w:w="1747" w:type="pct"/>
                  <w:vAlign w:val="center"/>
                </w:tcPr>
                <w:p w14:paraId="77F2E2DA">
                  <w:pPr>
                    <w:pStyle w:val="10"/>
                    <w:adjustRightInd w:val="0"/>
                    <w:snapToGrid w:val="0"/>
                    <w:spacing w:after="0"/>
                    <w:ind w:left="0" w:leftChars="0"/>
                    <w:jc w:val="center"/>
                    <w:rPr>
                      <w:bCs/>
                      <w:color w:val="auto"/>
                      <w:sz w:val="21"/>
                      <w:szCs w:val="21"/>
                    </w:rPr>
                  </w:pPr>
                  <w:r>
                    <w:rPr>
                      <w:bCs/>
                      <w:color w:val="auto"/>
                      <w:sz w:val="21"/>
                      <w:szCs w:val="21"/>
                    </w:rPr>
                    <w:t>监测点位</w:t>
                  </w:r>
                </w:p>
              </w:tc>
              <w:tc>
                <w:tcPr>
                  <w:tcW w:w="1342" w:type="pct"/>
                  <w:vAlign w:val="center"/>
                </w:tcPr>
                <w:p w14:paraId="3CD56152">
                  <w:pPr>
                    <w:pStyle w:val="10"/>
                    <w:adjustRightInd w:val="0"/>
                    <w:snapToGrid w:val="0"/>
                    <w:spacing w:after="0"/>
                    <w:ind w:left="0" w:leftChars="0"/>
                    <w:jc w:val="center"/>
                    <w:rPr>
                      <w:bCs/>
                      <w:color w:val="auto"/>
                      <w:sz w:val="21"/>
                      <w:szCs w:val="21"/>
                    </w:rPr>
                  </w:pPr>
                  <w:r>
                    <w:rPr>
                      <w:bCs/>
                      <w:color w:val="auto"/>
                      <w:sz w:val="21"/>
                      <w:szCs w:val="21"/>
                    </w:rPr>
                    <w:t>监测因子</w:t>
                  </w:r>
                </w:p>
              </w:tc>
              <w:tc>
                <w:tcPr>
                  <w:tcW w:w="869" w:type="pct"/>
                  <w:vAlign w:val="center"/>
                </w:tcPr>
                <w:p w14:paraId="6A6465C7">
                  <w:pPr>
                    <w:pStyle w:val="10"/>
                    <w:adjustRightInd w:val="0"/>
                    <w:snapToGrid w:val="0"/>
                    <w:spacing w:after="0"/>
                    <w:ind w:left="0" w:leftChars="0"/>
                    <w:jc w:val="center"/>
                    <w:rPr>
                      <w:bCs/>
                      <w:color w:val="auto"/>
                      <w:sz w:val="21"/>
                      <w:szCs w:val="21"/>
                    </w:rPr>
                  </w:pPr>
                  <w:r>
                    <w:rPr>
                      <w:bCs/>
                      <w:color w:val="auto"/>
                      <w:sz w:val="21"/>
                      <w:szCs w:val="21"/>
                    </w:rPr>
                    <w:t>监测频率</w:t>
                  </w:r>
                </w:p>
              </w:tc>
            </w:tr>
            <w:tr w14:paraId="37C9AD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40" w:hRule="atLeast"/>
                <w:jc w:val="center"/>
              </w:trPr>
              <w:tc>
                <w:tcPr>
                  <w:tcW w:w="1039" w:type="pct"/>
                  <w:vAlign w:val="center"/>
                </w:tcPr>
                <w:p w14:paraId="3680CFAE">
                  <w:pPr>
                    <w:pStyle w:val="10"/>
                    <w:adjustRightInd w:val="0"/>
                    <w:snapToGrid w:val="0"/>
                    <w:spacing w:after="0"/>
                    <w:ind w:left="0" w:leftChars="0"/>
                    <w:jc w:val="center"/>
                    <w:rPr>
                      <w:color w:val="auto"/>
                      <w:sz w:val="21"/>
                      <w:szCs w:val="21"/>
                    </w:rPr>
                  </w:pPr>
                  <w:r>
                    <w:rPr>
                      <w:color w:val="auto"/>
                      <w:sz w:val="21"/>
                      <w:szCs w:val="21"/>
                    </w:rPr>
                    <w:t>噪声</w:t>
                  </w:r>
                </w:p>
              </w:tc>
              <w:tc>
                <w:tcPr>
                  <w:tcW w:w="1747" w:type="pct"/>
                  <w:vAlign w:val="center"/>
                </w:tcPr>
                <w:p w14:paraId="6DDBC6D4">
                  <w:pPr>
                    <w:pStyle w:val="10"/>
                    <w:adjustRightInd w:val="0"/>
                    <w:snapToGrid w:val="0"/>
                    <w:spacing w:after="0"/>
                    <w:ind w:left="0" w:leftChars="0"/>
                    <w:jc w:val="center"/>
                    <w:rPr>
                      <w:rFonts w:hint="default" w:eastAsia="宋体"/>
                      <w:color w:val="auto"/>
                      <w:sz w:val="21"/>
                      <w:szCs w:val="21"/>
                      <w:lang w:val="en-US" w:eastAsia="zh-CN"/>
                    </w:rPr>
                  </w:pPr>
                  <w:r>
                    <w:rPr>
                      <w:color w:val="auto"/>
                      <w:sz w:val="21"/>
                      <w:szCs w:val="21"/>
                    </w:rPr>
                    <w:t>厂界</w:t>
                  </w:r>
                  <w:r>
                    <w:rPr>
                      <w:rFonts w:hint="eastAsia"/>
                      <w:color w:val="auto"/>
                      <w:sz w:val="21"/>
                      <w:szCs w:val="21"/>
                      <w:lang w:val="en-US" w:eastAsia="zh-CN"/>
                    </w:rPr>
                    <w:t>南、西、北三侧</w:t>
                  </w:r>
                </w:p>
              </w:tc>
              <w:tc>
                <w:tcPr>
                  <w:tcW w:w="1342" w:type="pct"/>
                  <w:vAlign w:val="center"/>
                </w:tcPr>
                <w:p w14:paraId="5A36EB2D">
                  <w:pPr>
                    <w:pStyle w:val="10"/>
                    <w:adjustRightInd w:val="0"/>
                    <w:snapToGrid w:val="0"/>
                    <w:spacing w:after="0"/>
                    <w:ind w:left="0" w:leftChars="0"/>
                    <w:jc w:val="center"/>
                    <w:rPr>
                      <w:color w:val="auto"/>
                      <w:sz w:val="21"/>
                      <w:szCs w:val="21"/>
                    </w:rPr>
                  </w:pPr>
                  <w:r>
                    <w:rPr>
                      <w:color w:val="auto"/>
                      <w:sz w:val="21"/>
                      <w:szCs w:val="21"/>
                    </w:rPr>
                    <w:t>等效A声级dB（A）</w:t>
                  </w:r>
                </w:p>
              </w:tc>
              <w:tc>
                <w:tcPr>
                  <w:tcW w:w="869" w:type="pct"/>
                  <w:vAlign w:val="center"/>
                </w:tcPr>
                <w:p w14:paraId="500842CE">
                  <w:pPr>
                    <w:pStyle w:val="10"/>
                    <w:adjustRightInd w:val="0"/>
                    <w:snapToGrid w:val="0"/>
                    <w:spacing w:after="0"/>
                    <w:ind w:left="0" w:leftChars="0"/>
                    <w:jc w:val="center"/>
                    <w:rPr>
                      <w:color w:val="auto"/>
                      <w:sz w:val="21"/>
                      <w:szCs w:val="21"/>
                    </w:rPr>
                  </w:pPr>
                  <w:r>
                    <w:rPr>
                      <w:color w:val="auto"/>
                      <w:sz w:val="21"/>
                      <w:szCs w:val="21"/>
                    </w:rPr>
                    <w:t>1次/</w:t>
                  </w:r>
                  <w:r>
                    <w:rPr>
                      <w:rFonts w:hint="eastAsia"/>
                      <w:color w:val="auto"/>
                      <w:sz w:val="21"/>
                      <w:szCs w:val="21"/>
                    </w:rPr>
                    <w:t>季度</w:t>
                  </w:r>
                </w:p>
              </w:tc>
            </w:tr>
          </w:tbl>
          <w:p w14:paraId="17D42402">
            <w:pPr>
              <w:adjustRightInd w:val="0"/>
              <w:snapToGrid w:val="0"/>
              <w:spacing w:before="120" w:beforeLines="50" w:line="360" w:lineRule="auto"/>
              <w:ind w:firstLine="482" w:firstLineChars="200"/>
              <w:rPr>
                <w:rFonts w:hint="eastAsia"/>
                <w:b/>
                <w:bCs/>
                <w:color w:val="auto"/>
                <w:sz w:val="24"/>
              </w:rPr>
            </w:pPr>
            <w:r>
              <w:rPr>
                <w:rFonts w:hint="eastAsia"/>
                <w:b/>
                <w:bCs/>
                <w:color w:val="auto"/>
                <w:sz w:val="24"/>
              </w:rPr>
              <w:t>4、环境振动</w:t>
            </w:r>
          </w:p>
          <w:p w14:paraId="7472805D">
            <w:pPr>
              <w:adjustRightInd w:val="0"/>
              <w:snapToGrid w:val="0"/>
              <w:spacing w:line="360" w:lineRule="auto"/>
              <w:ind w:firstLine="480" w:firstLineChars="200"/>
              <w:rPr>
                <w:rFonts w:hint="eastAsia"/>
                <w:bCs/>
                <w:color w:val="auto"/>
                <w:sz w:val="24"/>
              </w:rPr>
            </w:pPr>
            <w:r>
              <w:rPr>
                <w:rFonts w:hint="eastAsia"/>
                <w:bCs/>
                <w:color w:val="auto"/>
                <w:sz w:val="24"/>
              </w:rPr>
              <w:t>本项目涉及环境振动的设备主要有试验振动台、</w:t>
            </w:r>
            <w:r>
              <w:rPr>
                <w:rFonts w:hint="eastAsia"/>
                <w:bCs/>
                <w:color w:val="auto"/>
                <w:sz w:val="24"/>
                <w:lang w:val="en-US" w:eastAsia="zh-CN"/>
              </w:rPr>
              <w:t>表面震动压实试验仪</w:t>
            </w:r>
            <w:r>
              <w:rPr>
                <w:rFonts w:hint="eastAsia"/>
                <w:bCs/>
                <w:color w:val="auto"/>
                <w:sz w:val="24"/>
              </w:rPr>
              <w:t>、水泥胶砂振实台、</w:t>
            </w:r>
            <w:r>
              <w:rPr>
                <w:rFonts w:hint="eastAsia"/>
                <w:bCs/>
                <w:color w:val="auto"/>
                <w:sz w:val="24"/>
                <w:lang w:val="en-US" w:eastAsia="zh-CN"/>
              </w:rPr>
              <w:t>多功能</w:t>
            </w:r>
            <w:r>
              <w:rPr>
                <w:rFonts w:hint="eastAsia"/>
                <w:bCs/>
                <w:color w:val="auto"/>
                <w:sz w:val="24"/>
              </w:rPr>
              <w:t>电动击实仪、</w:t>
            </w:r>
            <w:r>
              <w:rPr>
                <w:rFonts w:hint="eastAsia"/>
                <w:bCs/>
                <w:color w:val="auto"/>
                <w:sz w:val="24"/>
                <w:lang w:val="en-US" w:eastAsia="zh-CN"/>
              </w:rPr>
              <w:t>手动</w:t>
            </w:r>
            <w:r>
              <w:rPr>
                <w:rFonts w:hint="eastAsia"/>
                <w:bCs/>
                <w:color w:val="auto"/>
                <w:sz w:val="24"/>
              </w:rPr>
              <w:t>击实仪等，这些设备平均约每周使用一次，每次使用时间不超过30min。本环评类比中国水利水电第三工程局中心实验室（下称“中水三局中心实验室”）环境振动影响进行分析。</w:t>
            </w:r>
          </w:p>
          <w:p w14:paraId="1497C7F6">
            <w:pPr>
              <w:adjustRightInd w:val="0"/>
              <w:snapToGrid w:val="0"/>
              <w:spacing w:line="360" w:lineRule="auto"/>
              <w:ind w:firstLine="480" w:firstLineChars="200"/>
              <w:rPr>
                <w:rFonts w:hint="eastAsia"/>
                <w:bCs/>
                <w:color w:val="auto"/>
                <w:sz w:val="24"/>
              </w:rPr>
            </w:pPr>
            <w:r>
              <w:rPr>
                <w:rFonts w:hint="eastAsia"/>
                <w:bCs/>
                <w:color w:val="auto"/>
                <w:sz w:val="24"/>
              </w:rPr>
              <w:t>根据调查，本项目使用涉及振动的设备</w:t>
            </w:r>
            <w:r>
              <w:rPr>
                <w:rFonts w:hint="eastAsia"/>
                <w:bCs/>
                <w:color w:val="auto"/>
                <w:sz w:val="24"/>
                <w:lang w:eastAsia="zh-CN"/>
              </w:rPr>
              <w:t>，</w:t>
            </w:r>
            <w:r>
              <w:rPr>
                <w:rFonts w:hint="eastAsia"/>
                <w:bCs/>
                <w:color w:val="auto"/>
                <w:sz w:val="24"/>
                <w:lang w:val="en-US" w:eastAsia="zh-CN"/>
              </w:rPr>
              <w:t>与</w:t>
            </w:r>
            <w:r>
              <w:rPr>
                <w:rFonts w:hint="eastAsia"/>
                <w:bCs/>
                <w:color w:val="auto"/>
                <w:sz w:val="24"/>
              </w:rPr>
              <w:t>中水三局中心实验室</w:t>
            </w:r>
            <w:r>
              <w:rPr>
                <w:rFonts w:hint="eastAsia"/>
                <w:bCs/>
                <w:color w:val="auto"/>
                <w:sz w:val="24"/>
                <w:lang w:val="en-US" w:eastAsia="zh-CN"/>
              </w:rPr>
              <w:t>的部分</w:t>
            </w:r>
            <w:r>
              <w:rPr>
                <w:rFonts w:hint="eastAsia"/>
                <w:bCs/>
                <w:color w:val="auto"/>
                <w:sz w:val="24"/>
              </w:rPr>
              <w:t>设备功能、型号和规格相似；该实验室振实台设置基础减振隔离，隔离段设置的减振垫约1.5cm宽，击实仪等设置橡胶减振垫，通过采取上述措施，车间内无明显振感。</w:t>
            </w:r>
          </w:p>
          <w:p w14:paraId="54116ABB">
            <w:pPr>
              <w:adjustRightInd w:val="0"/>
              <w:snapToGrid w:val="0"/>
              <w:spacing w:line="360" w:lineRule="auto"/>
              <w:ind w:firstLine="480" w:firstLineChars="200"/>
              <w:rPr>
                <w:rFonts w:hint="eastAsia"/>
                <w:bCs/>
                <w:color w:val="auto"/>
                <w:sz w:val="24"/>
              </w:rPr>
            </w:pPr>
            <w:r>
              <w:rPr>
                <w:rFonts w:hint="eastAsia"/>
                <w:bCs/>
                <w:color w:val="auto"/>
                <w:sz w:val="24"/>
              </w:rPr>
              <w:t>经类比中水三局中心实验室，本环评要求建设单位在振动实验设备安装时采取以下措施：</w:t>
            </w:r>
          </w:p>
          <w:p w14:paraId="0C6A8B02">
            <w:pPr>
              <w:adjustRightInd w:val="0"/>
              <w:snapToGrid w:val="0"/>
              <w:spacing w:line="360" w:lineRule="auto"/>
              <w:ind w:firstLine="480" w:firstLineChars="200"/>
              <w:rPr>
                <w:rFonts w:hint="eastAsia"/>
                <w:bCs/>
                <w:color w:val="auto"/>
                <w:sz w:val="24"/>
              </w:rPr>
            </w:pPr>
            <w:r>
              <w:rPr>
                <w:rFonts w:hint="eastAsia"/>
                <w:bCs/>
                <w:color w:val="auto"/>
                <w:sz w:val="24"/>
              </w:rPr>
              <w:t>（1）</w:t>
            </w:r>
            <w:r>
              <w:rPr>
                <w:rFonts w:hint="eastAsia"/>
                <w:bCs/>
                <w:color w:val="auto"/>
                <w:sz w:val="24"/>
                <w:lang w:val="en-US" w:eastAsia="zh-CN"/>
              </w:rPr>
              <w:t>多功能</w:t>
            </w:r>
            <w:r>
              <w:rPr>
                <w:rFonts w:hint="eastAsia"/>
                <w:bCs/>
                <w:color w:val="auto"/>
                <w:sz w:val="24"/>
              </w:rPr>
              <w:t>电动击实仪、</w:t>
            </w:r>
            <w:r>
              <w:rPr>
                <w:rFonts w:hint="eastAsia"/>
                <w:bCs/>
                <w:color w:val="auto"/>
                <w:sz w:val="24"/>
                <w:lang w:val="en-US" w:eastAsia="zh-CN"/>
              </w:rPr>
              <w:t>手动</w:t>
            </w:r>
            <w:r>
              <w:rPr>
                <w:rFonts w:hint="eastAsia"/>
                <w:bCs/>
                <w:color w:val="auto"/>
                <w:sz w:val="24"/>
              </w:rPr>
              <w:t>击实仪</w:t>
            </w:r>
            <w:r>
              <w:rPr>
                <w:rFonts w:hint="eastAsia"/>
                <w:bCs/>
                <w:color w:val="auto"/>
                <w:sz w:val="24"/>
                <w:lang w:eastAsia="zh-CN"/>
              </w:rPr>
              <w:t>、</w:t>
            </w:r>
            <w:r>
              <w:rPr>
                <w:rFonts w:hint="eastAsia"/>
                <w:bCs/>
                <w:color w:val="auto"/>
                <w:sz w:val="24"/>
                <w:lang w:val="en-US" w:eastAsia="zh-CN"/>
              </w:rPr>
              <w:t>落锤冲击试验机</w:t>
            </w:r>
            <w:r>
              <w:rPr>
                <w:rFonts w:hint="eastAsia"/>
                <w:bCs/>
                <w:color w:val="auto"/>
                <w:sz w:val="24"/>
              </w:rPr>
              <w:t>等设备底座安装8-10mm厚的橡胶减振垫；</w:t>
            </w:r>
          </w:p>
          <w:p w14:paraId="6D0394C1">
            <w:pPr>
              <w:adjustRightInd w:val="0"/>
              <w:snapToGrid w:val="0"/>
              <w:spacing w:line="360" w:lineRule="auto"/>
              <w:ind w:firstLine="480" w:firstLineChars="200"/>
              <w:rPr>
                <w:rFonts w:hint="eastAsia"/>
                <w:bCs/>
                <w:color w:val="auto"/>
                <w:sz w:val="24"/>
              </w:rPr>
            </w:pPr>
            <w:r>
              <w:rPr>
                <w:rFonts w:hint="eastAsia"/>
                <w:bCs/>
                <w:color w:val="auto"/>
                <w:sz w:val="24"/>
              </w:rPr>
              <w:t>（2）试验振动台、</w:t>
            </w:r>
            <w:r>
              <w:rPr>
                <w:rFonts w:hint="eastAsia"/>
                <w:bCs/>
                <w:color w:val="auto"/>
                <w:sz w:val="24"/>
                <w:lang w:val="en-US" w:eastAsia="zh-CN"/>
              </w:rPr>
              <w:t>表面震动压实试验仪</w:t>
            </w:r>
            <w:r>
              <w:rPr>
                <w:rFonts w:hint="eastAsia"/>
                <w:bCs/>
                <w:color w:val="auto"/>
                <w:sz w:val="24"/>
              </w:rPr>
              <w:t>、水泥胶砂振实台等设备自带弹簧起支撑、平衡、减振作用，同时设备设置基础减振隔离，设备底座设置8-10mm橡胶减振垫，隔离段四周设置大于1.5cm宽的橡胶减振垫，减少设备震源的强度。</w:t>
            </w:r>
          </w:p>
          <w:p w14:paraId="1C5D3220">
            <w:pPr>
              <w:tabs>
                <w:tab w:val="left" w:pos="2851"/>
              </w:tabs>
              <w:adjustRightInd w:val="0"/>
              <w:snapToGrid w:val="0"/>
              <w:spacing w:line="360" w:lineRule="auto"/>
              <w:ind w:firstLine="480" w:firstLineChars="200"/>
              <w:rPr>
                <w:b/>
                <w:color w:val="auto"/>
                <w:spacing w:val="-10"/>
                <w:sz w:val="24"/>
              </w:rPr>
            </w:pPr>
            <w:r>
              <w:rPr>
                <w:rFonts w:hint="eastAsia"/>
                <w:bCs/>
                <w:color w:val="auto"/>
                <w:sz w:val="24"/>
              </w:rPr>
              <w:t>综上，经采取上述措施后，本项目不会对外环境产生振动影响。</w:t>
            </w:r>
          </w:p>
          <w:p w14:paraId="43DC8116">
            <w:pPr>
              <w:tabs>
                <w:tab w:val="left" w:pos="2851"/>
              </w:tabs>
              <w:adjustRightInd w:val="0"/>
              <w:snapToGrid w:val="0"/>
              <w:spacing w:line="360" w:lineRule="auto"/>
              <w:ind w:firstLine="442" w:firstLineChars="200"/>
              <w:rPr>
                <w:b/>
                <w:color w:val="auto"/>
                <w:spacing w:val="-10"/>
                <w:sz w:val="24"/>
              </w:rPr>
            </w:pPr>
            <w:r>
              <w:rPr>
                <w:rFonts w:hint="eastAsia"/>
                <w:b/>
                <w:color w:val="auto"/>
                <w:spacing w:val="-10"/>
                <w:sz w:val="24"/>
                <w:lang w:val="en-US" w:eastAsia="zh-CN"/>
              </w:rPr>
              <w:t>5</w:t>
            </w:r>
            <w:r>
              <w:rPr>
                <w:b/>
                <w:color w:val="auto"/>
                <w:spacing w:val="-10"/>
                <w:sz w:val="24"/>
              </w:rPr>
              <w:t>、固体废物</w:t>
            </w:r>
          </w:p>
          <w:p w14:paraId="224CBE5A">
            <w:pPr>
              <w:spacing w:line="360" w:lineRule="auto"/>
              <w:ind w:firstLine="480" w:firstLineChars="200"/>
              <w:rPr>
                <w:b w:val="0"/>
                <w:bCs w:val="0"/>
                <w:color w:val="auto"/>
                <w:sz w:val="24"/>
                <w:szCs w:val="20"/>
                <w:highlight w:val="none"/>
              </w:rPr>
            </w:pPr>
            <w:r>
              <w:rPr>
                <w:rFonts w:hint="eastAsia"/>
                <w:b w:val="0"/>
                <w:bCs w:val="0"/>
                <w:color w:val="auto"/>
                <w:sz w:val="24"/>
                <w:szCs w:val="20"/>
                <w:highlight w:val="none"/>
              </w:rPr>
              <w:t>（1）</w:t>
            </w:r>
            <w:r>
              <w:rPr>
                <w:b w:val="0"/>
                <w:bCs w:val="0"/>
                <w:color w:val="auto"/>
                <w:sz w:val="24"/>
                <w:szCs w:val="20"/>
                <w:highlight w:val="none"/>
              </w:rPr>
              <w:t>固废产生</w:t>
            </w:r>
            <w:r>
              <w:rPr>
                <w:rFonts w:hint="eastAsia"/>
                <w:b w:val="0"/>
                <w:bCs w:val="0"/>
                <w:color w:val="auto"/>
                <w:sz w:val="24"/>
                <w:szCs w:val="20"/>
                <w:highlight w:val="none"/>
              </w:rPr>
              <w:t>及处理措施</w:t>
            </w:r>
          </w:p>
          <w:p w14:paraId="40916C32">
            <w:pPr>
              <w:spacing w:line="360" w:lineRule="auto"/>
              <w:ind w:firstLine="480" w:firstLineChars="200"/>
              <w:rPr>
                <w:color w:val="auto"/>
                <w:sz w:val="24"/>
                <w:highlight w:val="none"/>
              </w:rPr>
            </w:pPr>
            <w:r>
              <w:rPr>
                <w:color w:val="auto"/>
                <w:sz w:val="24"/>
                <w:highlight w:val="none"/>
              </w:rPr>
              <w:t>根据工艺分析，本项目生产过程中</w:t>
            </w:r>
            <w:r>
              <w:rPr>
                <w:rFonts w:hint="eastAsia"/>
                <w:color w:val="auto"/>
                <w:sz w:val="24"/>
                <w:highlight w:val="none"/>
              </w:rPr>
              <w:t>固废</w:t>
            </w:r>
            <w:r>
              <w:rPr>
                <w:color w:val="auto"/>
                <w:sz w:val="24"/>
                <w:highlight w:val="none"/>
              </w:rPr>
              <w:t>主要为一般废包装材料</w:t>
            </w:r>
            <w:r>
              <w:rPr>
                <w:rFonts w:hint="eastAsia"/>
                <w:color w:val="auto"/>
                <w:sz w:val="24"/>
                <w:highlight w:val="none"/>
              </w:rPr>
              <w:t>、</w:t>
            </w:r>
            <w:r>
              <w:rPr>
                <w:rFonts w:hint="eastAsia"/>
                <w:color w:val="auto"/>
                <w:sz w:val="24"/>
                <w:highlight w:val="none"/>
                <w:lang w:eastAsia="zh-CN"/>
              </w:rPr>
              <w:t>试验废样</w:t>
            </w:r>
            <w:r>
              <w:rPr>
                <w:rFonts w:hint="eastAsia"/>
                <w:color w:val="auto"/>
                <w:sz w:val="24"/>
                <w:highlight w:val="none"/>
              </w:rPr>
              <w:t>、</w:t>
            </w:r>
            <w:r>
              <w:rPr>
                <w:rFonts w:hint="eastAsia"/>
                <w:color w:val="auto"/>
                <w:sz w:val="24"/>
                <w:highlight w:val="none"/>
                <w:lang w:eastAsia="zh-CN"/>
              </w:rPr>
              <w:t>试验</w:t>
            </w:r>
            <w:r>
              <w:rPr>
                <w:rFonts w:hint="eastAsia"/>
                <w:color w:val="auto"/>
                <w:sz w:val="24"/>
                <w:highlight w:val="none"/>
              </w:rPr>
              <w:t>废液、</w:t>
            </w:r>
            <w:r>
              <w:rPr>
                <w:color w:val="auto"/>
                <w:sz w:val="24"/>
                <w:highlight w:val="none"/>
              </w:rPr>
              <w:t>废气处理产生的废</w:t>
            </w:r>
            <w:r>
              <w:rPr>
                <w:rFonts w:hint="eastAsia"/>
                <w:color w:val="auto"/>
                <w:sz w:val="24"/>
                <w:highlight w:val="none"/>
                <w:lang w:eastAsia="zh-CN"/>
              </w:rPr>
              <w:t>活性炭、</w:t>
            </w:r>
            <w:r>
              <w:rPr>
                <w:rFonts w:hint="eastAsia"/>
                <w:color w:val="auto"/>
                <w:sz w:val="24"/>
                <w:highlight w:val="none"/>
                <w:lang w:val="en-US" w:eastAsia="zh-CN"/>
              </w:rPr>
              <w:t>废试剂瓶</w:t>
            </w:r>
            <w:r>
              <w:rPr>
                <w:color w:val="auto"/>
                <w:sz w:val="24"/>
                <w:highlight w:val="none"/>
              </w:rPr>
              <w:t>，职工生活过程中产生的生活垃圾。</w:t>
            </w:r>
            <w:r>
              <w:rPr>
                <w:rFonts w:hint="eastAsia"/>
                <w:color w:val="auto"/>
                <w:sz w:val="24"/>
                <w:highlight w:val="none"/>
              </w:rPr>
              <w:t>其中试验室废液</w:t>
            </w:r>
            <w:r>
              <w:rPr>
                <w:rFonts w:hint="eastAsia"/>
                <w:color w:val="auto"/>
                <w:sz w:val="24"/>
                <w:highlight w:val="none"/>
                <w:lang w:val="en-US" w:eastAsia="zh-CN"/>
              </w:rPr>
              <w:t>、</w:t>
            </w:r>
            <w:r>
              <w:rPr>
                <w:color w:val="auto"/>
                <w:sz w:val="24"/>
                <w:highlight w:val="none"/>
              </w:rPr>
              <w:t>废</w:t>
            </w:r>
            <w:r>
              <w:rPr>
                <w:rFonts w:hint="eastAsia"/>
                <w:color w:val="auto"/>
                <w:sz w:val="24"/>
                <w:highlight w:val="none"/>
                <w:lang w:val="en-US" w:eastAsia="zh-CN"/>
              </w:rPr>
              <w:t>活性炭</w:t>
            </w:r>
            <w:r>
              <w:rPr>
                <w:rFonts w:hint="eastAsia"/>
                <w:color w:val="auto"/>
                <w:sz w:val="24"/>
                <w:highlight w:val="none"/>
              </w:rPr>
              <w:t>和</w:t>
            </w:r>
            <w:r>
              <w:rPr>
                <w:rFonts w:hint="eastAsia"/>
                <w:color w:val="auto"/>
                <w:sz w:val="24"/>
                <w:highlight w:val="none"/>
                <w:lang w:val="en-US" w:eastAsia="zh-CN"/>
              </w:rPr>
              <w:t>废试剂瓶</w:t>
            </w:r>
            <w:r>
              <w:rPr>
                <w:rFonts w:hint="eastAsia"/>
                <w:color w:val="auto"/>
                <w:sz w:val="24"/>
                <w:highlight w:val="none"/>
              </w:rPr>
              <w:t>属于危险废物。</w:t>
            </w:r>
          </w:p>
          <w:p w14:paraId="67495E85">
            <w:pPr>
              <w:spacing w:line="360" w:lineRule="auto"/>
              <w:ind w:firstLine="480" w:firstLineChars="200"/>
              <w:rPr>
                <w:color w:val="auto"/>
                <w:sz w:val="24"/>
                <w:highlight w:val="none"/>
              </w:rPr>
            </w:pPr>
            <w:r>
              <w:rPr>
                <w:rFonts w:hint="eastAsia" w:ascii="宋体" w:hAnsi="宋体" w:cs="宋体"/>
                <w:color w:val="auto"/>
                <w:sz w:val="24"/>
                <w:highlight w:val="none"/>
              </w:rPr>
              <w:t>①</w:t>
            </w:r>
            <w:r>
              <w:rPr>
                <w:color w:val="auto"/>
                <w:sz w:val="24"/>
                <w:highlight w:val="none"/>
              </w:rPr>
              <w:t>一般废包装材料</w:t>
            </w:r>
          </w:p>
          <w:p w14:paraId="79C61D13">
            <w:pPr>
              <w:spacing w:line="360" w:lineRule="auto"/>
              <w:ind w:firstLine="480" w:firstLineChars="200"/>
              <w:rPr>
                <w:color w:val="auto"/>
                <w:sz w:val="24"/>
                <w:highlight w:val="none"/>
              </w:rPr>
            </w:pPr>
            <w:r>
              <w:rPr>
                <w:rFonts w:hint="eastAsia"/>
                <w:color w:val="auto"/>
                <w:sz w:val="24"/>
                <w:highlight w:val="none"/>
                <w:lang w:val="en-US" w:eastAsia="zh-CN"/>
              </w:rPr>
              <w:t>本项目运行过程中客户送样等过程中会产生一般废弃包装材料，类比同类型项目</w:t>
            </w:r>
            <w:r>
              <w:rPr>
                <w:rFonts w:hint="eastAsia"/>
                <w:color w:val="auto"/>
                <w:sz w:val="24"/>
                <w:highlight w:val="none"/>
              </w:rPr>
              <w:t>，</w:t>
            </w:r>
            <w:r>
              <w:rPr>
                <w:rFonts w:hint="eastAsia"/>
                <w:color w:val="auto"/>
                <w:sz w:val="24"/>
                <w:highlight w:val="none"/>
                <w:lang w:val="en-US" w:eastAsia="zh-CN"/>
              </w:rPr>
              <w:t>本项目</w:t>
            </w:r>
            <w:r>
              <w:rPr>
                <w:rFonts w:hint="eastAsia"/>
                <w:color w:val="auto"/>
                <w:sz w:val="24"/>
                <w:highlight w:val="none"/>
              </w:rPr>
              <w:t>废包装物的产生量</w:t>
            </w:r>
            <w:r>
              <w:rPr>
                <w:color w:val="auto"/>
                <w:sz w:val="24"/>
                <w:highlight w:val="none"/>
              </w:rPr>
              <w:t>约</w:t>
            </w:r>
            <w:r>
              <w:rPr>
                <w:rFonts w:hint="eastAsia"/>
                <w:color w:val="auto"/>
                <w:sz w:val="24"/>
                <w:highlight w:val="none"/>
              </w:rPr>
              <w:t>0.</w:t>
            </w:r>
            <w:r>
              <w:rPr>
                <w:rFonts w:hint="eastAsia"/>
                <w:color w:val="auto"/>
                <w:sz w:val="24"/>
                <w:highlight w:val="none"/>
                <w:lang w:val="en-US" w:eastAsia="zh-CN"/>
              </w:rPr>
              <w:t>05</w:t>
            </w:r>
            <w:r>
              <w:rPr>
                <w:rFonts w:hint="eastAsia"/>
                <w:color w:val="auto"/>
                <w:sz w:val="24"/>
                <w:highlight w:val="none"/>
              </w:rPr>
              <w:t xml:space="preserve"> </w:t>
            </w:r>
            <w:r>
              <w:rPr>
                <w:color w:val="auto"/>
                <w:sz w:val="24"/>
                <w:highlight w:val="none"/>
              </w:rPr>
              <w:t>t/a，集中收集后</w:t>
            </w:r>
            <w:r>
              <w:rPr>
                <w:rFonts w:hint="eastAsia"/>
                <w:color w:val="auto"/>
                <w:sz w:val="24"/>
                <w:highlight w:val="none"/>
              </w:rPr>
              <w:t>外售物资回收部门</w:t>
            </w:r>
            <w:r>
              <w:rPr>
                <w:color w:val="auto"/>
                <w:sz w:val="24"/>
                <w:highlight w:val="none"/>
              </w:rPr>
              <w:t>。</w:t>
            </w:r>
          </w:p>
          <w:p w14:paraId="3CED8E0C">
            <w:pPr>
              <w:spacing w:line="360" w:lineRule="auto"/>
              <w:ind w:firstLine="480" w:firstLineChars="200"/>
              <w:rPr>
                <w:rFonts w:hint="eastAsia" w:eastAsia="宋体"/>
                <w:b w:val="0"/>
                <w:bCs w:val="0"/>
                <w:color w:val="auto"/>
                <w:sz w:val="24"/>
                <w:highlight w:val="none"/>
                <w:lang w:eastAsia="zh-CN"/>
              </w:rPr>
            </w:pPr>
            <w:r>
              <w:rPr>
                <w:rFonts w:hint="eastAsia" w:ascii="宋体" w:hAnsi="宋体" w:cs="宋体"/>
                <w:b w:val="0"/>
                <w:bCs w:val="0"/>
                <w:color w:val="auto"/>
                <w:sz w:val="24"/>
                <w:highlight w:val="none"/>
              </w:rPr>
              <w:t>②</w:t>
            </w:r>
            <w:r>
              <w:rPr>
                <w:rFonts w:hint="eastAsia"/>
                <w:b w:val="0"/>
                <w:bCs w:val="0"/>
                <w:color w:val="auto"/>
                <w:sz w:val="24"/>
                <w:highlight w:val="none"/>
                <w:lang w:eastAsia="zh-CN"/>
              </w:rPr>
              <w:t>试验废样</w:t>
            </w:r>
          </w:p>
          <w:p w14:paraId="53FB69E0">
            <w:pPr>
              <w:adjustRightInd w:val="0"/>
              <w:snapToGrid w:val="0"/>
              <w:spacing w:line="360" w:lineRule="auto"/>
              <w:ind w:firstLine="480" w:firstLineChars="200"/>
              <w:jc w:val="left"/>
              <w:rPr>
                <w:rFonts w:hint="eastAsia" w:hAnsi="宋体"/>
                <w:color w:val="auto"/>
                <w:sz w:val="24"/>
                <w:highlight w:val="none"/>
              </w:rPr>
            </w:pPr>
            <w:r>
              <w:rPr>
                <w:rFonts w:hAnsi="宋体"/>
                <w:color w:val="auto"/>
                <w:sz w:val="24"/>
                <w:highlight w:val="none"/>
              </w:rPr>
              <w:t>本项目</w:t>
            </w:r>
            <w:r>
              <w:rPr>
                <w:rFonts w:hint="eastAsia" w:hAnsi="宋体"/>
                <w:color w:val="auto"/>
                <w:sz w:val="24"/>
                <w:highlight w:val="none"/>
                <w:lang w:eastAsia="zh-CN"/>
              </w:rPr>
              <w:t>试验</w:t>
            </w:r>
            <w:r>
              <w:rPr>
                <w:rFonts w:hAnsi="宋体"/>
                <w:color w:val="auto"/>
                <w:sz w:val="24"/>
                <w:highlight w:val="none"/>
              </w:rPr>
              <w:t>过程中会产生</w:t>
            </w:r>
            <w:r>
              <w:rPr>
                <w:rFonts w:hint="eastAsia" w:hAnsi="宋体"/>
                <w:color w:val="auto"/>
                <w:sz w:val="24"/>
                <w:highlight w:val="none"/>
                <w:lang w:eastAsia="zh-CN"/>
              </w:rPr>
              <w:t>试验</w:t>
            </w:r>
            <w:r>
              <w:rPr>
                <w:rFonts w:hAnsi="宋体"/>
                <w:color w:val="auto"/>
                <w:sz w:val="24"/>
                <w:highlight w:val="none"/>
              </w:rPr>
              <w:t>废样，</w:t>
            </w:r>
            <w:r>
              <w:rPr>
                <w:rFonts w:hAnsi="宋体"/>
                <w:bCs/>
                <w:color w:val="auto"/>
                <w:sz w:val="24"/>
                <w:highlight w:val="none"/>
              </w:rPr>
              <w:t>主要为废水泥、废砂石、混凝土、废土方、废钢材、废沥青、沉淀池泥渣等固体废物，性质与建筑垃圾相似，产生量约</w:t>
            </w:r>
            <w:r>
              <w:rPr>
                <w:rFonts w:hint="eastAsia"/>
                <w:bCs/>
                <w:color w:val="auto"/>
                <w:sz w:val="24"/>
                <w:highlight w:val="none"/>
                <w:lang w:val="en-US" w:eastAsia="zh-CN"/>
              </w:rPr>
              <w:t>1</w:t>
            </w:r>
            <w:r>
              <w:rPr>
                <w:rFonts w:hint="eastAsia"/>
                <w:bCs/>
                <w:color w:val="auto"/>
                <w:sz w:val="24"/>
                <w:highlight w:val="none"/>
              </w:rPr>
              <w:t xml:space="preserve">0 </w:t>
            </w:r>
            <w:r>
              <w:rPr>
                <w:bCs/>
                <w:color w:val="auto"/>
                <w:sz w:val="24"/>
                <w:highlight w:val="none"/>
              </w:rPr>
              <w:t>t/a</w:t>
            </w:r>
            <w:r>
              <w:rPr>
                <w:rFonts w:hAnsi="宋体"/>
                <w:bCs/>
                <w:color w:val="auto"/>
                <w:sz w:val="24"/>
                <w:highlight w:val="none"/>
              </w:rPr>
              <w:t>。废钢筋等金属试验样品收集后外售给废旧资源回收处综合利用，废水泥、废砂石、混凝土、废土方、废沥青等建筑垃圾可回收的回收利用，不可回收的拉到建筑垃圾填埋场处理。</w:t>
            </w:r>
          </w:p>
          <w:p w14:paraId="5CF5854F">
            <w:pPr>
              <w:adjustRightInd w:val="0"/>
              <w:snapToGrid w:val="0"/>
              <w:spacing w:line="360" w:lineRule="auto"/>
              <w:ind w:firstLine="480" w:firstLineChars="200"/>
              <w:jc w:val="left"/>
              <w:rPr>
                <w:rFonts w:hint="eastAsia"/>
                <w:b w:val="0"/>
                <w:bCs w:val="0"/>
                <w:color w:val="auto"/>
                <w:sz w:val="24"/>
                <w:highlight w:val="none"/>
              </w:rPr>
            </w:pPr>
            <w:r>
              <w:rPr>
                <w:rFonts w:hint="eastAsia" w:ascii="宋体" w:hAnsi="宋体" w:cs="宋体"/>
                <w:b w:val="0"/>
                <w:bCs w:val="0"/>
                <w:color w:val="auto"/>
                <w:sz w:val="24"/>
                <w:highlight w:val="none"/>
              </w:rPr>
              <w:t>③</w:t>
            </w:r>
            <w:r>
              <w:rPr>
                <w:rFonts w:hint="eastAsia"/>
                <w:b w:val="0"/>
                <w:bCs w:val="0"/>
                <w:color w:val="auto"/>
                <w:sz w:val="24"/>
                <w:highlight w:val="none"/>
              </w:rPr>
              <w:t>试验废液</w:t>
            </w:r>
          </w:p>
          <w:p w14:paraId="28ABDA0C">
            <w:pPr>
              <w:adjustRightInd w:val="0"/>
              <w:snapToGrid w:val="0"/>
              <w:spacing w:line="360" w:lineRule="auto"/>
              <w:ind w:firstLine="480" w:firstLineChars="200"/>
              <w:jc w:val="left"/>
              <w:rPr>
                <w:color w:val="auto"/>
                <w:sz w:val="24"/>
                <w:highlight w:val="none"/>
              </w:rPr>
            </w:pPr>
            <w:r>
              <w:rPr>
                <w:rFonts w:hAnsi="宋体"/>
                <w:color w:val="auto"/>
                <w:sz w:val="24"/>
                <w:highlight w:val="none"/>
              </w:rPr>
              <w:t>本项目运行过程中会产生</w:t>
            </w:r>
            <w:r>
              <w:rPr>
                <w:rFonts w:hint="eastAsia" w:hAnsi="宋体"/>
                <w:color w:val="auto"/>
                <w:sz w:val="24"/>
                <w:highlight w:val="none"/>
                <w:lang w:eastAsia="zh-CN"/>
              </w:rPr>
              <w:t>试验</w:t>
            </w:r>
            <w:r>
              <w:rPr>
                <w:rFonts w:hAnsi="宋体"/>
                <w:color w:val="auto"/>
                <w:sz w:val="24"/>
                <w:highlight w:val="none"/>
              </w:rPr>
              <w:t>废液</w:t>
            </w:r>
            <w:r>
              <w:rPr>
                <w:rFonts w:hint="eastAsia" w:hAnsi="宋体"/>
                <w:color w:val="auto"/>
                <w:sz w:val="24"/>
                <w:highlight w:val="none"/>
                <w:lang w:eastAsia="zh-CN"/>
              </w:rPr>
              <w:t>（</w:t>
            </w:r>
            <w:r>
              <w:rPr>
                <w:rFonts w:hint="eastAsia" w:hAnsi="宋体"/>
                <w:color w:val="auto"/>
                <w:sz w:val="24"/>
                <w:highlight w:val="none"/>
                <w:lang w:val="en-US" w:eastAsia="zh-CN"/>
              </w:rPr>
              <w:t>含实验器皿前两次清洗废液</w:t>
            </w:r>
            <w:r>
              <w:rPr>
                <w:rFonts w:hint="eastAsia" w:hAnsi="宋体"/>
                <w:color w:val="auto"/>
                <w:sz w:val="24"/>
                <w:highlight w:val="none"/>
                <w:lang w:eastAsia="zh-CN"/>
              </w:rPr>
              <w:t>）</w:t>
            </w:r>
            <w:r>
              <w:rPr>
                <w:rFonts w:hint="eastAsia" w:hAnsi="宋体"/>
                <w:color w:val="auto"/>
                <w:sz w:val="24"/>
                <w:highlight w:val="none"/>
              </w:rPr>
              <w:t>。</w:t>
            </w:r>
            <w:r>
              <w:rPr>
                <w:rFonts w:hint="eastAsia" w:hAnsi="宋体"/>
                <w:color w:val="auto"/>
                <w:sz w:val="24"/>
                <w:highlight w:val="none"/>
                <w:lang w:eastAsia="zh-CN"/>
              </w:rPr>
              <w:t>试验</w:t>
            </w:r>
            <w:r>
              <w:rPr>
                <w:rFonts w:hAnsi="宋体"/>
                <w:color w:val="auto"/>
                <w:sz w:val="24"/>
                <w:highlight w:val="none"/>
              </w:rPr>
              <w:t>废液中含有有机物、酸、碱等物质，根据《国家危险废物名录》（</w:t>
            </w:r>
            <w:r>
              <w:rPr>
                <w:color w:val="auto"/>
                <w:sz w:val="24"/>
                <w:highlight w:val="none"/>
              </w:rPr>
              <w:t>202</w:t>
            </w:r>
            <w:r>
              <w:rPr>
                <w:rFonts w:hint="eastAsia"/>
                <w:color w:val="auto"/>
                <w:sz w:val="24"/>
                <w:highlight w:val="none"/>
                <w:lang w:val="en-US" w:eastAsia="zh-CN"/>
              </w:rPr>
              <w:t>5</w:t>
            </w:r>
            <w:r>
              <w:rPr>
                <w:rFonts w:hAnsi="宋体"/>
                <w:color w:val="auto"/>
                <w:sz w:val="24"/>
                <w:highlight w:val="none"/>
              </w:rPr>
              <w:t>年版）中规定，</w:t>
            </w:r>
            <w:r>
              <w:rPr>
                <w:rFonts w:hint="eastAsia" w:hAnsi="宋体"/>
                <w:color w:val="auto"/>
                <w:sz w:val="24"/>
                <w:highlight w:val="none"/>
                <w:lang w:eastAsia="zh-CN"/>
              </w:rPr>
              <w:t>试验</w:t>
            </w:r>
            <w:r>
              <w:rPr>
                <w:rFonts w:hAnsi="宋体"/>
                <w:color w:val="auto"/>
                <w:sz w:val="24"/>
                <w:highlight w:val="none"/>
              </w:rPr>
              <w:t>废液应属于危险废物，废物类别为</w:t>
            </w:r>
            <w:r>
              <w:rPr>
                <w:rFonts w:hint="eastAsia"/>
                <w:color w:val="auto"/>
                <w:sz w:val="24"/>
                <w:highlight w:val="none"/>
                <w:lang w:eastAsia="zh-CN"/>
              </w:rPr>
              <w:t>“</w:t>
            </w:r>
            <w:r>
              <w:rPr>
                <w:color w:val="auto"/>
                <w:sz w:val="24"/>
                <w:highlight w:val="none"/>
              </w:rPr>
              <w:t>HW49 900-047-49</w:t>
            </w:r>
            <w:r>
              <w:rPr>
                <w:rFonts w:hint="eastAsia"/>
                <w:color w:val="auto"/>
                <w:sz w:val="24"/>
                <w:highlight w:val="none"/>
                <w:lang w:eastAsia="zh-CN"/>
              </w:rPr>
              <w:t>”</w:t>
            </w:r>
            <w:r>
              <w:rPr>
                <w:rFonts w:hAnsi="宋体"/>
                <w:color w:val="auto"/>
                <w:sz w:val="24"/>
                <w:highlight w:val="none"/>
              </w:rPr>
              <w:t>，建设单位应将其委托有资质单位进行处理。</w:t>
            </w:r>
            <w:r>
              <w:rPr>
                <w:rFonts w:hint="eastAsia" w:hAnsi="宋体"/>
                <w:color w:val="auto"/>
                <w:sz w:val="24"/>
                <w:highlight w:val="none"/>
              </w:rPr>
              <w:t>根据企业业务量核算</w:t>
            </w:r>
            <w:r>
              <w:rPr>
                <w:rFonts w:hint="eastAsia" w:hAnsi="宋体"/>
                <w:color w:val="auto"/>
                <w:sz w:val="24"/>
                <w:highlight w:val="none"/>
                <w:lang w:val="en-US" w:eastAsia="zh-CN"/>
              </w:rPr>
              <w:t>及类别其它项目</w:t>
            </w:r>
            <w:r>
              <w:rPr>
                <w:rFonts w:hint="eastAsia" w:hAnsi="宋体"/>
                <w:color w:val="auto"/>
                <w:sz w:val="24"/>
                <w:highlight w:val="none"/>
              </w:rPr>
              <w:t>，企业预估试验室废液产生量为</w:t>
            </w:r>
            <w:r>
              <w:rPr>
                <w:rFonts w:hint="eastAsia" w:hAnsi="宋体"/>
                <w:color w:val="auto"/>
                <w:sz w:val="24"/>
                <w:highlight w:val="none"/>
                <w:lang w:val="en-US" w:eastAsia="zh-CN"/>
              </w:rPr>
              <w:t>0.8</w:t>
            </w:r>
            <w:r>
              <w:rPr>
                <w:rFonts w:hint="eastAsia" w:hAnsi="宋体"/>
                <w:color w:val="auto"/>
                <w:sz w:val="24"/>
                <w:highlight w:val="none"/>
              </w:rPr>
              <w:t>t/a。</w:t>
            </w:r>
          </w:p>
          <w:p w14:paraId="2AB68FE5">
            <w:pPr>
              <w:spacing w:line="360" w:lineRule="auto"/>
              <w:ind w:left="420" w:leftChars="200"/>
              <w:rPr>
                <w:rFonts w:hint="eastAsia" w:eastAsia="宋体"/>
                <w:b w:val="0"/>
                <w:bCs w:val="0"/>
                <w:color w:val="auto"/>
                <w:sz w:val="24"/>
                <w:highlight w:val="none"/>
                <w:lang w:eastAsia="zh-CN"/>
              </w:rPr>
            </w:pPr>
            <w:r>
              <w:rPr>
                <w:rFonts w:hint="eastAsia" w:ascii="宋体" w:hAnsi="宋体" w:cs="宋体"/>
                <w:b w:val="0"/>
                <w:bCs w:val="0"/>
                <w:color w:val="auto"/>
                <w:sz w:val="24"/>
                <w:highlight w:val="none"/>
              </w:rPr>
              <w:t>④</w:t>
            </w:r>
            <w:r>
              <w:rPr>
                <w:b w:val="0"/>
                <w:bCs w:val="0"/>
                <w:color w:val="auto"/>
                <w:sz w:val="24"/>
                <w:highlight w:val="none"/>
              </w:rPr>
              <w:t>废</w:t>
            </w:r>
            <w:r>
              <w:rPr>
                <w:rFonts w:hint="eastAsia"/>
                <w:b w:val="0"/>
                <w:bCs w:val="0"/>
                <w:color w:val="auto"/>
                <w:sz w:val="24"/>
                <w:highlight w:val="none"/>
                <w:lang w:eastAsia="zh-CN"/>
              </w:rPr>
              <w:t>活性炭</w:t>
            </w:r>
          </w:p>
          <w:p w14:paraId="0F01D268">
            <w:pPr>
              <w:adjustRightInd w:val="0"/>
              <w:snapToGrid w:val="0"/>
              <w:spacing w:line="360" w:lineRule="auto"/>
              <w:ind w:firstLine="480" w:firstLineChars="200"/>
              <w:rPr>
                <w:color w:val="auto"/>
                <w:sz w:val="24"/>
                <w:highlight w:val="none"/>
              </w:rPr>
            </w:pPr>
            <w:r>
              <w:rPr>
                <w:rFonts w:hint="eastAsia"/>
                <w:color w:val="auto"/>
                <w:sz w:val="24"/>
              </w:rPr>
              <w:t>根据《西安市生态环境局关于加强挥发性有机物活性炭吸附处理设施运行管理工作的通知》（市环发（2022）65号），采用活性炭吸附技术的，应选择碘值不低于800mg/g的活性炭，并按设计要求足量添加、及时更换</w:t>
            </w:r>
            <w:r>
              <w:rPr>
                <w:rFonts w:hint="eastAsia"/>
                <w:color w:val="auto"/>
                <w:sz w:val="24"/>
                <w:lang w:eastAsia="zh-CN"/>
              </w:rPr>
              <w:t>。</w:t>
            </w:r>
            <w:r>
              <w:rPr>
                <w:rFonts w:hint="eastAsia"/>
                <w:color w:val="auto"/>
                <w:sz w:val="24"/>
                <w:highlight w:val="none"/>
                <w:lang w:val="en-US" w:eastAsia="zh-CN"/>
              </w:rPr>
              <w:t>根据要求，项目的非甲烷总烃产生浓度小于200 mg/m</w:t>
            </w:r>
            <w:r>
              <w:rPr>
                <w:rFonts w:hint="eastAsia"/>
                <w:color w:val="auto"/>
                <w:sz w:val="24"/>
                <w:highlight w:val="none"/>
                <w:vertAlign w:val="superscript"/>
                <w:lang w:val="en-US" w:eastAsia="zh-CN"/>
              </w:rPr>
              <w:t>3</w:t>
            </w:r>
            <w:r>
              <w:rPr>
                <w:rFonts w:hint="eastAsia"/>
                <w:color w:val="auto"/>
                <w:sz w:val="24"/>
                <w:highlight w:val="none"/>
                <w:lang w:val="en-US" w:eastAsia="zh-CN"/>
              </w:rPr>
              <w:t>，要求企业活性炭最小填充量为0.5t（按500小时使用时间计）。本次环评要求</w:t>
            </w:r>
            <w:r>
              <w:rPr>
                <w:rFonts w:hint="eastAsia"/>
                <w:color w:val="auto"/>
                <w:sz w:val="24"/>
                <w:highlight w:val="none"/>
              </w:rPr>
              <w:t>，试验室每</w:t>
            </w:r>
            <w:r>
              <w:rPr>
                <w:rFonts w:hint="eastAsia"/>
                <w:color w:val="auto"/>
                <w:sz w:val="24"/>
                <w:highlight w:val="none"/>
                <w:lang w:val="en-US" w:eastAsia="zh-CN"/>
              </w:rPr>
              <w:t>半年</w:t>
            </w:r>
            <w:r>
              <w:rPr>
                <w:rFonts w:hint="eastAsia"/>
                <w:color w:val="auto"/>
                <w:sz w:val="24"/>
                <w:highlight w:val="none"/>
              </w:rPr>
              <w:t>进行一次活性炭更换工作，每次更换量约为</w:t>
            </w:r>
            <w:r>
              <w:rPr>
                <w:rFonts w:hint="eastAsia"/>
                <w:color w:val="auto"/>
                <w:sz w:val="24"/>
                <w:highlight w:val="none"/>
                <w:lang w:val="en-US" w:eastAsia="zh-CN"/>
              </w:rPr>
              <w:t>0.25t</w:t>
            </w:r>
            <w:r>
              <w:rPr>
                <w:rFonts w:hint="eastAsia"/>
                <w:color w:val="auto"/>
                <w:sz w:val="24"/>
                <w:highlight w:val="none"/>
              </w:rPr>
              <w:t>，</w:t>
            </w:r>
            <w:r>
              <w:rPr>
                <w:rFonts w:hint="eastAsia"/>
                <w:color w:val="auto"/>
                <w:sz w:val="24"/>
                <w:highlight w:val="none"/>
                <w:lang w:val="en-US" w:eastAsia="zh-CN"/>
              </w:rPr>
              <w:t>全年累计活性炭添加量为</w:t>
            </w:r>
            <w:r>
              <w:rPr>
                <w:rFonts w:hint="eastAsia"/>
                <w:color w:val="auto"/>
                <w:sz w:val="24"/>
                <w:highlight w:val="none"/>
              </w:rPr>
              <w:t>0.</w:t>
            </w:r>
            <w:r>
              <w:rPr>
                <w:rFonts w:hint="eastAsia"/>
                <w:color w:val="auto"/>
                <w:sz w:val="24"/>
                <w:highlight w:val="none"/>
                <w:lang w:val="en-US" w:eastAsia="zh-CN"/>
              </w:rPr>
              <w:t>5</w:t>
            </w:r>
            <w:r>
              <w:rPr>
                <w:color w:val="auto"/>
                <w:sz w:val="24"/>
                <w:highlight w:val="none"/>
              </w:rPr>
              <w:t>t</w:t>
            </w:r>
            <w:r>
              <w:rPr>
                <w:rFonts w:hint="eastAsia"/>
                <w:color w:val="auto"/>
                <w:sz w:val="24"/>
                <w:highlight w:val="none"/>
                <w:lang w:eastAsia="zh-CN"/>
              </w:rPr>
              <w:t>，</w:t>
            </w:r>
            <w:r>
              <w:rPr>
                <w:rFonts w:hint="eastAsia"/>
                <w:color w:val="auto"/>
                <w:sz w:val="24"/>
                <w:highlight w:val="none"/>
                <w:lang w:val="en-US" w:eastAsia="zh-CN"/>
              </w:rPr>
              <w:t>满足《西安市生态环境局关于加强挥发性有机物活性炭吸附处理设施运行管理工作的通知》关于活性炭最小填充量的要求</w:t>
            </w:r>
            <w:r>
              <w:rPr>
                <w:rFonts w:hint="eastAsia"/>
                <w:color w:val="auto"/>
                <w:sz w:val="24"/>
                <w:highlight w:val="none"/>
              </w:rPr>
              <w:t>。</w:t>
            </w:r>
            <w:r>
              <w:rPr>
                <w:rFonts w:hint="eastAsia"/>
                <w:color w:val="auto"/>
                <w:sz w:val="24"/>
              </w:rPr>
              <w:t>同时，项目活性炭吸附的废气量为</w:t>
            </w:r>
            <w:r>
              <w:rPr>
                <w:rFonts w:hint="eastAsia"/>
                <w:color w:val="auto"/>
                <w:sz w:val="24"/>
                <w:lang w:val="en-US" w:eastAsia="zh-CN"/>
              </w:rPr>
              <w:t>0.0293kg</w:t>
            </w:r>
            <w:r>
              <w:rPr>
                <w:rFonts w:hint="eastAsia"/>
                <w:color w:val="auto"/>
                <w:sz w:val="24"/>
              </w:rPr>
              <w:t>/a，则废活性炭产生量为</w:t>
            </w:r>
            <w:r>
              <w:rPr>
                <w:rFonts w:hint="eastAsia"/>
                <w:color w:val="auto"/>
                <w:sz w:val="24"/>
                <w:lang w:val="en-US" w:eastAsia="zh-CN"/>
              </w:rPr>
              <w:t>0.5000293t</w:t>
            </w:r>
            <w:r>
              <w:rPr>
                <w:rFonts w:hint="eastAsia"/>
                <w:color w:val="auto"/>
                <w:sz w:val="24"/>
              </w:rPr>
              <w:t>/a。根据《吸附法工业有机废气治理 工程技术规范》(HJ 2026-2013)》要求，蜂窝状活性炭箱气体流速宜低于1.2m/s。项目</w:t>
            </w:r>
            <w:r>
              <w:rPr>
                <w:rFonts w:hint="eastAsia"/>
                <w:color w:val="auto"/>
                <w:sz w:val="24"/>
                <w:lang w:val="en-US" w:eastAsia="zh-CN"/>
              </w:rPr>
              <w:t>总</w:t>
            </w:r>
            <w:r>
              <w:rPr>
                <w:rFonts w:hint="eastAsia"/>
                <w:color w:val="auto"/>
                <w:sz w:val="24"/>
              </w:rPr>
              <w:t>风量为</w:t>
            </w:r>
            <w:r>
              <w:rPr>
                <w:rFonts w:hint="eastAsia"/>
                <w:color w:val="auto"/>
                <w:sz w:val="24"/>
                <w:lang w:val="en-US" w:eastAsia="zh-CN"/>
              </w:rPr>
              <w:t>108</w:t>
            </w:r>
            <w:r>
              <w:rPr>
                <w:rFonts w:hint="eastAsia"/>
                <w:color w:val="auto"/>
                <w:sz w:val="24"/>
              </w:rPr>
              <w:t>00</w:t>
            </w:r>
            <w:r>
              <w:rPr>
                <w:color w:val="auto"/>
                <w:sz w:val="24"/>
              </w:rPr>
              <w:t>m</w:t>
            </w:r>
            <w:r>
              <w:rPr>
                <w:rFonts w:hint="eastAsia"/>
                <w:color w:val="auto"/>
                <w:sz w:val="24"/>
                <w:vertAlign w:val="superscript"/>
              </w:rPr>
              <w:t>3</w:t>
            </w:r>
            <w:r>
              <w:rPr>
                <w:color w:val="auto"/>
                <w:sz w:val="24"/>
              </w:rPr>
              <w:t>/h</w:t>
            </w:r>
            <w:r>
              <w:rPr>
                <w:rFonts w:hint="eastAsia"/>
                <w:color w:val="auto"/>
                <w:sz w:val="24"/>
              </w:rPr>
              <w:t>，活性炭密度约500kg/</w:t>
            </w:r>
            <w:r>
              <w:rPr>
                <w:color w:val="auto"/>
                <w:sz w:val="24"/>
              </w:rPr>
              <w:t>m</w:t>
            </w:r>
            <w:r>
              <w:rPr>
                <w:rFonts w:hint="eastAsia"/>
                <w:color w:val="auto"/>
                <w:sz w:val="24"/>
                <w:vertAlign w:val="superscript"/>
              </w:rPr>
              <w:t>3</w:t>
            </w:r>
            <w:r>
              <w:rPr>
                <w:rFonts w:hint="eastAsia"/>
                <w:color w:val="auto"/>
                <w:sz w:val="24"/>
              </w:rPr>
              <w:t>，为保证活性炭箱气体流速低于1.2m/s，则活性炭箱截面积应大于</w:t>
            </w:r>
            <w:r>
              <w:rPr>
                <w:rFonts w:hint="eastAsia"/>
                <w:color w:val="auto"/>
                <w:sz w:val="24"/>
                <w:lang w:val="en-US" w:eastAsia="zh-CN"/>
              </w:rPr>
              <w:t>2.5</w:t>
            </w:r>
            <w:r>
              <w:rPr>
                <w:rFonts w:hint="eastAsia"/>
                <w:color w:val="auto"/>
                <w:sz w:val="24"/>
              </w:rPr>
              <w:t>m</w:t>
            </w:r>
            <w:r>
              <w:rPr>
                <w:color w:val="auto"/>
                <w:sz w:val="24"/>
              </w:rPr>
              <w:t>²</w:t>
            </w:r>
            <w:r>
              <w:rPr>
                <w:rFonts w:hint="eastAsia"/>
                <w:color w:val="auto"/>
                <w:sz w:val="24"/>
              </w:rPr>
              <w:t>。</w:t>
            </w:r>
            <w:r>
              <w:rPr>
                <w:rFonts w:hint="eastAsia"/>
                <w:color w:val="auto"/>
                <w:sz w:val="24"/>
                <w:highlight w:val="none"/>
              </w:rPr>
              <w:t>根据《国家危险废物名录》（202</w:t>
            </w:r>
            <w:r>
              <w:rPr>
                <w:rFonts w:hint="eastAsia"/>
                <w:color w:val="auto"/>
                <w:sz w:val="24"/>
                <w:highlight w:val="none"/>
                <w:lang w:val="en-US" w:eastAsia="zh-CN"/>
              </w:rPr>
              <w:t>5</w:t>
            </w:r>
            <w:r>
              <w:rPr>
                <w:rFonts w:hint="eastAsia"/>
                <w:color w:val="auto"/>
                <w:sz w:val="24"/>
                <w:highlight w:val="none"/>
              </w:rPr>
              <w:t>年版）中规定，废</w:t>
            </w:r>
            <w:r>
              <w:rPr>
                <w:rFonts w:hint="eastAsia"/>
                <w:color w:val="auto"/>
                <w:sz w:val="24"/>
                <w:highlight w:val="none"/>
                <w:lang w:eastAsia="zh-CN"/>
              </w:rPr>
              <w:t>活性炭</w:t>
            </w:r>
            <w:r>
              <w:rPr>
                <w:rFonts w:hint="eastAsia"/>
                <w:color w:val="auto"/>
                <w:sz w:val="24"/>
                <w:highlight w:val="none"/>
              </w:rPr>
              <w:t>应属于危险废物，废物类别为</w:t>
            </w:r>
            <w:r>
              <w:rPr>
                <w:rFonts w:hint="eastAsia"/>
                <w:color w:val="auto"/>
                <w:sz w:val="24"/>
                <w:highlight w:val="none"/>
                <w:lang w:eastAsia="zh-CN"/>
              </w:rPr>
              <w:t>“</w:t>
            </w:r>
            <w:r>
              <w:rPr>
                <w:color w:val="auto"/>
                <w:sz w:val="24"/>
                <w:highlight w:val="none"/>
              </w:rPr>
              <w:t>HW49 900-0</w:t>
            </w:r>
            <w:r>
              <w:rPr>
                <w:rFonts w:hint="eastAsia"/>
                <w:color w:val="auto"/>
                <w:sz w:val="24"/>
                <w:highlight w:val="none"/>
              </w:rPr>
              <w:t>39</w:t>
            </w:r>
            <w:r>
              <w:rPr>
                <w:color w:val="auto"/>
                <w:sz w:val="24"/>
                <w:highlight w:val="none"/>
              </w:rPr>
              <w:t>-49</w:t>
            </w:r>
            <w:r>
              <w:rPr>
                <w:rFonts w:hint="eastAsia"/>
                <w:color w:val="auto"/>
                <w:sz w:val="24"/>
                <w:highlight w:val="none"/>
                <w:lang w:eastAsia="zh-CN"/>
              </w:rPr>
              <w:t>”</w:t>
            </w:r>
            <w:r>
              <w:rPr>
                <w:rFonts w:hint="eastAsia"/>
                <w:color w:val="auto"/>
                <w:sz w:val="24"/>
                <w:highlight w:val="none"/>
              </w:rPr>
              <w:t>，建设单位应将其委托有资质单位进行处理。</w:t>
            </w:r>
          </w:p>
          <w:p w14:paraId="221A8A8B">
            <w:pPr>
              <w:adjustRightInd w:val="0"/>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rPr>
              <w:t>⑤</w:t>
            </w:r>
            <w:r>
              <w:rPr>
                <w:rFonts w:hint="eastAsia" w:ascii="宋体" w:hAnsi="宋体" w:eastAsia="宋体" w:cs="宋体"/>
                <w:color w:val="auto"/>
                <w:sz w:val="24"/>
                <w:highlight w:val="none"/>
                <w:lang w:val="en-US" w:eastAsia="zh-CN"/>
              </w:rPr>
              <w:t>废试剂瓶</w:t>
            </w:r>
          </w:p>
          <w:p w14:paraId="6A985E1A">
            <w:pPr>
              <w:adjustRightInd w:val="0"/>
              <w:snapToGrid w:val="0"/>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实验室运行过程中产生的废弃试剂瓶会沾染</w:t>
            </w:r>
            <w:r>
              <w:rPr>
                <w:rFonts w:hint="eastAsia" w:ascii="Times New Roman" w:hAnsi="Times New Roman"/>
                <w:color w:val="auto"/>
                <w:sz w:val="24"/>
                <w:highlight w:val="none"/>
              </w:rPr>
              <w:t>有机溶剂、酸、碱</w:t>
            </w:r>
            <w:r>
              <w:rPr>
                <w:rFonts w:hint="eastAsia" w:ascii="Times New Roman" w:hAnsi="Times New Roman"/>
                <w:color w:val="auto"/>
                <w:sz w:val="24"/>
                <w:highlight w:val="none"/>
                <w:lang w:val="en-US" w:eastAsia="zh-CN"/>
              </w:rPr>
              <w:t>等有害物质，</w:t>
            </w:r>
            <w:r>
              <w:rPr>
                <w:rFonts w:hint="eastAsia"/>
                <w:color w:val="auto"/>
                <w:sz w:val="24"/>
                <w:highlight w:val="none"/>
              </w:rPr>
              <w:t>根据《国家危险废物名录》（202</w:t>
            </w:r>
            <w:r>
              <w:rPr>
                <w:rFonts w:hint="eastAsia"/>
                <w:color w:val="auto"/>
                <w:sz w:val="24"/>
                <w:highlight w:val="none"/>
                <w:lang w:val="en-US" w:eastAsia="zh-CN"/>
              </w:rPr>
              <w:t>5</w:t>
            </w:r>
            <w:r>
              <w:rPr>
                <w:rFonts w:hint="eastAsia"/>
                <w:color w:val="auto"/>
                <w:sz w:val="24"/>
                <w:highlight w:val="none"/>
              </w:rPr>
              <w:t>年版）中规定，</w:t>
            </w:r>
            <w:r>
              <w:rPr>
                <w:rFonts w:hint="eastAsia"/>
                <w:color w:val="auto"/>
                <w:sz w:val="24"/>
                <w:highlight w:val="none"/>
                <w:lang w:val="en-US" w:eastAsia="zh-CN"/>
              </w:rPr>
              <w:t>废试剂瓶</w:t>
            </w:r>
            <w:r>
              <w:rPr>
                <w:rFonts w:hint="eastAsia"/>
                <w:color w:val="auto"/>
                <w:sz w:val="24"/>
                <w:highlight w:val="none"/>
              </w:rPr>
              <w:t>应属于危险废物，废物类别为</w:t>
            </w:r>
            <w:r>
              <w:rPr>
                <w:rFonts w:hint="eastAsia"/>
                <w:color w:val="auto"/>
                <w:sz w:val="24"/>
                <w:highlight w:val="none"/>
                <w:lang w:eastAsia="zh-CN"/>
              </w:rPr>
              <w:t>“</w:t>
            </w:r>
            <w:r>
              <w:rPr>
                <w:color w:val="auto"/>
                <w:sz w:val="24"/>
                <w:highlight w:val="none"/>
              </w:rPr>
              <w:t>HW49 900-0</w:t>
            </w:r>
            <w:r>
              <w:rPr>
                <w:rFonts w:hint="eastAsia"/>
                <w:color w:val="auto"/>
                <w:sz w:val="24"/>
                <w:highlight w:val="none"/>
                <w:lang w:val="en-US" w:eastAsia="zh-CN"/>
              </w:rPr>
              <w:t>47</w:t>
            </w:r>
            <w:r>
              <w:rPr>
                <w:color w:val="auto"/>
                <w:sz w:val="24"/>
                <w:highlight w:val="none"/>
              </w:rPr>
              <w:t>-49</w:t>
            </w:r>
            <w:r>
              <w:rPr>
                <w:rFonts w:hint="eastAsia"/>
                <w:color w:val="auto"/>
                <w:sz w:val="24"/>
                <w:highlight w:val="none"/>
                <w:lang w:eastAsia="zh-CN"/>
              </w:rPr>
              <w:t>”</w:t>
            </w:r>
            <w:r>
              <w:rPr>
                <w:rFonts w:hint="eastAsia"/>
                <w:color w:val="auto"/>
                <w:sz w:val="24"/>
                <w:highlight w:val="none"/>
              </w:rPr>
              <w:t>，建设单位应将其委托有资质单位进行处理。</w:t>
            </w:r>
            <w:r>
              <w:rPr>
                <w:rFonts w:hint="eastAsia" w:ascii="宋体" w:hAnsi="宋体" w:cs="宋体"/>
                <w:color w:val="auto"/>
                <w:sz w:val="24"/>
                <w:highlight w:val="none"/>
                <w:lang w:val="en-US" w:eastAsia="zh-CN"/>
              </w:rPr>
              <w:t>根据类比其它项目，</w:t>
            </w:r>
            <w:r>
              <w:rPr>
                <w:rFonts w:hint="eastAsia" w:ascii="Times New Roman" w:hAnsi="Times New Roman"/>
                <w:color w:val="auto"/>
                <w:sz w:val="24"/>
                <w:highlight w:val="none"/>
                <w:lang w:val="en-US" w:eastAsia="zh-CN"/>
              </w:rPr>
              <w:t>废试剂瓶的产生量约为0.</w:t>
            </w:r>
            <w:r>
              <w:rPr>
                <w:rFonts w:hint="eastAsia"/>
                <w:color w:val="auto"/>
                <w:sz w:val="24"/>
                <w:highlight w:val="none"/>
                <w:lang w:val="en-US" w:eastAsia="zh-CN"/>
              </w:rPr>
              <w:t>02</w:t>
            </w:r>
            <w:r>
              <w:rPr>
                <w:rFonts w:hint="eastAsia" w:ascii="Times New Roman" w:hAnsi="Times New Roman"/>
                <w:color w:val="auto"/>
                <w:sz w:val="24"/>
                <w:highlight w:val="none"/>
                <w:lang w:val="en-US" w:eastAsia="zh-CN"/>
              </w:rPr>
              <w:t>t</w:t>
            </w:r>
            <w:r>
              <w:rPr>
                <w:rFonts w:hint="eastAsia"/>
                <w:color w:val="auto"/>
                <w:sz w:val="24"/>
                <w:highlight w:val="none"/>
                <w:lang w:val="en-US" w:eastAsia="zh-CN"/>
              </w:rPr>
              <w:t>/a</w:t>
            </w:r>
            <w:r>
              <w:rPr>
                <w:rFonts w:hint="eastAsia" w:ascii="Times New Roman" w:hAnsi="Times New Roman"/>
                <w:color w:val="auto"/>
                <w:sz w:val="24"/>
                <w:highlight w:val="none"/>
                <w:lang w:val="en-US" w:eastAsia="zh-CN"/>
              </w:rPr>
              <w:t>。</w:t>
            </w:r>
          </w:p>
          <w:p w14:paraId="413CB419">
            <w:pPr>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eastAsia="宋体" w:cs="宋体"/>
                <w:color w:val="auto"/>
                <w:sz w:val="24"/>
                <w:highlight w:val="none"/>
              </w:rPr>
              <w:t>⑥</w:t>
            </w:r>
            <w:r>
              <w:rPr>
                <w:rFonts w:hint="eastAsia" w:ascii="宋体" w:hAnsi="宋体" w:cs="宋体"/>
                <w:color w:val="auto"/>
                <w:sz w:val="24"/>
                <w:highlight w:val="none"/>
              </w:rPr>
              <w:t>生活垃圾</w:t>
            </w:r>
          </w:p>
          <w:p w14:paraId="041A809A">
            <w:pPr>
              <w:spacing w:line="360" w:lineRule="auto"/>
              <w:ind w:firstLine="480" w:firstLineChars="200"/>
              <w:rPr>
                <w:color w:val="auto"/>
                <w:sz w:val="24"/>
                <w:highlight w:val="none"/>
              </w:rPr>
            </w:pPr>
            <w:r>
              <w:rPr>
                <w:color w:val="auto"/>
                <w:sz w:val="24"/>
                <w:highlight w:val="none"/>
              </w:rPr>
              <w:t>本项目配备员工</w:t>
            </w:r>
            <w:r>
              <w:rPr>
                <w:rFonts w:hint="eastAsia"/>
                <w:color w:val="auto"/>
                <w:sz w:val="24"/>
                <w:highlight w:val="none"/>
                <w:lang w:val="en-US" w:eastAsia="zh-CN"/>
              </w:rPr>
              <w:t>34</w:t>
            </w:r>
            <w:r>
              <w:rPr>
                <w:color w:val="auto"/>
                <w:sz w:val="24"/>
                <w:highlight w:val="none"/>
              </w:rPr>
              <w:t>人，</w:t>
            </w:r>
            <w:r>
              <w:rPr>
                <w:rFonts w:hint="eastAsia"/>
                <w:color w:val="auto"/>
                <w:sz w:val="24"/>
                <w:highlight w:val="none"/>
              </w:rPr>
              <w:t>根据调查西安市居民平均日常生活垃圾生产情况，</w:t>
            </w:r>
            <w:r>
              <w:rPr>
                <w:color w:val="auto"/>
                <w:sz w:val="24"/>
                <w:highlight w:val="none"/>
              </w:rPr>
              <w:t>生活垃圾产生量每人按</w:t>
            </w:r>
            <w:r>
              <w:rPr>
                <w:rFonts w:hint="eastAsia"/>
                <w:color w:val="auto"/>
                <w:sz w:val="24"/>
                <w:highlight w:val="none"/>
              </w:rPr>
              <w:t xml:space="preserve">0.5 </w:t>
            </w:r>
            <w:r>
              <w:rPr>
                <w:color w:val="auto"/>
                <w:sz w:val="24"/>
                <w:highlight w:val="none"/>
              </w:rPr>
              <w:t>kg/d计，预计生活垃圾年产生量为</w:t>
            </w:r>
            <w:r>
              <w:rPr>
                <w:rFonts w:hint="eastAsia"/>
                <w:color w:val="auto"/>
                <w:sz w:val="24"/>
                <w:highlight w:val="none"/>
                <w:lang w:val="en-US" w:eastAsia="zh-CN"/>
              </w:rPr>
              <w:t>4.25</w:t>
            </w:r>
            <w:r>
              <w:rPr>
                <w:color w:val="auto"/>
                <w:sz w:val="24"/>
                <w:highlight w:val="none"/>
              </w:rPr>
              <w:t>t/a，</w:t>
            </w:r>
            <w:r>
              <w:rPr>
                <w:rFonts w:hAnsi="宋体"/>
                <w:color w:val="auto"/>
                <w:sz w:val="24"/>
                <w:highlight w:val="none"/>
              </w:rPr>
              <w:t>生活垃圾经分类收集后由园区统一交环卫部门处置</w:t>
            </w:r>
            <w:r>
              <w:rPr>
                <w:color w:val="auto"/>
                <w:sz w:val="24"/>
                <w:highlight w:val="none"/>
              </w:rPr>
              <w:t>。</w:t>
            </w:r>
          </w:p>
          <w:p w14:paraId="554317F4">
            <w:pPr>
              <w:spacing w:line="360" w:lineRule="auto"/>
              <w:ind w:firstLine="480" w:firstLineChars="200"/>
              <w:rPr>
                <w:b w:val="0"/>
                <w:color w:val="auto"/>
                <w:szCs w:val="21"/>
                <w:highlight w:val="none"/>
                <w:lang w:val="zh-TW"/>
              </w:rPr>
            </w:pPr>
            <w:r>
              <w:rPr>
                <w:b w:val="0"/>
                <w:bCs/>
                <w:color w:val="auto"/>
                <w:sz w:val="24"/>
                <w:highlight w:val="none"/>
              </w:rPr>
              <w:t>各类固废产生量及处置措施见表4-</w:t>
            </w:r>
            <w:r>
              <w:rPr>
                <w:rFonts w:hint="eastAsia"/>
                <w:b w:val="0"/>
                <w:bCs/>
                <w:color w:val="auto"/>
                <w:sz w:val="24"/>
                <w:highlight w:val="none"/>
                <w:lang w:val="en-US" w:eastAsia="zh-CN"/>
              </w:rPr>
              <w:t>9</w:t>
            </w:r>
            <w:r>
              <w:rPr>
                <w:b w:val="0"/>
                <w:bCs/>
                <w:color w:val="auto"/>
                <w:sz w:val="24"/>
                <w:highlight w:val="none"/>
              </w:rPr>
              <w:t>。</w:t>
            </w:r>
          </w:p>
          <w:p w14:paraId="16D3818F">
            <w:pPr>
              <w:ind w:firstLine="482" w:firstLineChars="200"/>
              <w:jc w:val="center"/>
              <w:rPr>
                <w:rFonts w:ascii="Times New Roman" w:hAnsi="Times New Roman" w:cs="Times New Roman"/>
                <w:b/>
                <w:color w:val="auto"/>
                <w:sz w:val="24"/>
              </w:rPr>
            </w:pPr>
            <w:r>
              <w:rPr>
                <w:rFonts w:ascii="Times New Roman" w:hAnsi="Times New Roman" w:cs="Times New Roman"/>
                <w:b/>
                <w:color w:val="auto"/>
                <w:sz w:val="24"/>
                <w:lang w:val="zh-TW"/>
              </w:rPr>
              <w:t>表</w:t>
            </w:r>
            <w:r>
              <w:rPr>
                <w:rFonts w:ascii="Times New Roman" w:hAnsi="Times New Roman" w:cs="Times New Roman"/>
                <w:b/>
                <w:color w:val="auto"/>
                <w:sz w:val="24"/>
              </w:rPr>
              <w:t>4-</w:t>
            </w:r>
            <w:r>
              <w:rPr>
                <w:rFonts w:hint="eastAsia" w:cs="Times New Roman"/>
                <w:b/>
                <w:color w:val="auto"/>
                <w:sz w:val="24"/>
                <w:lang w:val="en-US" w:eastAsia="zh-CN"/>
              </w:rPr>
              <w:t>9</w:t>
            </w:r>
            <w:r>
              <w:rPr>
                <w:rFonts w:hint="eastAsia" w:ascii="Times New Roman" w:hAnsi="Times New Roman" w:cs="Times New Roman"/>
                <w:b/>
                <w:color w:val="auto"/>
                <w:sz w:val="24"/>
              </w:rPr>
              <w:t xml:space="preserve"> </w:t>
            </w:r>
            <w:r>
              <w:rPr>
                <w:rFonts w:ascii="Times New Roman" w:hAnsi="Times New Roman" w:cs="Times New Roman"/>
                <w:b/>
                <w:color w:val="auto"/>
                <w:sz w:val="24"/>
              </w:rPr>
              <w:t>项目固体废物排放量及处理措施</w:t>
            </w:r>
          </w:p>
          <w:tbl>
            <w:tblPr>
              <w:tblStyle w:val="28"/>
              <w:tblW w:w="4994"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452"/>
              <w:gridCol w:w="962"/>
              <w:gridCol w:w="779"/>
              <w:gridCol w:w="1078"/>
              <w:gridCol w:w="1029"/>
              <w:gridCol w:w="1043"/>
              <w:gridCol w:w="1030"/>
              <w:gridCol w:w="632"/>
              <w:gridCol w:w="1265"/>
            </w:tblGrid>
            <w:tr w14:paraId="1F78519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292" w:type="pct"/>
                  <w:noWrap w:val="0"/>
                  <w:vAlign w:val="center"/>
                </w:tcPr>
                <w:p w14:paraId="16BCC7F7">
                  <w:pPr>
                    <w:pStyle w:val="78"/>
                    <w:ind w:right="34"/>
                    <w:jc w:val="center"/>
                    <w:rPr>
                      <w:rFonts w:ascii="Times New Roman" w:hAnsi="Times New Roman" w:cs="Times New Roman"/>
                      <w:b w:val="0"/>
                      <w:bCs w:val="0"/>
                      <w:color w:val="auto"/>
                      <w:szCs w:val="21"/>
                      <w:highlight w:val="none"/>
                    </w:rPr>
                  </w:pPr>
                  <w:r>
                    <w:rPr>
                      <w:rFonts w:ascii="Times New Roman" w:hAnsi="Times New Roman" w:cs="Times New Roman"/>
                      <w:b w:val="0"/>
                      <w:bCs w:val="0"/>
                      <w:color w:val="auto"/>
                      <w:szCs w:val="21"/>
                      <w:highlight w:val="none"/>
                    </w:rPr>
                    <w:t>序号</w:t>
                  </w:r>
                </w:p>
              </w:tc>
              <w:tc>
                <w:tcPr>
                  <w:tcW w:w="600" w:type="pct"/>
                  <w:noWrap w:val="0"/>
                  <w:vAlign w:val="center"/>
                </w:tcPr>
                <w:p w14:paraId="329C1A14">
                  <w:pPr>
                    <w:pStyle w:val="78"/>
                    <w:ind w:left="43" w:right="34"/>
                    <w:jc w:val="center"/>
                    <w:rPr>
                      <w:rFonts w:ascii="Times New Roman" w:hAnsi="Times New Roman" w:cs="Times New Roman"/>
                      <w:b w:val="0"/>
                      <w:bCs w:val="0"/>
                      <w:color w:val="auto"/>
                      <w:szCs w:val="21"/>
                      <w:highlight w:val="none"/>
                    </w:rPr>
                  </w:pPr>
                  <w:r>
                    <w:rPr>
                      <w:rFonts w:ascii="Times New Roman" w:hAnsi="Times New Roman" w:cs="Times New Roman"/>
                      <w:b w:val="0"/>
                      <w:bCs w:val="0"/>
                      <w:color w:val="auto"/>
                      <w:szCs w:val="21"/>
                      <w:highlight w:val="none"/>
                    </w:rPr>
                    <w:t>固体废物名称</w:t>
                  </w:r>
                </w:p>
              </w:tc>
              <w:tc>
                <w:tcPr>
                  <w:tcW w:w="489" w:type="pct"/>
                  <w:noWrap w:val="0"/>
                  <w:vAlign w:val="center"/>
                </w:tcPr>
                <w:p w14:paraId="313A3DD4">
                  <w:pPr>
                    <w:pStyle w:val="78"/>
                    <w:ind w:left="43" w:right="34"/>
                    <w:jc w:val="center"/>
                    <w:rPr>
                      <w:rFonts w:ascii="Times New Roman" w:hAnsi="Times New Roman" w:cs="Times New Roman"/>
                      <w:b w:val="0"/>
                      <w:bCs w:val="0"/>
                      <w:color w:val="auto"/>
                      <w:szCs w:val="21"/>
                      <w:highlight w:val="none"/>
                    </w:rPr>
                  </w:pPr>
                  <w:r>
                    <w:rPr>
                      <w:rFonts w:ascii="Times New Roman" w:hAnsi="Times New Roman" w:cs="Times New Roman"/>
                      <w:b w:val="0"/>
                      <w:bCs w:val="0"/>
                      <w:color w:val="auto"/>
                      <w:szCs w:val="21"/>
                      <w:highlight w:val="none"/>
                    </w:rPr>
                    <w:t>危险废物类别</w:t>
                  </w:r>
                </w:p>
              </w:tc>
              <w:tc>
                <w:tcPr>
                  <w:tcW w:w="616" w:type="pct"/>
                  <w:noWrap w:val="0"/>
                  <w:vAlign w:val="center"/>
                </w:tcPr>
                <w:p w14:paraId="5390B749">
                  <w:pPr>
                    <w:pStyle w:val="78"/>
                    <w:ind w:left="43" w:right="34"/>
                    <w:jc w:val="center"/>
                    <w:rPr>
                      <w:rFonts w:ascii="Times New Roman" w:hAnsi="Times New Roman" w:cs="Times New Roman"/>
                      <w:b w:val="0"/>
                      <w:bCs w:val="0"/>
                      <w:color w:val="auto"/>
                      <w:szCs w:val="21"/>
                      <w:highlight w:val="none"/>
                    </w:rPr>
                  </w:pPr>
                  <w:r>
                    <w:rPr>
                      <w:rFonts w:ascii="Times New Roman" w:hAnsi="Times New Roman" w:cs="Times New Roman"/>
                      <w:b w:val="0"/>
                      <w:bCs w:val="0"/>
                      <w:color w:val="auto"/>
                      <w:szCs w:val="21"/>
                      <w:highlight w:val="none"/>
                    </w:rPr>
                    <w:t>废物代码</w:t>
                  </w:r>
                </w:p>
              </w:tc>
              <w:tc>
                <w:tcPr>
                  <w:tcW w:w="528" w:type="pct"/>
                  <w:noWrap w:val="0"/>
                  <w:vAlign w:val="center"/>
                </w:tcPr>
                <w:p w14:paraId="4F7E3224">
                  <w:pPr>
                    <w:pStyle w:val="78"/>
                    <w:ind w:left="43" w:right="34"/>
                    <w:jc w:val="center"/>
                    <w:rPr>
                      <w:rFonts w:ascii="Times New Roman" w:hAnsi="Times New Roman" w:cs="Times New Roman"/>
                      <w:b w:val="0"/>
                      <w:bCs w:val="0"/>
                      <w:color w:val="auto"/>
                      <w:szCs w:val="21"/>
                      <w:highlight w:val="none"/>
                    </w:rPr>
                  </w:pPr>
                  <w:r>
                    <w:rPr>
                      <w:rFonts w:ascii="Times New Roman" w:hAnsi="Times New Roman" w:cs="Times New Roman"/>
                      <w:b w:val="0"/>
                      <w:bCs w:val="0"/>
                      <w:color w:val="auto"/>
                      <w:szCs w:val="21"/>
                      <w:highlight w:val="none"/>
                    </w:rPr>
                    <w:t>产生量</w:t>
                  </w:r>
                </w:p>
                <w:p w14:paraId="4CFA57B3">
                  <w:pPr>
                    <w:pStyle w:val="78"/>
                    <w:ind w:left="43" w:right="34"/>
                    <w:jc w:val="center"/>
                    <w:rPr>
                      <w:rFonts w:ascii="Times New Roman" w:hAnsi="Times New Roman" w:cs="Times New Roman"/>
                      <w:b w:val="0"/>
                      <w:bCs w:val="0"/>
                      <w:color w:val="auto"/>
                      <w:szCs w:val="21"/>
                      <w:highlight w:val="none"/>
                    </w:rPr>
                  </w:pPr>
                  <w:r>
                    <w:rPr>
                      <w:rFonts w:ascii="Times New Roman" w:hAnsi="Times New Roman" w:cs="Times New Roman"/>
                      <w:b w:val="0"/>
                      <w:bCs w:val="0"/>
                      <w:color w:val="auto"/>
                      <w:szCs w:val="21"/>
                      <w:highlight w:val="none"/>
                    </w:rPr>
                    <w:t>（t/a）</w:t>
                  </w:r>
                </w:p>
              </w:tc>
              <w:tc>
                <w:tcPr>
                  <w:tcW w:w="648" w:type="pct"/>
                  <w:noWrap w:val="0"/>
                  <w:vAlign w:val="center"/>
                </w:tcPr>
                <w:p w14:paraId="623ABAB9">
                  <w:pPr>
                    <w:pStyle w:val="78"/>
                    <w:ind w:right="34"/>
                    <w:jc w:val="center"/>
                    <w:rPr>
                      <w:rFonts w:ascii="Times New Roman" w:hAnsi="Times New Roman" w:cs="Times New Roman"/>
                      <w:b w:val="0"/>
                      <w:bCs w:val="0"/>
                      <w:color w:val="auto"/>
                      <w:szCs w:val="21"/>
                      <w:highlight w:val="none"/>
                    </w:rPr>
                  </w:pPr>
                  <w:r>
                    <w:rPr>
                      <w:rFonts w:ascii="Times New Roman" w:hAnsi="Times New Roman" w:cs="Times New Roman"/>
                      <w:b w:val="0"/>
                      <w:bCs w:val="0"/>
                      <w:color w:val="auto"/>
                      <w:szCs w:val="21"/>
                      <w:highlight w:val="none"/>
                    </w:rPr>
                    <w:t>生产工序及装置</w:t>
                  </w:r>
                </w:p>
              </w:tc>
              <w:tc>
                <w:tcPr>
                  <w:tcW w:w="640" w:type="pct"/>
                  <w:noWrap w:val="0"/>
                  <w:vAlign w:val="center"/>
                </w:tcPr>
                <w:p w14:paraId="2DE5F649">
                  <w:pPr>
                    <w:pStyle w:val="78"/>
                    <w:ind w:left="43" w:right="34"/>
                    <w:jc w:val="center"/>
                    <w:rPr>
                      <w:rFonts w:ascii="Times New Roman" w:hAnsi="Times New Roman" w:cs="Times New Roman"/>
                      <w:b w:val="0"/>
                      <w:bCs w:val="0"/>
                      <w:color w:val="auto"/>
                      <w:szCs w:val="21"/>
                      <w:highlight w:val="none"/>
                    </w:rPr>
                  </w:pPr>
                  <w:r>
                    <w:rPr>
                      <w:rFonts w:ascii="Times New Roman" w:hAnsi="Times New Roman" w:cs="Times New Roman"/>
                      <w:b w:val="0"/>
                      <w:bCs w:val="0"/>
                      <w:color w:val="auto"/>
                      <w:szCs w:val="21"/>
                      <w:highlight w:val="none"/>
                    </w:rPr>
                    <w:t>形态</w:t>
                  </w:r>
                </w:p>
              </w:tc>
              <w:tc>
                <w:tcPr>
                  <w:tcW w:w="400" w:type="pct"/>
                  <w:noWrap w:val="0"/>
                  <w:vAlign w:val="center"/>
                </w:tcPr>
                <w:p w14:paraId="4ACE0413">
                  <w:pPr>
                    <w:pStyle w:val="78"/>
                    <w:ind w:left="43" w:right="34"/>
                    <w:jc w:val="center"/>
                    <w:rPr>
                      <w:rFonts w:ascii="Times New Roman" w:hAnsi="Times New Roman" w:cs="Times New Roman"/>
                      <w:b w:val="0"/>
                      <w:bCs w:val="0"/>
                      <w:color w:val="auto"/>
                      <w:szCs w:val="21"/>
                      <w:highlight w:val="none"/>
                    </w:rPr>
                  </w:pPr>
                  <w:r>
                    <w:rPr>
                      <w:rFonts w:ascii="Times New Roman" w:hAnsi="Times New Roman" w:cs="Times New Roman"/>
                      <w:b w:val="0"/>
                      <w:bCs w:val="0"/>
                      <w:color w:val="auto"/>
                      <w:szCs w:val="21"/>
                      <w:highlight w:val="none"/>
                    </w:rPr>
                    <w:t>危险特性</w:t>
                  </w:r>
                </w:p>
              </w:tc>
              <w:tc>
                <w:tcPr>
                  <w:tcW w:w="782" w:type="pct"/>
                  <w:noWrap w:val="0"/>
                  <w:vAlign w:val="center"/>
                </w:tcPr>
                <w:p w14:paraId="5E46CFCD">
                  <w:pPr>
                    <w:pStyle w:val="78"/>
                    <w:ind w:left="43" w:right="34"/>
                    <w:jc w:val="center"/>
                    <w:rPr>
                      <w:rFonts w:ascii="Times New Roman" w:hAnsi="Times New Roman" w:cs="Times New Roman"/>
                      <w:b w:val="0"/>
                      <w:bCs w:val="0"/>
                      <w:color w:val="auto"/>
                      <w:szCs w:val="21"/>
                      <w:highlight w:val="none"/>
                      <w:lang w:val="en-US"/>
                    </w:rPr>
                  </w:pPr>
                  <w:r>
                    <w:rPr>
                      <w:rFonts w:hint="eastAsia" w:ascii="Times New Roman" w:hAnsi="Times New Roman" w:cs="Times New Roman"/>
                      <w:b w:val="0"/>
                      <w:bCs w:val="0"/>
                      <w:color w:val="auto"/>
                      <w:szCs w:val="21"/>
                      <w:highlight w:val="none"/>
                      <w:lang w:val="en-US"/>
                    </w:rPr>
                    <w:t>处置方式</w:t>
                  </w:r>
                </w:p>
              </w:tc>
            </w:tr>
            <w:tr w14:paraId="1FB768CD">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4" w:hRule="atLeast"/>
                <w:jc w:val="center"/>
              </w:trPr>
              <w:tc>
                <w:tcPr>
                  <w:tcW w:w="292" w:type="pct"/>
                  <w:noWrap w:val="0"/>
                  <w:vAlign w:val="center"/>
                </w:tcPr>
                <w:p w14:paraId="68FF6E34">
                  <w:pPr>
                    <w:pStyle w:val="78"/>
                    <w:ind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w:t>
                  </w:r>
                </w:p>
              </w:tc>
              <w:tc>
                <w:tcPr>
                  <w:tcW w:w="600" w:type="pct"/>
                  <w:noWrap w:val="0"/>
                  <w:vAlign w:val="center"/>
                </w:tcPr>
                <w:p w14:paraId="0790AF82">
                  <w:pPr>
                    <w:pStyle w:val="78"/>
                    <w:ind w:left="43"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废包装材料</w:t>
                  </w:r>
                </w:p>
              </w:tc>
              <w:tc>
                <w:tcPr>
                  <w:tcW w:w="489" w:type="pct"/>
                  <w:noWrap w:val="0"/>
                  <w:vAlign w:val="center"/>
                </w:tcPr>
                <w:p w14:paraId="54AC3867">
                  <w:pPr>
                    <w:pStyle w:val="78"/>
                    <w:ind w:right="35"/>
                    <w:jc w:val="center"/>
                    <w:rPr>
                      <w:rFonts w:ascii="Times New Roman" w:hAnsi="Times New Roman" w:cs="Times New Roman"/>
                      <w:color w:val="auto"/>
                      <w:szCs w:val="21"/>
                      <w:highlight w:val="none"/>
                      <w:lang w:val="en-US"/>
                    </w:rPr>
                  </w:pPr>
                  <w:r>
                    <w:rPr>
                      <w:rFonts w:ascii="Times New Roman" w:hAnsi="Times New Roman" w:cs="Times New Roman"/>
                      <w:color w:val="auto"/>
                      <w:szCs w:val="21"/>
                      <w:highlight w:val="none"/>
                    </w:rPr>
                    <w:t>/</w:t>
                  </w:r>
                </w:p>
              </w:tc>
              <w:tc>
                <w:tcPr>
                  <w:tcW w:w="616" w:type="pct"/>
                  <w:noWrap w:val="0"/>
                  <w:vAlign w:val="center"/>
                </w:tcPr>
                <w:p w14:paraId="7185A9F0">
                  <w:pPr>
                    <w:pStyle w:val="78"/>
                    <w:ind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w:t>
                  </w:r>
                </w:p>
              </w:tc>
              <w:tc>
                <w:tcPr>
                  <w:tcW w:w="528" w:type="pct"/>
                  <w:noWrap w:val="0"/>
                  <w:vAlign w:val="center"/>
                </w:tcPr>
                <w:p w14:paraId="67A3D5AC">
                  <w:pPr>
                    <w:pStyle w:val="78"/>
                    <w:ind w:right="35"/>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rPr>
                    <w:t>0.</w:t>
                  </w:r>
                  <w:r>
                    <w:rPr>
                      <w:rFonts w:hint="eastAsia" w:ascii="Times New Roman" w:hAnsi="Times New Roman" w:cs="Times New Roman"/>
                      <w:color w:val="auto"/>
                      <w:szCs w:val="21"/>
                      <w:highlight w:val="none"/>
                      <w:lang w:val="en-US" w:eastAsia="zh-CN"/>
                    </w:rPr>
                    <w:t>05</w:t>
                  </w:r>
                </w:p>
              </w:tc>
              <w:tc>
                <w:tcPr>
                  <w:tcW w:w="648" w:type="pct"/>
                  <w:noWrap w:val="0"/>
                  <w:vAlign w:val="center"/>
                </w:tcPr>
                <w:p w14:paraId="23B77724">
                  <w:pPr>
                    <w:pStyle w:val="78"/>
                    <w:ind w:left="43"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生产过程</w:t>
                  </w:r>
                </w:p>
              </w:tc>
              <w:tc>
                <w:tcPr>
                  <w:tcW w:w="640" w:type="pct"/>
                  <w:noWrap w:val="0"/>
                  <w:vAlign w:val="center"/>
                </w:tcPr>
                <w:p w14:paraId="663BAD3A">
                  <w:pPr>
                    <w:pStyle w:val="78"/>
                    <w:ind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固态</w:t>
                  </w:r>
                </w:p>
              </w:tc>
              <w:tc>
                <w:tcPr>
                  <w:tcW w:w="400" w:type="pct"/>
                  <w:noWrap w:val="0"/>
                  <w:vAlign w:val="center"/>
                </w:tcPr>
                <w:p w14:paraId="78296B5E">
                  <w:pPr>
                    <w:pStyle w:val="78"/>
                    <w:ind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w:t>
                  </w:r>
                </w:p>
              </w:tc>
              <w:tc>
                <w:tcPr>
                  <w:tcW w:w="782" w:type="pct"/>
                  <w:noWrap w:val="0"/>
                  <w:vAlign w:val="center"/>
                </w:tcPr>
                <w:p w14:paraId="1C91E221">
                  <w:pPr>
                    <w:pStyle w:val="78"/>
                    <w:ind w:right="35"/>
                    <w:jc w:val="center"/>
                    <w:rPr>
                      <w:rFonts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rPr>
                    <w:t>集中收集、定期外售</w:t>
                  </w:r>
                </w:p>
              </w:tc>
            </w:tr>
            <w:tr w14:paraId="5DEF6D9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668" w:hRule="atLeast"/>
                <w:jc w:val="center"/>
              </w:trPr>
              <w:tc>
                <w:tcPr>
                  <w:tcW w:w="292" w:type="pct"/>
                  <w:noWrap w:val="0"/>
                  <w:vAlign w:val="center"/>
                </w:tcPr>
                <w:p w14:paraId="60EE103A">
                  <w:pPr>
                    <w:pStyle w:val="78"/>
                    <w:ind w:right="35"/>
                    <w:jc w:val="center"/>
                    <w:rPr>
                      <w:rFonts w:hint="eastAsia"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rPr>
                    <w:t>2</w:t>
                  </w:r>
                </w:p>
              </w:tc>
              <w:tc>
                <w:tcPr>
                  <w:tcW w:w="600" w:type="pct"/>
                  <w:noWrap w:val="0"/>
                  <w:vAlign w:val="center"/>
                </w:tcPr>
                <w:p w14:paraId="43168DBC">
                  <w:pPr>
                    <w:pStyle w:val="78"/>
                    <w:ind w:right="35"/>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试验废样</w:t>
                  </w:r>
                </w:p>
              </w:tc>
              <w:tc>
                <w:tcPr>
                  <w:tcW w:w="489" w:type="pct"/>
                  <w:noWrap w:val="0"/>
                  <w:vAlign w:val="center"/>
                </w:tcPr>
                <w:p w14:paraId="100E027A">
                  <w:pPr>
                    <w:pStyle w:val="78"/>
                    <w:ind w:left="43" w:right="35"/>
                    <w:jc w:val="center"/>
                    <w:rPr>
                      <w:rFonts w:hint="eastAsia"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rPr>
                    <w:t>/</w:t>
                  </w:r>
                </w:p>
              </w:tc>
              <w:tc>
                <w:tcPr>
                  <w:tcW w:w="616" w:type="pct"/>
                  <w:noWrap w:val="0"/>
                  <w:vAlign w:val="center"/>
                </w:tcPr>
                <w:p w14:paraId="1DD4A627">
                  <w:pPr>
                    <w:pStyle w:val="78"/>
                    <w:ind w:left="43" w:right="35"/>
                    <w:jc w:val="center"/>
                    <w:rPr>
                      <w:rFonts w:hint="eastAsia"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rPr>
                    <w:t>/</w:t>
                  </w:r>
                </w:p>
              </w:tc>
              <w:tc>
                <w:tcPr>
                  <w:tcW w:w="528" w:type="pct"/>
                  <w:noWrap w:val="0"/>
                  <w:vAlign w:val="center"/>
                </w:tcPr>
                <w:p w14:paraId="67CFB673">
                  <w:pPr>
                    <w:pStyle w:val="78"/>
                    <w:ind w:left="43" w:right="35"/>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648" w:type="pct"/>
                  <w:noWrap w:val="0"/>
                  <w:vAlign w:val="center"/>
                </w:tcPr>
                <w:p w14:paraId="7181CB5E">
                  <w:pPr>
                    <w:pStyle w:val="78"/>
                    <w:ind w:right="35"/>
                    <w:jc w:val="center"/>
                    <w:rPr>
                      <w:rFonts w:hint="eastAsia"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eastAsia="zh-CN"/>
                    </w:rPr>
                    <w:t>试验</w:t>
                  </w:r>
                  <w:r>
                    <w:rPr>
                      <w:rFonts w:hint="eastAsia" w:ascii="Times New Roman" w:hAnsi="Times New Roman" w:cs="Times New Roman"/>
                      <w:color w:val="auto"/>
                      <w:szCs w:val="21"/>
                      <w:highlight w:val="none"/>
                      <w:lang w:val="en-US"/>
                    </w:rPr>
                    <w:t>弃料</w:t>
                  </w:r>
                </w:p>
              </w:tc>
              <w:tc>
                <w:tcPr>
                  <w:tcW w:w="640" w:type="pct"/>
                  <w:noWrap w:val="0"/>
                  <w:vAlign w:val="center"/>
                </w:tcPr>
                <w:p w14:paraId="55082A1C">
                  <w:pPr>
                    <w:pStyle w:val="78"/>
                    <w:ind w:left="43" w:right="35"/>
                    <w:jc w:val="center"/>
                    <w:rPr>
                      <w:rFonts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rPr>
                    <w:t>固态/液态</w:t>
                  </w:r>
                </w:p>
              </w:tc>
              <w:tc>
                <w:tcPr>
                  <w:tcW w:w="400" w:type="pct"/>
                  <w:noWrap w:val="0"/>
                  <w:vAlign w:val="center"/>
                </w:tcPr>
                <w:p w14:paraId="6890009B">
                  <w:pPr>
                    <w:pStyle w:val="78"/>
                    <w:ind w:left="43" w:right="35"/>
                    <w:jc w:val="center"/>
                    <w:rPr>
                      <w:rFonts w:hint="eastAsia"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rPr>
                    <w:t>/</w:t>
                  </w:r>
                </w:p>
              </w:tc>
              <w:tc>
                <w:tcPr>
                  <w:tcW w:w="782" w:type="pct"/>
                  <w:noWrap w:val="0"/>
                  <w:vAlign w:val="center"/>
                </w:tcPr>
                <w:p w14:paraId="21F3F463">
                  <w:pPr>
                    <w:pStyle w:val="78"/>
                    <w:ind w:left="43" w:right="35"/>
                    <w:jc w:val="center"/>
                    <w:rPr>
                      <w:rFonts w:hint="eastAsia" w:ascii="Times New Roman" w:hAnsi="Times New Roman" w:cs="Times New Roman"/>
                      <w:color w:val="auto"/>
                      <w:szCs w:val="21"/>
                      <w:highlight w:val="none"/>
                      <w:lang w:val="en-US"/>
                    </w:rPr>
                  </w:pPr>
                  <w:r>
                    <w:rPr>
                      <w:rFonts w:hint="eastAsia"/>
                      <w:color w:val="auto"/>
                      <w:szCs w:val="21"/>
                      <w:highlight w:val="none"/>
                    </w:rPr>
                    <w:t>委托建筑垃圾清运公司运输、处理</w:t>
                  </w:r>
                </w:p>
              </w:tc>
            </w:tr>
            <w:tr w14:paraId="291AC1C1">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591" w:hRule="atLeast"/>
                <w:jc w:val="center"/>
              </w:trPr>
              <w:tc>
                <w:tcPr>
                  <w:tcW w:w="292" w:type="pct"/>
                  <w:noWrap w:val="0"/>
                  <w:vAlign w:val="center"/>
                </w:tcPr>
                <w:p w14:paraId="47DCA132">
                  <w:pPr>
                    <w:pStyle w:val="78"/>
                    <w:ind w:right="35"/>
                    <w:jc w:val="center"/>
                    <w:rPr>
                      <w:rFonts w:hint="eastAsia"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rPr>
                    <w:t>3</w:t>
                  </w:r>
                </w:p>
              </w:tc>
              <w:tc>
                <w:tcPr>
                  <w:tcW w:w="600" w:type="pct"/>
                  <w:noWrap w:val="0"/>
                  <w:vAlign w:val="center"/>
                </w:tcPr>
                <w:p w14:paraId="76C4C12A">
                  <w:pPr>
                    <w:jc w:val="center"/>
                    <w:rPr>
                      <w:rFonts w:hint="eastAsia" w:eastAsia="宋体"/>
                      <w:color w:val="auto"/>
                      <w:szCs w:val="21"/>
                      <w:highlight w:val="none"/>
                      <w:lang w:eastAsia="zh-CN"/>
                    </w:rPr>
                  </w:pPr>
                  <w:r>
                    <w:rPr>
                      <w:color w:val="auto"/>
                      <w:szCs w:val="21"/>
                      <w:highlight w:val="none"/>
                    </w:rPr>
                    <w:t>废</w:t>
                  </w:r>
                  <w:r>
                    <w:rPr>
                      <w:rFonts w:hint="eastAsia"/>
                      <w:color w:val="auto"/>
                      <w:szCs w:val="21"/>
                      <w:highlight w:val="none"/>
                      <w:lang w:eastAsia="zh-CN"/>
                    </w:rPr>
                    <w:t>活性炭</w:t>
                  </w:r>
                </w:p>
              </w:tc>
              <w:tc>
                <w:tcPr>
                  <w:tcW w:w="489" w:type="pct"/>
                  <w:noWrap w:val="0"/>
                  <w:vAlign w:val="center"/>
                </w:tcPr>
                <w:p w14:paraId="21D4E85A">
                  <w:pPr>
                    <w:pStyle w:val="78"/>
                    <w:ind w:right="35"/>
                    <w:jc w:val="center"/>
                    <w:rPr>
                      <w:rFonts w:hint="eastAsia" w:ascii="Times New Roman" w:hAnsi="Times New Roman" w:eastAsia="宋体" w:cs="Times New Roman"/>
                      <w:color w:val="auto"/>
                      <w:szCs w:val="21"/>
                      <w:highlight w:val="none"/>
                      <w:lang w:val="en-US"/>
                    </w:rPr>
                  </w:pPr>
                  <w:r>
                    <w:rPr>
                      <w:rFonts w:hint="eastAsia" w:ascii="Times New Roman" w:hAnsi="Times New Roman" w:eastAsia="宋体" w:cs="Times New Roman"/>
                      <w:color w:val="auto"/>
                      <w:szCs w:val="21"/>
                      <w:highlight w:val="none"/>
                      <w:lang w:val="en-US"/>
                    </w:rPr>
                    <w:t>HW49</w:t>
                  </w:r>
                </w:p>
              </w:tc>
              <w:tc>
                <w:tcPr>
                  <w:tcW w:w="616" w:type="pct"/>
                  <w:noWrap w:val="0"/>
                  <w:vAlign w:val="center"/>
                </w:tcPr>
                <w:p w14:paraId="57EE9C46">
                  <w:pPr>
                    <w:pStyle w:val="78"/>
                    <w:ind w:right="35"/>
                    <w:jc w:val="center"/>
                    <w:rPr>
                      <w:rFonts w:hint="eastAsia" w:ascii="Times New Roman" w:hAnsi="Times New Roman" w:eastAsia="宋体" w:cs="Times New Roman"/>
                      <w:color w:val="auto"/>
                      <w:szCs w:val="21"/>
                      <w:highlight w:val="none"/>
                      <w:lang w:val="en-US"/>
                    </w:rPr>
                  </w:pPr>
                  <w:r>
                    <w:rPr>
                      <w:rFonts w:hint="eastAsia" w:ascii="Times New Roman" w:hAnsi="Times New Roman" w:eastAsia="宋体" w:cs="Times New Roman"/>
                      <w:color w:val="auto"/>
                      <w:szCs w:val="21"/>
                      <w:highlight w:val="none"/>
                      <w:lang w:val="en-US"/>
                    </w:rPr>
                    <w:t>900-039-49</w:t>
                  </w:r>
                </w:p>
              </w:tc>
              <w:tc>
                <w:tcPr>
                  <w:tcW w:w="528" w:type="pct"/>
                  <w:noWrap w:val="0"/>
                  <w:vAlign w:val="center"/>
                </w:tcPr>
                <w:p w14:paraId="64F0753A">
                  <w:pPr>
                    <w:pStyle w:val="78"/>
                    <w:ind w:left="43" w:right="35"/>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0.5000</w:t>
                  </w:r>
                  <w:r>
                    <w:rPr>
                      <w:rFonts w:hint="eastAsia" w:ascii="Times New Roman" w:hAnsi="Times New Roman" w:cs="Times New Roman"/>
                      <w:color w:val="auto"/>
                      <w:szCs w:val="21"/>
                      <w:highlight w:val="none"/>
                      <w:lang w:val="en-US" w:eastAsia="zh-CN"/>
                    </w:rPr>
                    <w:t>293</w:t>
                  </w:r>
                </w:p>
              </w:tc>
              <w:tc>
                <w:tcPr>
                  <w:tcW w:w="648" w:type="pct"/>
                  <w:noWrap w:val="0"/>
                  <w:vAlign w:val="center"/>
                </w:tcPr>
                <w:p w14:paraId="3AB0135B">
                  <w:pPr>
                    <w:pStyle w:val="78"/>
                    <w:ind w:left="43" w:right="35"/>
                    <w:jc w:val="center"/>
                    <w:rPr>
                      <w:rFonts w:hint="eastAsia"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rPr>
                    <w:t>废气处理</w:t>
                  </w:r>
                </w:p>
              </w:tc>
              <w:tc>
                <w:tcPr>
                  <w:tcW w:w="640" w:type="pct"/>
                  <w:noWrap w:val="0"/>
                  <w:vAlign w:val="center"/>
                </w:tcPr>
                <w:p w14:paraId="36092A4B">
                  <w:pPr>
                    <w:pStyle w:val="78"/>
                    <w:ind w:left="43" w:right="35"/>
                    <w:jc w:val="center"/>
                    <w:rPr>
                      <w:rFonts w:hint="eastAsia" w:ascii="Times New Roman" w:hAnsi="Times New Roman" w:cs="Times New Roman"/>
                      <w:color w:val="auto"/>
                      <w:szCs w:val="21"/>
                      <w:highlight w:val="none"/>
                      <w:lang w:val="en-US"/>
                    </w:rPr>
                  </w:pPr>
                  <w:r>
                    <w:rPr>
                      <w:rFonts w:ascii="Times New Roman" w:hAnsi="Times New Roman" w:cs="Times New Roman"/>
                      <w:color w:val="auto"/>
                      <w:szCs w:val="21"/>
                      <w:highlight w:val="none"/>
                    </w:rPr>
                    <w:t>固态</w:t>
                  </w:r>
                </w:p>
              </w:tc>
              <w:tc>
                <w:tcPr>
                  <w:tcW w:w="400" w:type="pct"/>
                  <w:noWrap w:val="0"/>
                  <w:vAlign w:val="center"/>
                </w:tcPr>
                <w:p w14:paraId="00E894AA">
                  <w:pPr>
                    <w:pStyle w:val="78"/>
                    <w:ind w:left="43"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T</w:t>
                  </w:r>
                </w:p>
              </w:tc>
              <w:tc>
                <w:tcPr>
                  <w:tcW w:w="782" w:type="pct"/>
                  <w:vMerge w:val="restart"/>
                  <w:noWrap w:val="0"/>
                  <w:vAlign w:val="center"/>
                </w:tcPr>
                <w:p w14:paraId="060C39B3">
                  <w:pPr>
                    <w:pStyle w:val="78"/>
                    <w:ind w:left="43" w:right="35"/>
                    <w:jc w:val="center"/>
                    <w:rPr>
                      <w:rFonts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eastAsia="zh-CN"/>
                    </w:rPr>
                    <w:t>危废贮存库</w:t>
                  </w:r>
                  <w:r>
                    <w:rPr>
                      <w:rFonts w:hint="eastAsia" w:ascii="Times New Roman" w:hAnsi="Times New Roman" w:cs="Times New Roman"/>
                      <w:color w:val="auto"/>
                      <w:szCs w:val="21"/>
                      <w:highlight w:val="none"/>
                      <w:lang w:val="en-US"/>
                    </w:rPr>
                    <w:t>暂存，定期交有资质单位处置</w:t>
                  </w:r>
                </w:p>
              </w:tc>
            </w:tr>
            <w:tr w14:paraId="1803D9D2">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723" w:hRule="atLeast"/>
                <w:jc w:val="center"/>
              </w:trPr>
              <w:tc>
                <w:tcPr>
                  <w:tcW w:w="292" w:type="pct"/>
                  <w:noWrap w:val="0"/>
                  <w:vAlign w:val="center"/>
                </w:tcPr>
                <w:p w14:paraId="3D1D8756">
                  <w:pPr>
                    <w:pStyle w:val="78"/>
                    <w:ind w:right="35"/>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600" w:type="pct"/>
                  <w:noWrap w:val="0"/>
                  <w:vAlign w:val="center"/>
                </w:tcPr>
                <w:p w14:paraId="77F954D4">
                  <w:pPr>
                    <w:pStyle w:val="78"/>
                    <w:ind w:right="35"/>
                    <w:jc w:val="center"/>
                    <w:rPr>
                      <w:rFonts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rPr>
                    <w:t>试验室废液</w:t>
                  </w:r>
                </w:p>
              </w:tc>
              <w:tc>
                <w:tcPr>
                  <w:tcW w:w="489" w:type="pct"/>
                  <w:noWrap w:val="0"/>
                  <w:vAlign w:val="center"/>
                </w:tcPr>
                <w:p w14:paraId="4F106F63">
                  <w:pPr>
                    <w:pStyle w:val="78"/>
                    <w:ind w:right="35"/>
                    <w:jc w:val="center"/>
                    <w:rPr>
                      <w:rFonts w:hint="eastAsia" w:ascii="Times New Roman" w:hAnsi="Times New Roman" w:eastAsia="宋体" w:cs="Times New Roman"/>
                      <w:color w:val="auto"/>
                      <w:szCs w:val="21"/>
                      <w:highlight w:val="none"/>
                      <w:lang w:val="en-US"/>
                    </w:rPr>
                  </w:pPr>
                  <w:r>
                    <w:rPr>
                      <w:rFonts w:hint="eastAsia" w:ascii="Times New Roman" w:hAnsi="Times New Roman" w:eastAsia="宋体" w:cs="Times New Roman"/>
                      <w:color w:val="auto"/>
                      <w:szCs w:val="21"/>
                      <w:highlight w:val="none"/>
                      <w:lang w:val="en-US"/>
                    </w:rPr>
                    <w:t>HW49</w:t>
                  </w:r>
                </w:p>
              </w:tc>
              <w:tc>
                <w:tcPr>
                  <w:tcW w:w="616" w:type="pct"/>
                  <w:noWrap w:val="0"/>
                  <w:vAlign w:val="center"/>
                </w:tcPr>
                <w:p w14:paraId="706124DD">
                  <w:pPr>
                    <w:pStyle w:val="78"/>
                    <w:ind w:right="35"/>
                    <w:jc w:val="center"/>
                    <w:rPr>
                      <w:rFonts w:hint="eastAsia" w:ascii="Times New Roman" w:hAnsi="Times New Roman" w:eastAsia="宋体" w:cs="Times New Roman"/>
                      <w:color w:val="auto"/>
                      <w:szCs w:val="21"/>
                      <w:highlight w:val="none"/>
                      <w:lang w:val="en-US"/>
                    </w:rPr>
                  </w:pPr>
                  <w:r>
                    <w:rPr>
                      <w:rFonts w:hint="eastAsia" w:ascii="Times New Roman" w:hAnsi="Times New Roman" w:eastAsia="宋体" w:cs="Times New Roman"/>
                      <w:color w:val="auto"/>
                      <w:szCs w:val="21"/>
                      <w:highlight w:val="none"/>
                      <w:lang w:val="en-US"/>
                    </w:rPr>
                    <w:t>900-047-49</w:t>
                  </w:r>
                </w:p>
              </w:tc>
              <w:tc>
                <w:tcPr>
                  <w:tcW w:w="528" w:type="pct"/>
                  <w:noWrap w:val="0"/>
                  <w:vAlign w:val="center"/>
                </w:tcPr>
                <w:p w14:paraId="09868E58">
                  <w:pPr>
                    <w:pStyle w:val="78"/>
                    <w:ind w:left="43" w:right="35"/>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0.8</w:t>
                  </w:r>
                </w:p>
              </w:tc>
              <w:tc>
                <w:tcPr>
                  <w:tcW w:w="648" w:type="pct"/>
                  <w:noWrap w:val="0"/>
                  <w:vAlign w:val="center"/>
                </w:tcPr>
                <w:p w14:paraId="786860CA">
                  <w:pPr>
                    <w:pStyle w:val="78"/>
                    <w:ind w:right="35"/>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试验</w:t>
                  </w:r>
                  <w:r>
                    <w:rPr>
                      <w:rFonts w:hint="eastAsia" w:ascii="Times New Roman" w:hAnsi="Times New Roman" w:cs="Times New Roman"/>
                      <w:color w:val="auto"/>
                      <w:szCs w:val="21"/>
                      <w:highlight w:val="none"/>
                      <w:lang w:val="en-US"/>
                    </w:rPr>
                    <w:t>生产</w:t>
                  </w:r>
                </w:p>
              </w:tc>
              <w:tc>
                <w:tcPr>
                  <w:tcW w:w="640" w:type="pct"/>
                  <w:noWrap w:val="0"/>
                  <w:vAlign w:val="center"/>
                </w:tcPr>
                <w:p w14:paraId="79F6B6C6">
                  <w:pPr>
                    <w:pStyle w:val="78"/>
                    <w:ind w:left="43" w:right="35"/>
                    <w:jc w:val="center"/>
                    <w:rPr>
                      <w:rFonts w:hint="eastAsia"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rPr>
                    <w:t>液体</w:t>
                  </w:r>
                </w:p>
              </w:tc>
              <w:tc>
                <w:tcPr>
                  <w:tcW w:w="400" w:type="pct"/>
                  <w:vMerge w:val="restart"/>
                  <w:noWrap w:val="0"/>
                  <w:vAlign w:val="center"/>
                </w:tcPr>
                <w:p w14:paraId="386F03A7">
                  <w:pPr>
                    <w:pStyle w:val="78"/>
                    <w:ind w:left="43"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I</w:t>
                  </w:r>
                </w:p>
                <w:p w14:paraId="63BFED20">
                  <w:pPr>
                    <w:pStyle w:val="78"/>
                    <w:ind w:left="43" w:leftChars="0" w:right="35" w:rightChars="0"/>
                    <w:jc w:val="center"/>
                    <w:rPr>
                      <w:rFonts w:ascii="Times New Roman" w:hAnsi="Times New Roman" w:cs="Times New Roman"/>
                      <w:color w:val="auto"/>
                      <w:szCs w:val="21"/>
                      <w:highlight w:val="none"/>
                    </w:rPr>
                  </w:pPr>
                </w:p>
              </w:tc>
              <w:tc>
                <w:tcPr>
                  <w:tcW w:w="782" w:type="pct"/>
                  <w:vMerge w:val="continue"/>
                  <w:noWrap w:val="0"/>
                  <w:vAlign w:val="center"/>
                </w:tcPr>
                <w:p w14:paraId="659FFB26">
                  <w:pPr>
                    <w:pStyle w:val="78"/>
                    <w:ind w:left="43" w:right="35"/>
                    <w:jc w:val="center"/>
                    <w:rPr>
                      <w:rFonts w:hint="eastAsia" w:ascii="Times New Roman" w:hAnsi="Times New Roman" w:cs="Times New Roman"/>
                      <w:color w:val="auto"/>
                      <w:szCs w:val="21"/>
                      <w:highlight w:val="none"/>
                      <w:lang w:val="en-US"/>
                    </w:rPr>
                  </w:pPr>
                </w:p>
              </w:tc>
            </w:tr>
            <w:tr w14:paraId="34B9B9E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723" w:hRule="atLeast"/>
                <w:jc w:val="center"/>
              </w:trPr>
              <w:tc>
                <w:tcPr>
                  <w:tcW w:w="292" w:type="pct"/>
                  <w:noWrap w:val="0"/>
                  <w:vAlign w:val="center"/>
                </w:tcPr>
                <w:p w14:paraId="51CC7F70">
                  <w:pPr>
                    <w:pStyle w:val="78"/>
                    <w:ind w:right="35"/>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600" w:type="pct"/>
                  <w:noWrap w:val="0"/>
                  <w:vAlign w:val="center"/>
                </w:tcPr>
                <w:p w14:paraId="2BD62EE9">
                  <w:pPr>
                    <w:pStyle w:val="78"/>
                    <w:ind w:right="35"/>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废试剂瓶</w:t>
                  </w:r>
                </w:p>
              </w:tc>
              <w:tc>
                <w:tcPr>
                  <w:tcW w:w="489" w:type="pct"/>
                  <w:noWrap w:val="0"/>
                  <w:vAlign w:val="center"/>
                </w:tcPr>
                <w:p w14:paraId="083D2A56">
                  <w:pPr>
                    <w:pStyle w:val="78"/>
                    <w:ind w:right="35"/>
                    <w:jc w:val="center"/>
                    <w:rPr>
                      <w:rFonts w:hint="eastAsia" w:ascii="Times New Roman" w:hAnsi="Times New Roman" w:eastAsia="宋体" w:cs="Times New Roman"/>
                      <w:color w:val="auto"/>
                      <w:szCs w:val="21"/>
                      <w:highlight w:val="none"/>
                      <w:lang w:val="en-US"/>
                    </w:rPr>
                  </w:pPr>
                  <w:r>
                    <w:rPr>
                      <w:rFonts w:hint="eastAsia" w:ascii="Times New Roman" w:hAnsi="Times New Roman" w:eastAsia="宋体" w:cs="Times New Roman"/>
                      <w:color w:val="auto"/>
                      <w:szCs w:val="21"/>
                      <w:highlight w:val="none"/>
                      <w:lang w:val="en-US"/>
                    </w:rPr>
                    <w:t>HW49</w:t>
                  </w:r>
                </w:p>
              </w:tc>
              <w:tc>
                <w:tcPr>
                  <w:tcW w:w="616" w:type="pct"/>
                  <w:noWrap w:val="0"/>
                  <w:vAlign w:val="center"/>
                </w:tcPr>
                <w:p w14:paraId="7F99C626">
                  <w:pPr>
                    <w:pStyle w:val="78"/>
                    <w:ind w:right="35"/>
                    <w:jc w:val="center"/>
                    <w:rPr>
                      <w:rFonts w:hint="eastAsia" w:ascii="Times New Roman" w:hAnsi="Times New Roman" w:eastAsia="宋体" w:cs="Times New Roman"/>
                      <w:color w:val="auto"/>
                      <w:szCs w:val="21"/>
                      <w:highlight w:val="none"/>
                      <w:lang w:val="en-US"/>
                    </w:rPr>
                  </w:pPr>
                  <w:r>
                    <w:rPr>
                      <w:rFonts w:hint="eastAsia" w:ascii="Times New Roman" w:hAnsi="Times New Roman" w:eastAsia="宋体" w:cs="Times New Roman"/>
                      <w:color w:val="auto"/>
                      <w:szCs w:val="21"/>
                      <w:highlight w:val="none"/>
                      <w:lang w:val="en-US"/>
                    </w:rPr>
                    <w:t>900-047-49</w:t>
                  </w:r>
                </w:p>
              </w:tc>
              <w:tc>
                <w:tcPr>
                  <w:tcW w:w="528" w:type="pct"/>
                  <w:noWrap w:val="0"/>
                  <w:vAlign w:val="center"/>
                </w:tcPr>
                <w:p w14:paraId="3103399C">
                  <w:pPr>
                    <w:pStyle w:val="78"/>
                    <w:ind w:left="43" w:right="35"/>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0.02</w:t>
                  </w:r>
                </w:p>
              </w:tc>
              <w:tc>
                <w:tcPr>
                  <w:tcW w:w="648" w:type="pct"/>
                  <w:noWrap w:val="0"/>
                  <w:vAlign w:val="center"/>
                </w:tcPr>
                <w:p w14:paraId="7626D927">
                  <w:pPr>
                    <w:pStyle w:val="78"/>
                    <w:ind w:right="35"/>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试验</w:t>
                  </w:r>
                  <w:r>
                    <w:rPr>
                      <w:rFonts w:hint="eastAsia" w:ascii="Times New Roman" w:hAnsi="Times New Roman" w:cs="Times New Roman"/>
                      <w:color w:val="auto"/>
                      <w:szCs w:val="21"/>
                      <w:highlight w:val="none"/>
                      <w:lang w:val="en-US"/>
                    </w:rPr>
                    <w:t>生产</w:t>
                  </w:r>
                </w:p>
              </w:tc>
              <w:tc>
                <w:tcPr>
                  <w:tcW w:w="640" w:type="pct"/>
                  <w:noWrap w:val="0"/>
                  <w:vAlign w:val="center"/>
                </w:tcPr>
                <w:p w14:paraId="6A9A7E0B">
                  <w:pPr>
                    <w:pStyle w:val="78"/>
                    <w:ind w:left="43" w:right="35"/>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固体</w:t>
                  </w:r>
                </w:p>
              </w:tc>
              <w:tc>
                <w:tcPr>
                  <w:tcW w:w="400" w:type="pct"/>
                  <w:vMerge w:val="continue"/>
                  <w:noWrap w:val="0"/>
                  <w:vAlign w:val="center"/>
                </w:tcPr>
                <w:p w14:paraId="44823B54">
                  <w:pPr>
                    <w:pStyle w:val="78"/>
                    <w:ind w:left="43" w:leftChars="0" w:right="35" w:rightChars="0"/>
                    <w:jc w:val="center"/>
                    <w:rPr>
                      <w:rFonts w:ascii="Times New Roman" w:hAnsi="Times New Roman" w:cs="Times New Roman"/>
                      <w:color w:val="auto"/>
                      <w:szCs w:val="21"/>
                      <w:highlight w:val="none"/>
                    </w:rPr>
                  </w:pPr>
                </w:p>
              </w:tc>
              <w:tc>
                <w:tcPr>
                  <w:tcW w:w="782" w:type="pct"/>
                  <w:vMerge w:val="continue"/>
                  <w:noWrap w:val="0"/>
                  <w:vAlign w:val="center"/>
                </w:tcPr>
                <w:p w14:paraId="60F7DC9C">
                  <w:pPr>
                    <w:pStyle w:val="78"/>
                    <w:ind w:left="43" w:right="35"/>
                    <w:jc w:val="center"/>
                    <w:rPr>
                      <w:rFonts w:hint="eastAsia" w:ascii="Times New Roman" w:hAnsi="Times New Roman" w:cs="Times New Roman"/>
                      <w:color w:val="auto"/>
                      <w:szCs w:val="21"/>
                      <w:highlight w:val="none"/>
                      <w:lang w:val="en-US"/>
                    </w:rPr>
                  </w:pPr>
                </w:p>
              </w:tc>
            </w:tr>
            <w:tr w14:paraId="7A5AA80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723" w:hRule="atLeast"/>
                <w:jc w:val="center"/>
              </w:trPr>
              <w:tc>
                <w:tcPr>
                  <w:tcW w:w="292" w:type="pct"/>
                  <w:noWrap w:val="0"/>
                  <w:vAlign w:val="center"/>
                </w:tcPr>
                <w:p w14:paraId="2707185D">
                  <w:pPr>
                    <w:pStyle w:val="78"/>
                    <w:ind w:right="35"/>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w:t>
                  </w:r>
                </w:p>
              </w:tc>
              <w:tc>
                <w:tcPr>
                  <w:tcW w:w="600" w:type="pct"/>
                  <w:noWrap w:val="0"/>
                  <w:vAlign w:val="center"/>
                </w:tcPr>
                <w:p w14:paraId="3088A71C">
                  <w:pPr>
                    <w:pStyle w:val="78"/>
                    <w:ind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生活垃圾</w:t>
                  </w:r>
                </w:p>
              </w:tc>
              <w:tc>
                <w:tcPr>
                  <w:tcW w:w="489" w:type="pct"/>
                  <w:noWrap w:val="0"/>
                  <w:vAlign w:val="center"/>
                </w:tcPr>
                <w:p w14:paraId="65E78616">
                  <w:pPr>
                    <w:pStyle w:val="78"/>
                    <w:ind w:left="43"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w:t>
                  </w:r>
                </w:p>
              </w:tc>
              <w:tc>
                <w:tcPr>
                  <w:tcW w:w="616" w:type="pct"/>
                  <w:noWrap w:val="0"/>
                  <w:vAlign w:val="center"/>
                </w:tcPr>
                <w:p w14:paraId="431A3084">
                  <w:pPr>
                    <w:pStyle w:val="78"/>
                    <w:ind w:left="43"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w:t>
                  </w:r>
                </w:p>
              </w:tc>
              <w:tc>
                <w:tcPr>
                  <w:tcW w:w="528" w:type="pct"/>
                  <w:noWrap w:val="0"/>
                  <w:vAlign w:val="center"/>
                </w:tcPr>
                <w:p w14:paraId="23D650D4">
                  <w:pPr>
                    <w:pStyle w:val="78"/>
                    <w:ind w:left="43" w:right="35"/>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4.25</w:t>
                  </w:r>
                </w:p>
              </w:tc>
              <w:tc>
                <w:tcPr>
                  <w:tcW w:w="648" w:type="pct"/>
                  <w:noWrap w:val="0"/>
                  <w:vAlign w:val="center"/>
                </w:tcPr>
                <w:p w14:paraId="0F60271C">
                  <w:pPr>
                    <w:pStyle w:val="78"/>
                    <w:ind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职工生活</w:t>
                  </w:r>
                </w:p>
              </w:tc>
              <w:tc>
                <w:tcPr>
                  <w:tcW w:w="640" w:type="pct"/>
                  <w:noWrap w:val="0"/>
                  <w:vAlign w:val="center"/>
                </w:tcPr>
                <w:p w14:paraId="53501AB2">
                  <w:pPr>
                    <w:pStyle w:val="78"/>
                    <w:ind w:left="43"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固态</w:t>
                  </w:r>
                </w:p>
              </w:tc>
              <w:tc>
                <w:tcPr>
                  <w:tcW w:w="400" w:type="pct"/>
                  <w:noWrap w:val="0"/>
                  <w:vAlign w:val="center"/>
                </w:tcPr>
                <w:p w14:paraId="14B57B79">
                  <w:pPr>
                    <w:pStyle w:val="78"/>
                    <w:ind w:left="43" w:right="35"/>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w:t>
                  </w:r>
                </w:p>
              </w:tc>
              <w:tc>
                <w:tcPr>
                  <w:tcW w:w="782" w:type="pct"/>
                  <w:noWrap w:val="0"/>
                  <w:vAlign w:val="center"/>
                </w:tcPr>
                <w:p w14:paraId="3E0065E2">
                  <w:pPr>
                    <w:pStyle w:val="78"/>
                    <w:ind w:left="43" w:right="35"/>
                    <w:jc w:val="center"/>
                    <w:rPr>
                      <w:rFonts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rPr>
                    <w:t>分类收集交环卫部门处理</w:t>
                  </w:r>
                </w:p>
              </w:tc>
            </w:tr>
          </w:tbl>
          <w:p w14:paraId="7EF5F140">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环境管理要求：</w:t>
            </w:r>
          </w:p>
          <w:p w14:paraId="5612D475">
            <w:pPr>
              <w:tabs>
                <w:tab w:val="left" w:pos="2851"/>
              </w:tabs>
              <w:adjustRightInd w:val="0"/>
              <w:snapToGrid w:val="0"/>
              <w:spacing w:line="360" w:lineRule="auto"/>
              <w:ind w:firstLine="480" w:firstLineChars="200"/>
              <w:rPr>
                <w:rFonts w:hint="eastAsia" w:cs="宋体"/>
                <w:color w:val="auto"/>
                <w:kern w:val="0"/>
                <w:sz w:val="24"/>
                <w:lang w:val="en-US" w:eastAsia="zh-CN"/>
              </w:rPr>
            </w:pPr>
            <w:r>
              <w:rPr>
                <w:rFonts w:hint="eastAsia" w:cs="宋体"/>
                <w:color w:val="auto"/>
                <w:kern w:val="0"/>
                <w:sz w:val="24"/>
              </w:rPr>
              <w:t>本环评要求，</w:t>
            </w:r>
            <w:r>
              <w:rPr>
                <w:rFonts w:hint="eastAsia" w:cs="宋体"/>
                <w:color w:val="auto"/>
                <w:kern w:val="0"/>
                <w:sz w:val="24"/>
                <w:lang w:val="en-US" w:eastAsia="zh-CN"/>
              </w:rPr>
              <w:t>建设单位</w:t>
            </w:r>
            <w:r>
              <w:rPr>
                <w:rFonts w:hint="eastAsia" w:cs="宋体"/>
                <w:color w:val="auto"/>
                <w:kern w:val="0"/>
                <w:sz w:val="24"/>
              </w:rPr>
              <w:t>应做好</w:t>
            </w:r>
            <w:r>
              <w:rPr>
                <w:rFonts w:hint="eastAsia" w:cs="宋体"/>
                <w:color w:val="auto"/>
                <w:kern w:val="0"/>
                <w:sz w:val="24"/>
                <w:lang w:val="en-US" w:eastAsia="zh-CN"/>
              </w:rPr>
              <w:t>项目</w:t>
            </w:r>
            <w:r>
              <w:rPr>
                <w:rFonts w:hint="eastAsia" w:cs="宋体"/>
                <w:color w:val="auto"/>
                <w:kern w:val="0"/>
                <w:sz w:val="24"/>
              </w:rPr>
              <w:t>各固废分类收集，严格按照《一般工业固体废物贮存、处置场污染控制标准》（GB18599-2020）</w:t>
            </w:r>
            <w:r>
              <w:rPr>
                <w:rFonts w:hint="eastAsia" w:cs="宋体"/>
                <w:color w:val="auto"/>
                <w:kern w:val="0"/>
                <w:sz w:val="24"/>
                <w:lang w:eastAsia="zh-CN"/>
              </w:rPr>
              <w:t>、</w:t>
            </w:r>
            <w:r>
              <w:rPr>
                <w:rFonts w:hint="eastAsia" w:cs="宋体"/>
                <w:color w:val="auto"/>
                <w:kern w:val="0"/>
                <w:sz w:val="24"/>
              </w:rPr>
              <w:t>《危险废物贮存污染控制标准》（GB18597-2023）要求设置一般固废暂存区</w:t>
            </w:r>
            <w:r>
              <w:rPr>
                <w:rFonts w:hint="eastAsia" w:cs="宋体"/>
                <w:color w:val="auto"/>
                <w:kern w:val="0"/>
                <w:sz w:val="24"/>
                <w:lang w:eastAsia="zh-CN"/>
              </w:rPr>
              <w:t>、危废贮存库</w:t>
            </w:r>
            <w:r>
              <w:rPr>
                <w:rFonts w:hint="eastAsia" w:cs="宋体"/>
                <w:color w:val="auto"/>
                <w:kern w:val="0"/>
                <w:sz w:val="24"/>
              </w:rPr>
              <w:t>；生活垃圾设置垃圾桶</w:t>
            </w:r>
            <w:r>
              <w:rPr>
                <w:rFonts w:hint="eastAsia" w:cs="宋体"/>
                <w:color w:val="auto"/>
                <w:kern w:val="0"/>
                <w:sz w:val="24"/>
                <w:lang w:val="en-US" w:eastAsia="zh-CN"/>
              </w:rPr>
              <w:t>。</w:t>
            </w:r>
          </w:p>
          <w:p w14:paraId="45B5B038">
            <w:pPr>
              <w:tabs>
                <w:tab w:val="left" w:pos="2851"/>
              </w:tabs>
              <w:adjustRightInd w:val="0"/>
              <w:snapToGrid w:val="0"/>
              <w:spacing w:line="360" w:lineRule="auto"/>
              <w:ind w:firstLine="480" w:firstLineChars="200"/>
              <w:rPr>
                <w:rFonts w:hint="eastAsia" w:cs="宋体"/>
                <w:color w:val="auto"/>
                <w:kern w:val="0"/>
                <w:sz w:val="24"/>
                <w:lang w:val="en-US" w:eastAsia="zh-CN"/>
              </w:rPr>
            </w:pPr>
            <w:r>
              <w:rPr>
                <w:rFonts w:hint="eastAsia" w:cs="宋体"/>
                <w:color w:val="auto"/>
                <w:kern w:val="0"/>
                <w:sz w:val="24"/>
              </w:rPr>
              <w:t>根据《危险废物贮存污染控制标准》（GB18597-2023），按要求设置1间</w:t>
            </w:r>
            <w:r>
              <w:rPr>
                <w:rFonts w:hint="eastAsia" w:cs="宋体"/>
                <w:color w:val="auto"/>
                <w:kern w:val="0"/>
                <w:sz w:val="24"/>
                <w:lang w:eastAsia="zh-CN"/>
              </w:rPr>
              <w:t>危废贮存库</w:t>
            </w:r>
            <w:r>
              <w:rPr>
                <w:rFonts w:hint="eastAsia" w:cs="宋体"/>
                <w:color w:val="auto"/>
                <w:kern w:val="0"/>
                <w:sz w:val="24"/>
              </w:rPr>
              <w:t>，并做好防雨、防晒、防渗、防扬散和防火等措施，危废贮存区域为重点防渗区，防止二次污染发生，并应按以下要求对危险废物进行管理。</w:t>
            </w:r>
          </w:p>
          <w:p w14:paraId="1EA62DAB">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危险废物</w:t>
            </w:r>
            <w:r>
              <w:rPr>
                <w:rFonts w:hint="eastAsia" w:cs="宋体"/>
                <w:color w:val="auto"/>
                <w:kern w:val="0"/>
                <w:sz w:val="24"/>
                <w:lang w:eastAsia="zh-CN"/>
              </w:rPr>
              <w:t>贮存库</w:t>
            </w:r>
            <w:r>
              <w:rPr>
                <w:rFonts w:hint="eastAsia" w:cs="宋体"/>
                <w:color w:val="auto"/>
                <w:kern w:val="0"/>
                <w:sz w:val="24"/>
              </w:rPr>
              <w:t>污染控制要求：</w:t>
            </w:r>
          </w:p>
          <w:p w14:paraId="6FD2185F">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①贮存设施应采取必要的防风、防晒、防雨、防漏、防渗、防腐以及其他环境污染防治措施，不应露天堆放危险废物。</w:t>
            </w:r>
          </w:p>
          <w:p w14:paraId="21842741">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②贮存设施应设置必要的贮存分区，避免不相容的危险废物接触、混合。</w:t>
            </w:r>
          </w:p>
          <w:p w14:paraId="1FC42EFC">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③贮存设施应采用坚固的材料建造，表面无裂缝。</w:t>
            </w:r>
          </w:p>
          <w:p w14:paraId="55E9D67B">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eastAsia" w:cs="宋体"/>
                <w:color w:val="auto"/>
                <w:kern w:val="0"/>
                <w:sz w:val="24"/>
                <w:vertAlign w:val="superscript"/>
              </w:rPr>
              <w:t>-7</w:t>
            </w:r>
            <w:r>
              <w:rPr>
                <w:rFonts w:hint="eastAsia" w:cs="宋体"/>
                <w:color w:val="auto"/>
                <w:kern w:val="0"/>
                <w:sz w:val="24"/>
              </w:rPr>
              <w:t>cm/s），或至少2mm厚高密度聚乙烯膜等人工防渗材料（渗透系数不大于10</w:t>
            </w:r>
            <w:r>
              <w:rPr>
                <w:rFonts w:hint="eastAsia" w:cs="宋体"/>
                <w:color w:val="auto"/>
                <w:kern w:val="0"/>
                <w:sz w:val="24"/>
                <w:vertAlign w:val="superscript"/>
              </w:rPr>
              <w:t>-10</w:t>
            </w:r>
            <w:r>
              <w:rPr>
                <w:rFonts w:hint="eastAsia" w:cs="宋体"/>
                <w:color w:val="auto"/>
                <w:kern w:val="0"/>
                <w:sz w:val="24"/>
              </w:rPr>
              <w:t>cm/s），或其他防渗性能等效的材料。</w:t>
            </w:r>
          </w:p>
          <w:p w14:paraId="4984EAAB">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⑤同一贮存设施宜采用相同的防渗、防腐工艺（包括防渗、防腐结构或材料），防渗、防腐材料应覆盖所有可能与废物及其渗滤液、渗漏液等接触的构筑物表面；采用不同防渗、防腐工艺应分别建设贮存分区。</w:t>
            </w:r>
          </w:p>
          <w:p w14:paraId="3CB40B28">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⑥贮存设施应采取技术和管理措施防止无关人员进入。</w:t>
            </w:r>
          </w:p>
          <w:p w14:paraId="41F15A9A">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贮存过程污染控制要求：</w:t>
            </w:r>
          </w:p>
          <w:p w14:paraId="6F9EE59D">
            <w:pPr>
              <w:tabs>
                <w:tab w:val="left" w:pos="2851"/>
              </w:tabs>
              <w:adjustRightInd w:val="0"/>
              <w:snapToGrid w:val="0"/>
              <w:spacing w:line="360" w:lineRule="auto"/>
              <w:ind w:firstLine="480" w:firstLineChars="200"/>
              <w:rPr>
                <w:rFonts w:hint="eastAsia" w:eastAsia="宋体" w:cs="宋体"/>
                <w:color w:val="auto"/>
                <w:kern w:val="0"/>
                <w:sz w:val="24"/>
                <w:lang w:eastAsia="zh-CN"/>
              </w:rPr>
            </w:pPr>
            <w:r>
              <w:rPr>
                <w:rFonts w:hint="eastAsia" w:cs="宋体"/>
                <w:color w:val="auto"/>
                <w:kern w:val="0"/>
                <w:sz w:val="24"/>
              </w:rPr>
              <w:t>①危险固废应分类堆存，不相容的危险废物必须分开存放，并设有隔离间隔断</w:t>
            </w:r>
            <w:r>
              <w:rPr>
                <w:rFonts w:hint="eastAsia" w:cs="宋体"/>
                <w:color w:val="auto"/>
                <w:kern w:val="0"/>
                <w:sz w:val="24"/>
                <w:lang w:eastAsia="zh-CN"/>
              </w:rPr>
              <w:t>。</w:t>
            </w:r>
          </w:p>
          <w:p w14:paraId="0C170900">
            <w:pPr>
              <w:tabs>
                <w:tab w:val="left" w:pos="2851"/>
              </w:tabs>
              <w:adjustRightInd w:val="0"/>
              <w:snapToGrid w:val="0"/>
              <w:spacing w:line="360" w:lineRule="auto"/>
              <w:ind w:firstLine="480" w:firstLineChars="200"/>
              <w:rPr>
                <w:rFonts w:hint="eastAsia" w:cs="宋体"/>
                <w:color w:val="auto"/>
                <w:kern w:val="0"/>
                <w:sz w:val="24"/>
                <w:lang w:eastAsia="zh-CN"/>
              </w:rPr>
            </w:pPr>
            <w:r>
              <w:rPr>
                <w:rFonts w:hint="eastAsia" w:cs="宋体"/>
                <w:color w:val="auto"/>
                <w:kern w:val="0"/>
                <w:sz w:val="24"/>
              </w:rPr>
              <w:t>②</w:t>
            </w:r>
            <w:r>
              <w:rPr>
                <w:rFonts w:hint="eastAsia" w:cs="宋体"/>
                <w:color w:val="auto"/>
                <w:kern w:val="0"/>
                <w:sz w:val="24"/>
                <w:lang w:val="en-US" w:eastAsia="zh-CN"/>
              </w:rPr>
              <w:t>危废贮存库</w:t>
            </w:r>
            <w:r>
              <w:rPr>
                <w:rFonts w:hint="eastAsia" w:cs="宋体"/>
                <w:color w:val="auto"/>
                <w:kern w:val="0"/>
                <w:sz w:val="24"/>
              </w:rPr>
              <w:t>应按照《危险废物贮存污染控制标准》（GB 18597-2023）和《</w:t>
            </w:r>
            <w:r>
              <w:rPr>
                <w:rFonts w:hint="eastAsia" w:cs="宋体"/>
                <w:color w:val="auto"/>
                <w:kern w:val="0"/>
                <w:sz w:val="24"/>
                <w:lang w:val="en-US" w:eastAsia="zh-CN"/>
              </w:rPr>
              <w:t>危险废物识别标志设置技术规范</w:t>
            </w:r>
            <w:r>
              <w:rPr>
                <w:rFonts w:hint="eastAsia" w:cs="宋体"/>
                <w:color w:val="auto"/>
                <w:kern w:val="0"/>
                <w:sz w:val="24"/>
              </w:rPr>
              <w:t>》（</w:t>
            </w:r>
            <w:r>
              <w:rPr>
                <w:rFonts w:hint="eastAsia" w:cs="宋体"/>
                <w:color w:val="auto"/>
                <w:kern w:val="0"/>
                <w:sz w:val="24"/>
                <w:lang w:val="en-US" w:eastAsia="zh-CN"/>
              </w:rPr>
              <w:t>HJ 1276-2022</w:t>
            </w:r>
            <w:r>
              <w:rPr>
                <w:rFonts w:hint="eastAsia" w:cs="宋体"/>
                <w:color w:val="auto"/>
                <w:kern w:val="0"/>
                <w:sz w:val="24"/>
              </w:rPr>
              <w:t>）等要求设置规范的标识、标牌</w:t>
            </w:r>
            <w:r>
              <w:rPr>
                <w:rFonts w:hint="eastAsia" w:cs="宋体"/>
                <w:color w:val="auto"/>
                <w:kern w:val="0"/>
                <w:sz w:val="24"/>
                <w:lang w:eastAsia="zh-CN"/>
              </w:rPr>
              <w:t>。</w:t>
            </w:r>
          </w:p>
          <w:p w14:paraId="57500A3D">
            <w:pPr>
              <w:tabs>
                <w:tab w:val="left" w:pos="2851"/>
              </w:tabs>
              <w:adjustRightInd w:val="0"/>
              <w:snapToGrid w:val="0"/>
              <w:spacing w:line="360" w:lineRule="auto"/>
              <w:ind w:firstLine="480" w:firstLineChars="200"/>
              <w:rPr>
                <w:rFonts w:hint="eastAsia" w:eastAsia="宋体" w:cs="宋体"/>
                <w:color w:val="auto"/>
                <w:kern w:val="0"/>
                <w:sz w:val="24"/>
                <w:lang w:eastAsia="zh-CN"/>
              </w:rPr>
            </w:pPr>
            <w:r>
              <w:rPr>
                <w:rFonts w:hint="eastAsia" w:cs="宋体"/>
                <w:color w:val="auto"/>
                <w:kern w:val="0"/>
                <w:sz w:val="24"/>
              </w:rPr>
              <w:t>③运行期间，应按国家有关标准和规定建立危险废物管理台账并保存</w:t>
            </w:r>
            <w:r>
              <w:rPr>
                <w:rFonts w:hint="eastAsia" w:cs="宋体"/>
                <w:color w:val="auto"/>
                <w:kern w:val="0"/>
                <w:sz w:val="24"/>
                <w:lang w:eastAsia="zh-CN"/>
              </w:rPr>
              <w:t>。</w:t>
            </w:r>
          </w:p>
          <w:p w14:paraId="0A6687CD">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④建立贮存设施环境管理制度、管理人员岗位职责制度、设施运行操作制度、人员岗位培训制度等。</w:t>
            </w:r>
          </w:p>
          <w:p w14:paraId="1C3A2C0E">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lang w:val="en-US" w:eastAsia="zh-CN"/>
              </w:rPr>
              <w:t>危废</w:t>
            </w:r>
            <w:r>
              <w:rPr>
                <w:rFonts w:hint="eastAsia" w:cs="宋体"/>
                <w:color w:val="auto"/>
                <w:kern w:val="0"/>
                <w:sz w:val="24"/>
                <w:lang w:eastAsia="zh-CN"/>
              </w:rPr>
              <w:t>贮存库</w:t>
            </w:r>
            <w:r>
              <w:rPr>
                <w:rFonts w:hint="eastAsia" w:cs="宋体"/>
                <w:color w:val="auto"/>
                <w:kern w:val="0"/>
                <w:sz w:val="24"/>
              </w:rPr>
              <w:t>环境管理要求：</w:t>
            </w:r>
          </w:p>
          <w:p w14:paraId="53BF6A3D">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①</w:t>
            </w:r>
            <w:r>
              <w:rPr>
                <w:rFonts w:hint="eastAsia" w:cs="宋体"/>
                <w:color w:val="auto"/>
                <w:kern w:val="0"/>
                <w:sz w:val="24"/>
                <w:lang w:eastAsia="zh-CN"/>
              </w:rPr>
              <w:t>贮存库</w:t>
            </w:r>
            <w:r>
              <w:rPr>
                <w:rFonts w:hint="eastAsia" w:cs="宋体"/>
                <w:color w:val="auto"/>
                <w:kern w:val="0"/>
                <w:sz w:val="24"/>
              </w:rPr>
              <w:t xml:space="preserve">应具有固定的区域边界，采取防风、防雨、防晒和防止危险废物流失、扬散等措施，危险废物应置于容器或包装物中，不应直接散堆； </w:t>
            </w:r>
          </w:p>
          <w:p w14:paraId="73C39F9C">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②危险废物产生单位在转移危险废物前，须按照国家有关规定报批危险废物转移计划；经批准后，产生单位应当向移出地环境保护行政主管部门申请领取联单。联单保存期限为</w:t>
            </w:r>
            <w:r>
              <w:rPr>
                <w:rFonts w:hint="eastAsia" w:cs="宋体"/>
                <w:color w:val="auto"/>
                <w:kern w:val="0"/>
                <w:sz w:val="24"/>
                <w:lang w:val="en-US" w:eastAsia="zh-CN"/>
              </w:rPr>
              <w:t>十</w:t>
            </w:r>
            <w:r>
              <w:rPr>
                <w:rFonts w:hint="eastAsia" w:cs="宋体"/>
                <w:color w:val="auto"/>
                <w:kern w:val="0"/>
                <w:sz w:val="24"/>
              </w:rPr>
              <w:t>年。</w:t>
            </w:r>
          </w:p>
          <w:p w14:paraId="6E8964F3">
            <w:pPr>
              <w:tabs>
                <w:tab w:val="left" w:pos="2851"/>
              </w:tabs>
              <w:adjustRightInd w:val="0"/>
              <w:snapToGrid w:val="0"/>
              <w:spacing w:line="360" w:lineRule="auto"/>
              <w:ind w:firstLine="480" w:firstLineChars="200"/>
              <w:rPr>
                <w:rFonts w:hint="eastAsia" w:cs="宋体"/>
                <w:color w:val="auto"/>
                <w:kern w:val="0"/>
                <w:sz w:val="24"/>
              </w:rPr>
            </w:pPr>
            <w:r>
              <w:rPr>
                <w:rFonts w:hint="eastAsia" w:cs="宋体"/>
                <w:color w:val="auto"/>
                <w:kern w:val="0"/>
                <w:sz w:val="24"/>
              </w:rPr>
              <w:t>③</w:t>
            </w:r>
            <w:r>
              <w:rPr>
                <w:rFonts w:hint="eastAsia" w:cs="宋体"/>
                <w:color w:val="auto"/>
                <w:kern w:val="0"/>
                <w:sz w:val="24"/>
                <w:lang w:val="en-US" w:eastAsia="zh-CN"/>
              </w:rPr>
              <w:t>贮存场所处粘贴危险废物标签，并作好相应的记录。危险废物由危废处置单位定期清运处理，包装容器为密封容器，容器上粘贴标签，注明种类、成分、危险类别、产地、禁忌与安全措施等，并采用专用密闭车辆，保证运输过程无泄漏。</w:t>
            </w:r>
          </w:p>
          <w:p w14:paraId="29D51872">
            <w:pPr>
              <w:tabs>
                <w:tab w:val="left" w:pos="2851"/>
              </w:tabs>
              <w:adjustRightInd w:val="0"/>
              <w:snapToGrid w:val="0"/>
              <w:spacing w:line="360" w:lineRule="auto"/>
              <w:ind w:firstLine="480" w:firstLineChars="200"/>
              <w:rPr>
                <w:b/>
                <w:color w:val="auto"/>
                <w:sz w:val="24"/>
              </w:rPr>
            </w:pPr>
            <w:r>
              <w:rPr>
                <w:rFonts w:hint="eastAsia" w:cs="宋体"/>
                <w:color w:val="auto"/>
                <w:kern w:val="0"/>
                <w:sz w:val="24"/>
              </w:rPr>
              <w:t>以上处置措施可保证项目产生的一般固废和危险废物均能得到安全和妥善的处理，不会因长期堆放而对周围环境造成不利影响，固废处置措施有效可行，能够做到资源化、无害化，不对外随意排放。综上所述，固体废弃物均得到妥善处理，对环境产生的影响较小。</w:t>
            </w:r>
          </w:p>
          <w:p w14:paraId="25EB4298">
            <w:pPr>
              <w:tabs>
                <w:tab w:val="left" w:pos="2851"/>
              </w:tabs>
              <w:adjustRightInd w:val="0"/>
              <w:snapToGrid w:val="0"/>
              <w:spacing w:line="360" w:lineRule="auto"/>
              <w:ind w:firstLine="442" w:firstLineChars="200"/>
              <w:rPr>
                <w:rFonts w:hint="default" w:eastAsia="宋体"/>
                <w:b/>
                <w:color w:val="auto"/>
                <w:spacing w:val="-10"/>
                <w:sz w:val="24"/>
                <w:lang w:val="en-US" w:eastAsia="zh-CN"/>
              </w:rPr>
            </w:pPr>
            <w:r>
              <w:rPr>
                <w:rFonts w:hint="eastAsia"/>
                <w:b/>
                <w:color w:val="auto"/>
                <w:spacing w:val="-10"/>
                <w:sz w:val="24"/>
                <w:lang w:val="en-US" w:eastAsia="zh-CN"/>
              </w:rPr>
              <w:t>6</w:t>
            </w:r>
            <w:r>
              <w:rPr>
                <w:b/>
                <w:color w:val="auto"/>
                <w:spacing w:val="-10"/>
                <w:sz w:val="24"/>
              </w:rPr>
              <w:t>、地下水</w:t>
            </w:r>
            <w:r>
              <w:rPr>
                <w:rFonts w:hint="eastAsia"/>
                <w:b/>
                <w:color w:val="auto"/>
                <w:spacing w:val="-10"/>
                <w:sz w:val="24"/>
                <w:lang w:eastAsia="zh-CN"/>
              </w:rPr>
              <w:t>、</w:t>
            </w:r>
            <w:r>
              <w:rPr>
                <w:rFonts w:hint="eastAsia"/>
                <w:b/>
                <w:color w:val="auto"/>
                <w:spacing w:val="-10"/>
                <w:sz w:val="24"/>
                <w:lang w:val="en-US" w:eastAsia="zh-CN"/>
              </w:rPr>
              <w:t>土壤</w:t>
            </w:r>
          </w:p>
          <w:p w14:paraId="73704FD7">
            <w:pPr>
              <w:spacing w:line="360" w:lineRule="auto"/>
              <w:ind w:firstLine="480" w:firstLineChars="200"/>
              <w:rPr>
                <w:rFonts w:hint="eastAsia"/>
                <w:color w:val="auto"/>
                <w:kern w:val="0"/>
                <w:sz w:val="24"/>
                <w:lang w:val="de-DE"/>
              </w:rPr>
            </w:pPr>
            <w:r>
              <w:rPr>
                <w:rFonts w:hint="eastAsia"/>
                <w:color w:val="auto"/>
                <w:kern w:val="0"/>
                <w:sz w:val="24"/>
                <w:lang w:val="de-DE"/>
              </w:rPr>
              <w:t>本项目的建设不涉及地下水开采，不会影响当地地下水水位，不会产生地面沉降、塌陷等不良水文地质灾害，不会对地下水环境质量造成显著的不利影响。</w:t>
            </w:r>
          </w:p>
          <w:p w14:paraId="0AEEE647">
            <w:pPr>
              <w:tabs>
                <w:tab w:val="left" w:pos="2582"/>
              </w:tabs>
              <w:spacing w:line="360" w:lineRule="auto"/>
              <w:ind w:firstLine="480" w:firstLineChars="200"/>
              <w:jc w:val="left"/>
              <w:rPr>
                <w:rFonts w:hint="eastAsia"/>
                <w:color w:val="auto"/>
                <w:kern w:val="0"/>
                <w:sz w:val="24"/>
                <w:lang w:val="de-DE"/>
              </w:rPr>
            </w:pPr>
            <w:r>
              <w:rPr>
                <w:rFonts w:hint="eastAsia"/>
                <w:color w:val="auto"/>
                <w:kern w:val="0"/>
                <w:sz w:val="24"/>
                <w:lang w:val="de-DE"/>
              </w:rPr>
              <w:t>本项目运行时涉及的地面会做好硬化防渗防腐工作，且项目地不存在地下水环境保护目标，故不存在地下水、土壤污染途径，不会对地下水、土壤环境造成不利影响。</w:t>
            </w:r>
          </w:p>
          <w:p w14:paraId="126DD00E">
            <w:pPr>
              <w:tabs>
                <w:tab w:val="left" w:pos="2582"/>
              </w:tabs>
              <w:spacing w:line="360" w:lineRule="auto"/>
              <w:ind w:firstLine="442" w:firstLineChars="200"/>
              <w:jc w:val="left"/>
              <w:rPr>
                <w:b/>
                <w:color w:val="auto"/>
                <w:spacing w:val="-10"/>
                <w:sz w:val="24"/>
              </w:rPr>
            </w:pPr>
            <w:r>
              <w:rPr>
                <w:rFonts w:hint="eastAsia"/>
                <w:b/>
                <w:color w:val="auto"/>
                <w:spacing w:val="-10"/>
                <w:sz w:val="24"/>
                <w:lang w:val="en-US" w:eastAsia="zh-CN"/>
              </w:rPr>
              <w:t>7</w:t>
            </w:r>
            <w:r>
              <w:rPr>
                <w:b/>
                <w:color w:val="auto"/>
                <w:spacing w:val="-10"/>
                <w:sz w:val="24"/>
              </w:rPr>
              <w:t>、</w:t>
            </w:r>
            <w:r>
              <w:rPr>
                <w:rFonts w:hint="eastAsia"/>
                <w:b/>
                <w:color w:val="auto"/>
                <w:spacing w:val="-10"/>
                <w:sz w:val="24"/>
              </w:rPr>
              <w:t>环境风险</w:t>
            </w:r>
          </w:p>
          <w:p w14:paraId="451900A4">
            <w:pPr>
              <w:adjustRightInd w:val="0"/>
              <w:snapToGrid w:val="0"/>
              <w:spacing w:line="360" w:lineRule="auto"/>
              <w:ind w:firstLine="480" w:firstLineChars="200"/>
              <w:rPr>
                <w:bCs/>
                <w:color w:val="auto"/>
                <w:sz w:val="24"/>
              </w:rPr>
            </w:pPr>
            <w:r>
              <w:rPr>
                <w:bCs/>
                <w:color w:val="auto"/>
                <w:sz w:val="24"/>
              </w:rPr>
              <w:t>（1）风险物质识别</w:t>
            </w:r>
          </w:p>
          <w:p w14:paraId="1A5A461A">
            <w:pPr>
              <w:adjustRightInd w:val="0"/>
              <w:snapToGrid w:val="0"/>
              <w:spacing w:line="360" w:lineRule="auto"/>
              <w:ind w:firstLine="480" w:firstLineChars="200"/>
              <w:rPr>
                <w:color w:val="auto"/>
                <w:sz w:val="24"/>
              </w:rPr>
            </w:pPr>
            <w:r>
              <w:rPr>
                <w:bCs/>
                <w:color w:val="auto"/>
                <w:sz w:val="24"/>
              </w:rPr>
              <w:t>根据《建设项目环境风险评价技术导则》（HJ169-2018）附录B，对本项目使用的原辅料进行识别，属于风险物质的为</w:t>
            </w:r>
            <w:r>
              <w:rPr>
                <w:rFonts w:hint="eastAsia"/>
                <w:bCs/>
                <w:color w:val="auto"/>
                <w:sz w:val="24"/>
                <w:lang w:val="en-US" w:eastAsia="zh-CN"/>
              </w:rPr>
              <w:t>盐酸和无水乙醇</w:t>
            </w:r>
            <w:r>
              <w:rPr>
                <w:bCs/>
                <w:color w:val="auto"/>
                <w:sz w:val="24"/>
              </w:rPr>
              <w:t>。存储位置为</w:t>
            </w:r>
            <w:r>
              <w:rPr>
                <w:rFonts w:hint="eastAsia"/>
                <w:bCs/>
                <w:color w:val="auto"/>
                <w:sz w:val="24"/>
                <w:lang w:val="en-US" w:eastAsia="zh-CN"/>
              </w:rPr>
              <w:t>化学试验室</w:t>
            </w:r>
            <w:r>
              <w:rPr>
                <w:bCs/>
                <w:color w:val="auto"/>
                <w:sz w:val="24"/>
              </w:rPr>
              <w:t>。</w:t>
            </w:r>
            <w:r>
              <w:rPr>
                <w:rFonts w:hint="eastAsia"/>
                <w:bCs/>
                <w:color w:val="auto"/>
                <w:sz w:val="24"/>
              </w:rPr>
              <w:t>风险物质存在量及临界量见下表：</w:t>
            </w:r>
          </w:p>
          <w:p w14:paraId="0F66E289">
            <w:pPr>
              <w:adjustRightInd w:val="0"/>
              <w:snapToGrid w:val="0"/>
              <w:jc w:val="center"/>
              <w:rPr>
                <w:rFonts w:eastAsia="黑体"/>
                <w:color w:val="auto"/>
                <w:sz w:val="24"/>
                <w:szCs w:val="20"/>
              </w:rPr>
            </w:pPr>
            <w:r>
              <w:rPr>
                <w:b/>
                <w:color w:val="auto"/>
                <w:sz w:val="24"/>
              </w:rPr>
              <w:t>表4-</w:t>
            </w:r>
            <w:r>
              <w:rPr>
                <w:rFonts w:hint="eastAsia"/>
                <w:b/>
                <w:color w:val="auto"/>
                <w:sz w:val="24"/>
              </w:rPr>
              <w:t>1</w:t>
            </w:r>
            <w:r>
              <w:rPr>
                <w:rFonts w:hint="eastAsia"/>
                <w:b/>
                <w:color w:val="auto"/>
                <w:sz w:val="24"/>
                <w:lang w:val="en-US" w:eastAsia="zh-CN"/>
              </w:rPr>
              <w:t>0</w:t>
            </w:r>
            <w:r>
              <w:rPr>
                <w:rFonts w:hint="eastAsia"/>
                <w:b/>
                <w:color w:val="auto"/>
                <w:sz w:val="24"/>
              </w:rPr>
              <w:t xml:space="preserve"> </w:t>
            </w:r>
            <w:r>
              <w:rPr>
                <w:b/>
                <w:color w:val="auto"/>
                <w:sz w:val="24"/>
              </w:rPr>
              <w:t xml:space="preserve"> </w:t>
            </w:r>
            <w:r>
              <w:rPr>
                <w:rFonts w:hint="eastAsia"/>
                <w:b/>
                <w:color w:val="auto"/>
                <w:sz w:val="24"/>
              </w:rPr>
              <w:t>全厂</w:t>
            </w:r>
            <w:r>
              <w:rPr>
                <w:b/>
                <w:color w:val="auto"/>
                <w:sz w:val="24"/>
              </w:rPr>
              <w:t>风险物质存在量一览表</w:t>
            </w:r>
          </w:p>
          <w:tbl>
            <w:tblPr>
              <w:tblStyle w:val="2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14"/>
              <w:gridCol w:w="2020"/>
              <w:gridCol w:w="2020"/>
              <w:gridCol w:w="2021"/>
            </w:tblGrid>
            <w:tr w14:paraId="7F744E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337" w:type="pct"/>
                  <w:vAlign w:val="center"/>
                </w:tcPr>
                <w:p w14:paraId="424DB4E4">
                  <w:pPr>
                    <w:adjustRightInd w:val="0"/>
                    <w:snapToGrid w:val="0"/>
                    <w:jc w:val="center"/>
                    <w:rPr>
                      <w:bCs/>
                      <w:color w:val="auto"/>
                      <w:kern w:val="21"/>
                      <w:szCs w:val="21"/>
                    </w:rPr>
                  </w:pPr>
                  <w:r>
                    <w:rPr>
                      <w:bCs/>
                      <w:color w:val="auto"/>
                      <w:kern w:val="21"/>
                      <w:szCs w:val="21"/>
                    </w:rPr>
                    <w:t>类别</w:t>
                  </w:r>
                </w:p>
              </w:tc>
              <w:tc>
                <w:tcPr>
                  <w:tcW w:w="1220" w:type="pct"/>
                  <w:vAlign w:val="center"/>
                </w:tcPr>
                <w:p w14:paraId="54D534B9">
                  <w:pPr>
                    <w:adjustRightInd w:val="0"/>
                    <w:snapToGrid w:val="0"/>
                    <w:jc w:val="center"/>
                    <w:rPr>
                      <w:bCs/>
                      <w:color w:val="auto"/>
                      <w:szCs w:val="21"/>
                    </w:rPr>
                  </w:pPr>
                  <w:r>
                    <w:rPr>
                      <w:bCs/>
                      <w:color w:val="auto"/>
                      <w:kern w:val="21"/>
                      <w:szCs w:val="21"/>
                    </w:rPr>
                    <w:t>最大贮存量</w:t>
                  </w:r>
                </w:p>
              </w:tc>
              <w:tc>
                <w:tcPr>
                  <w:tcW w:w="1220" w:type="pct"/>
                  <w:vAlign w:val="center"/>
                </w:tcPr>
                <w:p w14:paraId="790E7D1C">
                  <w:pPr>
                    <w:adjustRightInd w:val="0"/>
                    <w:snapToGrid w:val="0"/>
                    <w:jc w:val="center"/>
                    <w:rPr>
                      <w:bCs/>
                      <w:color w:val="auto"/>
                      <w:kern w:val="21"/>
                      <w:szCs w:val="21"/>
                    </w:rPr>
                  </w:pPr>
                  <w:r>
                    <w:rPr>
                      <w:bCs/>
                      <w:color w:val="auto"/>
                      <w:kern w:val="21"/>
                      <w:szCs w:val="21"/>
                    </w:rPr>
                    <w:t>临界量</w:t>
                  </w:r>
                </w:p>
              </w:tc>
              <w:tc>
                <w:tcPr>
                  <w:tcW w:w="1221" w:type="pct"/>
                  <w:vAlign w:val="center"/>
                </w:tcPr>
                <w:p w14:paraId="40F25997">
                  <w:pPr>
                    <w:adjustRightInd w:val="0"/>
                    <w:snapToGrid w:val="0"/>
                    <w:jc w:val="center"/>
                    <w:rPr>
                      <w:bCs/>
                      <w:color w:val="auto"/>
                      <w:kern w:val="21"/>
                      <w:szCs w:val="21"/>
                    </w:rPr>
                  </w:pPr>
                  <w:r>
                    <w:rPr>
                      <w:rFonts w:hint="eastAsia"/>
                      <w:bCs/>
                      <w:color w:val="auto"/>
                      <w:kern w:val="21"/>
                      <w:szCs w:val="21"/>
                    </w:rPr>
                    <w:t>Q值</w:t>
                  </w:r>
                </w:p>
              </w:tc>
            </w:tr>
            <w:tr w14:paraId="43EA50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vAlign w:val="center"/>
                </w:tcPr>
                <w:p w14:paraId="6A209837">
                  <w:pPr>
                    <w:adjustRightInd w:val="0"/>
                    <w:snapToGrid w:val="0"/>
                    <w:jc w:val="center"/>
                    <w:rPr>
                      <w:rFonts w:hint="eastAsia" w:eastAsia="宋体"/>
                      <w:color w:val="auto"/>
                      <w:szCs w:val="21"/>
                      <w:lang w:eastAsia="zh-CN"/>
                    </w:rPr>
                  </w:pPr>
                  <w:r>
                    <w:rPr>
                      <w:rFonts w:hint="eastAsia"/>
                      <w:color w:val="auto"/>
                      <w:szCs w:val="21"/>
                      <w:lang w:val="en-US" w:eastAsia="zh-CN"/>
                    </w:rPr>
                    <w:t>盐酸</w:t>
                  </w:r>
                </w:p>
              </w:tc>
              <w:tc>
                <w:tcPr>
                  <w:tcW w:w="1220" w:type="pct"/>
                  <w:vAlign w:val="center"/>
                </w:tcPr>
                <w:p w14:paraId="1A5D170A">
                  <w:pPr>
                    <w:adjustRightInd w:val="0"/>
                    <w:snapToGrid w:val="0"/>
                    <w:jc w:val="center"/>
                    <w:rPr>
                      <w:color w:val="auto"/>
                      <w:szCs w:val="21"/>
                    </w:rPr>
                  </w:pPr>
                  <w:r>
                    <w:rPr>
                      <w:rFonts w:hint="eastAsia"/>
                      <w:color w:val="auto"/>
                      <w:szCs w:val="21"/>
                    </w:rPr>
                    <w:t>0.</w:t>
                  </w:r>
                  <w:r>
                    <w:rPr>
                      <w:rFonts w:hint="eastAsia"/>
                      <w:color w:val="auto"/>
                      <w:szCs w:val="21"/>
                      <w:lang w:val="en-US" w:eastAsia="zh-CN"/>
                    </w:rPr>
                    <w:t>000702</w:t>
                  </w:r>
                  <w:r>
                    <w:rPr>
                      <w:rFonts w:hint="eastAsia"/>
                      <w:color w:val="auto"/>
                      <w:szCs w:val="21"/>
                    </w:rPr>
                    <w:t>t</w:t>
                  </w:r>
                </w:p>
              </w:tc>
              <w:tc>
                <w:tcPr>
                  <w:tcW w:w="1220" w:type="pct"/>
                  <w:vAlign w:val="center"/>
                </w:tcPr>
                <w:p w14:paraId="0785396E">
                  <w:pPr>
                    <w:adjustRightInd w:val="0"/>
                    <w:snapToGrid w:val="0"/>
                    <w:jc w:val="center"/>
                    <w:rPr>
                      <w:color w:val="auto"/>
                      <w:szCs w:val="21"/>
                    </w:rPr>
                  </w:pPr>
                  <w:r>
                    <w:rPr>
                      <w:rFonts w:hint="eastAsia"/>
                      <w:color w:val="auto"/>
                      <w:szCs w:val="21"/>
                      <w:lang w:val="en-US" w:eastAsia="zh-CN"/>
                    </w:rPr>
                    <w:t>7.5</w:t>
                  </w:r>
                  <w:r>
                    <w:rPr>
                      <w:rFonts w:hint="eastAsia"/>
                      <w:color w:val="auto"/>
                      <w:szCs w:val="21"/>
                    </w:rPr>
                    <w:t>t</w:t>
                  </w:r>
                </w:p>
              </w:tc>
              <w:tc>
                <w:tcPr>
                  <w:tcW w:w="1221" w:type="pct"/>
                  <w:vAlign w:val="center"/>
                </w:tcPr>
                <w:p w14:paraId="42C50CB5">
                  <w:pPr>
                    <w:adjustRightInd w:val="0"/>
                    <w:snapToGrid w:val="0"/>
                    <w:jc w:val="center"/>
                    <w:rPr>
                      <w:rFonts w:hint="default" w:eastAsia="宋体"/>
                      <w:color w:val="auto"/>
                      <w:szCs w:val="21"/>
                      <w:lang w:val="en-US" w:eastAsia="zh-CN"/>
                    </w:rPr>
                  </w:pPr>
                  <w:r>
                    <w:rPr>
                      <w:rFonts w:hint="eastAsia"/>
                      <w:color w:val="auto"/>
                      <w:szCs w:val="21"/>
                    </w:rPr>
                    <w:t>0.000</w:t>
                  </w:r>
                  <w:r>
                    <w:rPr>
                      <w:rFonts w:hint="eastAsia"/>
                      <w:color w:val="auto"/>
                      <w:szCs w:val="21"/>
                      <w:lang w:val="en-US" w:eastAsia="zh-CN"/>
                    </w:rPr>
                    <w:t>0936</w:t>
                  </w:r>
                </w:p>
              </w:tc>
            </w:tr>
            <w:tr w14:paraId="6580CA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vAlign w:val="center"/>
                </w:tcPr>
                <w:p w14:paraId="348451D3">
                  <w:pPr>
                    <w:adjustRightInd w:val="0"/>
                    <w:snapToGrid w:val="0"/>
                    <w:jc w:val="center"/>
                    <w:rPr>
                      <w:rFonts w:hint="default"/>
                      <w:color w:val="auto"/>
                      <w:szCs w:val="21"/>
                      <w:lang w:val="en-US" w:eastAsia="zh-CN"/>
                    </w:rPr>
                  </w:pPr>
                  <w:r>
                    <w:rPr>
                      <w:rFonts w:hint="eastAsia"/>
                      <w:color w:val="auto"/>
                      <w:szCs w:val="21"/>
                      <w:lang w:val="en-US" w:eastAsia="zh-CN"/>
                    </w:rPr>
                    <w:t>无水乙醇</w:t>
                  </w:r>
                </w:p>
              </w:tc>
              <w:tc>
                <w:tcPr>
                  <w:tcW w:w="1220" w:type="pct"/>
                  <w:vAlign w:val="center"/>
                </w:tcPr>
                <w:p w14:paraId="3C33425F">
                  <w:pPr>
                    <w:adjustRightInd w:val="0"/>
                    <w:snapToGrid w:val="0"/>
                    <w:jc w:val="center"/>
                    <w:rPr>
                      <w:rFonts w:hint="default" w:eastAsia="宋体"/>
                      <w:color w:val="auto"/>
                      <w:szCs w:val="21"/>
                      <w:lang w:val="en-US" w:eastAsia="zh-CN"/>
                    </w:rPr>
                  </w:pPr>
                  <w:r>
                    <w:rPr>
                      <w:rFonts w:hint="eastAsia"/>
                      <w:color w:val="auto"/>
                      <w:szCs w:val="21"/>
                      <w:lang w:val="en-US" w:eastAsia="zh-CN"/>
                    </w:rPr>
                    <w:t>0.000395t</w:t>
                  </w:r>
                </w:p>
              </w:tc>
              <w:tc>
                <w:tcPr>
                  <w:tcW w:w="1220" w:type="pct"/>
                  <w:vAlign w:val="center"/>
                </w:tcPr>
                <w:p w14:paraId="3347731A">
                  <w:pPr>
                    <w:adjustRightInd w:val="0"/>
                    <w:snapToGrid w:val="0"/>
                    <w:jc w:val="center"/>
                    <w:rPr>
                      <w:rFonts w:hint="default"/>
                      <w:color w:val="auto"/>
                      <w:szCs w:val="21"/>
                      <w:lang w:val="en-US" w:eastAsia="zh-CN"/>
                    </w:rPr>
                  </w:pPr>
                  <w:r>
                    <w:rPr>
                      <w:rFonts w:hint="eastAsia"/>
                      <w:color w:val="auto"/>
                      <w:szCs w:val="21"/>
                      <w:lang w:val="en-US" w:eastAsia="zh-CN"/>
                    </w:rPr>
                    <w:t>500t</w:t>
                  </w:r>
                </w:p>
              </w:tc>
              <w:tc>
                <w:tcPr>
                  <w:tcW w:w="1221" w:type="pct"/>
                  <w:vAlign w:val="center"/>
                </w:tcPr>
                <w:p w14:paraId="67C35CB2">
                  <w:pPr>
                    <w:adjustRightInd w:val="0"/>
                    <w:snapToGrid w:val="0"/>
                    <w:jc w:val="center"/>
                    <w:rPr>
                      <w:rFonts w:hint="default" w:eastAsia="宋体"/>
                      <w:color w:val="auto"/>
                      <w:szCs w:val="21"/>
                      <w:lang w:val="en-US" w:eastAsia="zh-CN"/>
                    </w:rPr>
                  </w:pPr>
                  <w:r>
                    <w:rPr>
                      <w:rFonts w:hint="eastAsia"/>
                      <w:color w:val="auto"/>
                      <w:szCs w:val="21"/>
                      <w:lang w:val="en-US" w:eastAsia="zh-CN"/>
                    </w:rPr>
                    <w:t>0.000000789</w:t>
                  </w:r>
                </w:p>
              </w:tc>
            </w:tr>
          </w:tbl>
          <w:p w14:paraId="2B9DE0A6">
            <w:pPr>
              <w:adjustRightInd w:val="0"/>
              <w:snapToGrid w:val="0"/>
              <w:spacing w:line="360" w:lineRule="auto"/>
              <w:ind w:firstLine="440" w:firstLineChars="200"/>
              <w:rPr>
                <w:rFonts w:hint="eastAsia"/>
                <w:color w:val="auto"/>
                <w:sz w:val="24"/>
                <w:highlight w:val="none"/>
              </w:rPr>
            </w:pPr>
            <w:r>
              <w:rPr>
                <w:rFonts w:hint="eastAsia"/>
                <w:color w:val="auto"/>
                <w:sz w:val="22"/>
              </w:rPr>
              <w:t>注：乙醇临界量参考《企业突发环境事件分级办法》（HJ941-2018）取值</w:t>
            </w:r>
          </w:p>
          <w:p w14:paraId="7F1129E2">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根据上表计算项目风险物质Q值为</w:t>
            </w:r>
            <w:r>
              <w:rPr>
                <w:rFonts w:hint="eastAsia"/>
                <w:color w:val="auto"/>
                <w:sz w:val="24"/>
                <w:highlight w:val="none"/>
                <w:lang w:val="en-US" w:eastAsia="zh-CN"/>
              </w:rPr>
              <w:t>0.000094389</w:t>
            </w:r>
            <w:r>
              <w:rPr>
                <w:rFonts w:hint="eastAsia"/>
                <w:color w:val="auto"/>
                <w:sz w:val="24"/>
                <w:highlight w:val="none"/>
              </w:rPr>
              <w:t>＜1，故本项目环境风险评价等级为简单分析。</w:t>
            </w:r>
          </w:p>
          <w:p w14:paraId="6D3164DC">
            <w:pPr>
              <w:spacing w:line="360" w:lineRule="auto"/>
              <w:ind w:firstLine="480" w:firstLineChars="200"/>
              <w:rPr>
                <w:color w:val="auto"/>
                <w:sz w:val="24"/>
              </w:rPr>
            </w:pPr>
            <w:r>
              <w:rPr>
                <w:rFonts w:hint="eastAsia"/>
                <w:color w:val="auto"/>
                <w:sz w:val="24"/>
                <w:highlight w:val="none"/>
              </w:rPr>
              <w:t>本项目</w:t>
            </w:r>
            <w:r>
              <w:rPr>
                <w:rFonts w:hint="eastAsia"/>
                <w:color w:val="auto"/>
                <w:sz w:val="24"/>
                <w:highlight w:val="none"/>
                <w:lang w:val="en-US" w:eastAsia="zh-CN"/>
              </w:rPr>
              <w:t>盐酸和无水乙醇</w:t>
            </w:r>
            <w:r>
              <w:rPr>
                <w:rFonts w:hint="eastAsia"/>
                <w:color w:val="auto"/>
                <w:sz w:val="24"/>
                <w:highlight w:val="none"/>
              </w:rPr>
              <w:t>库存量较小，使用周期短，同时试验室试剂有专人保管，内有严格的试剂购置、存储、使用等操作规程，试验室内风险可控</w:t>
            </w:r>
            <w:r>
              <w:rPr>
                <w:color w:val="auto"/>
                <w:sz w:val="24"/>
              </w:rPr>
              <w:t>。</w:t>
            </w:r>
          </w:p>
          <w:p w14:paraId="55D21E31">
            <w:pPr>
              <w:spacing w:line="360" w:lineRule="auto"/>
              <w:ind w:firstLine="480" w:firstLineChars="200"/>
              <w:rPr>
                <w:rFonts w:hint="default"/>
                <w:bCs/>
                <w:color w:val="auto"/>
                <w:sz w:val="24"/>
              </w:rPr>
            </w:pPr>
            <w:r>
              <w:rPr>
                <w:bCs/>
                <w:color w:val="auto"/>
                <w:sz w:val="24"/>
              </w:rPr>
              <w:t>（</w:t>
            </w:r>
            <w:r>
              <w:rPr>
                <w:rFonts w:hint="eastAsia"/>
                <w:bCs/>
                <w:color w:val="auto"/>
                <w:sz w:val="24"/>
                <w:lang w:val="en-US" w:eastAsia="zh-CN"/>
              </w:rPr>
              <w:t>2</w:t>
            </w:r>
            <w:r>
              <w:rPr>
                <w:bCs/>
                <w:color w:val="auto"/>
                <w:sz w:val="24"/>
              </w:rPr>
              <w:t>）</w:t>
            </w:r>
            <w:r>
              <w:rPr>
                <w:rFonts w:hint="eastAsia"/>
                <w:bCs/>
                <w:color w:val="auto"/>
                <w:sz w:val="24"/>
              </w:rPr>
              <w:t>风险源分布及可能影响途径</w:t>
            </w:r>
          </w:p>
          <w:p w14:paraId="592AC16B">
            <w:pPr>
              <w:spacing w:line="360" w:lineRule="auto"/>
              <w:ind w:firstLine="480" w:firstLineChars="200"/>
              <w:rPr>
                <w:rFonts w:hint="default"/>
                <w:bCs/>
                <w:color w:val="auto"/>
                <w:sz w:val="24"/>
              </w:rPr>
            </w:pPr>
            <w:r>
              <w:rPr>
                <w:rFonts w:hint="eastAsia"/>
                <w:color w:val="auto"/>
                <w:sz w:val="24"/>
                <w:highlight w:val="none"/>
              </w:rPr>
              <w:t>本项目存在的环境风险主要是</w:t>
            </w:r>
            <w:r>
              <w:rPr>
                <w:rFonts w:hint="eastAsia"/>
                <w:color w:val="auto"/>
                <w:sz w:val="24"/>
                <w:highlight w:val="none"/>
                <w:lang w:eastAsia="zh-CN"/>
              </w:rPr>
              <w:t>试验</w:t>
            </w:r>
            <w:r>
              <w:rPr>
                <w:rFonts w:hint="eastAsia"/>
                <w:color w:val="auto"/>
                <w:sz w:val="24"/>
                <w:highlight w:val="none"/>
              </w:rPr>
              <w:t>试剂的泄漏可能引起的腐蚀、中毒和火灾。在储存和使用过程中，由于操作不当等因素，可能会导致</w:t>
            </w:r>
            <w:r>
              <w:rPr>
                <w:rFonts w:hint="eastAsia"/>
                <w:color w:val="auto"/>
                <w:sz w:val="24"/>
                <w:highlight w:val="none"/>
                <w:lang w:eastAsia="zh-CN"/>
              </w:rPr>
              <w:t>试验</w:t>
            </w:r>
            <w:r>
              <w:rPr>
                <w:rFonts w:hint="eastAsia"/>
                <w:color w:val="auto"/>
                <w:sz w:val="24"/>
                <w:highlight w:val="none"/>
              </w:rPr>
              <w:t>试剂的泄漏。由于项目使用化学品数量较少，可及时收集全部泄漏物，并转移到空置的容器内；</w:t>
            </w:r>
            <w:r>
              <w:rPr>
                <w:rFonts w:hint="eastAsia"/>
                <w:color w:val="auto"/>
                <w:sz w:val="24"/>
                <w:highlight w:val="none"/>
                <w:lang w:eastAsia="zh-CN"/>
              </w:rPr>
              <w:t>或</w:t>
            </w:r>
            <w:r>
              <w:rPr>
                <w:rFonts w:hint="eastAsia"/>
                <w:color w:val="auto"/>
                <w:sz w:val="24"/>
                <w:highlight w:val="none"/>
              </w:rPr>
              <w:t>可及时用抹布或专用毡布进行擦洗，不会引起环境污染。对于腐蚀性物质</w:t>
            </w:r>
            <w:r>
              <w:rPr>
                <w:rFonts w:hint="eastAsia"/>
                <w:color w:val="auto"/>
                <w:sz w:val="24"/>
                <w:highlight w:val="none"/>
                <w:lang w:val="en-US" w:eastAsia="zh-CN"/>
              </w:rPr>
              <w:t>和</w:t>
            </w:r>
            <w:r>
              <w:rPr>
                <w:rFonts w:hint="eastAsia"/>
                <w:color w:val="auto"/>
                <w:sz w:val="24"/>
                <w:highlight w:val="none"/>
              </w:rPr>
              <w:t>易燃物质，只要进行妥善收集处理，事先做好防护工作，则产生较严重环境污染和人员健康损害事故的可能性很小</w:t>
            </w:r>
            <w:r>
              <w:rPr>
                <w:rFonts w:hint="eastAsia"/>
                <w:bCs/>
                <w:color w:val="auto"/>
                <w:sz w:val="24"/>
              </w:rPr>
              <w:t>。</w:t>
            </w:r>
          </w:p>
          <w:p w14:paraId="67FEE329">
            <w:pPr>
              <w:spacing w:line="360" w:lineRule="auto"/>
              <w:ind w:firstLine="480" w:firstLineChars="200"/>
              <w:rPr>
                <w:bCs/>
                <w:color w:val="auto"/>
                <w:sz w:val="24"/>
              </w:rPr>
            </w:pPr>
            <w:r>
              <w:rPr>
                <w:bCs/>
                <w:color w:val="auto"/>
                <w:sz w:val="24"/>
              </w:rPr>
              <w:t>（</w:t>
            </w:r>
            <w:r>
              <w:rPr>
                <w:rFonts w:hint="eastAsia"/>
                <w:bCs/>
                <w:color w:val="auto"/>
                <w:sz w:val="24"/>
                <w:lang w:val="en-US" w:eastAsia="zh-CN"/>
              </w:rPr>
              <w:t>3</w:t>
            </w:r>
            <w:r>
              <w:rPr>
                <w:bCs/>
                <w:color w:val="auto"/>
                <w:sz w:val="24"/>
              </w:rPr>
              <w:t>）</w:t>
            </w:r>
            <w:r>
              <w:rPr>
                <w:rFonts w:hint="default"/>
                <w:bCs/>
                <w:color w:val="auto"/>
                <w:sz w:val="24"/>
              </w:rPr>
              <w:t>建议采取以下环境风险防范措施</w:t>
            </w:r>
          </w:p>
          <w:p w14:paraId="60675BAE">
            <w:pPr>
              <w:spacing w:line="360" w:lineRule="auto"/>
              <w:ind w:firstLine="480" w:firstLineChars="200"/>
              <w:rPr>
                <w:color w:val="auto"/>
                <w:sz w:val="24"/>
              </w:rPr>
            </w:pPr>
            <w:r>
              <w:rPr>
                <w:rFonts w:hint="eastAsia"/>
                <w:color w:val="auto"/>
                <w:sz w:val="24"/>
              </w:rPr>
              <w:t xml:space="preserve">为使环境风险减小到最低限度，必须加强安全管理，制定完备、有效的防范措施，尽可能降低项目环境风险事故发生的概率。 </w:t>
            </w:r>
          </w:p>
          <w:p w14:paraId="41959EC2">
            <w:pPr>
              <w:spacing w:line="360" w:lineRule="auto"/>
              <w:ind w:firstLine="480" w:firstLineChars="200"/>
              <w:rPr>
                <w:color w:val="auto"/>
                <w:sz w:val="24"/>
              </w:rPr>
            </w:pPr>
            <w:r>
              <w:rPr>
                <w:rFonts w:hint="eastAsia"/>
                <w:color w:val="auto"/>
                <w:sz w:val="24"/>
              </w:rPr>
              <w:t>①严格按照相关设计规范和要求落实防护设施，制定安全操作规章制度，加强安全意识教育，加强监督管理，消除事故隐患；</w:t>
            </w:r>
          </w:p>
          <w:p w14:paraId="478E4128">
            <w:pPr>
              <w:spacing w:line="360" w:lineRule="auto"/>
              <w:ind w:firstLine="480" w:firstLineChars="200"/>
              <w:rPr>
                <w:color w:val="auto"/>
                <w:sz w:val="24"/>
              </w:rPr>
            </w:pPr>
            <w:r>
              <w:rPr>
                <w:rFonts w:hint="eastAsia"/>
                <w:color w:val="auto"/>
                <w:sz w:val="24"/>
              </w:rPr>
              <w:t>②各类液体化学品应包装完好无损，不同化学品之间应隔开存放。</w:t>
            </w:r>
          </w:p>
          <w:p w14:paraId="02D137DB">
            <w:pPr>
              <w:widowControl/>
              <w:spacing w:line="360" w:lineRule="auto"/>
              <w:ind w:firstLine="480" w:firstLineChars="200"/>
              <w:rPr>
                <w:color w:val="auto"/>
                <w:sz w:val="24"/>
              </w:rPr>
            </w:pPr>
            <w:r>
              <w:rPr>
                <w:rFonts w:hint="eastAsia"/>
                <w:color w:val="auto"/>
                <w:sz w:val="24"/>
              </w:rPr>
              <w:t>③加强巡视检查，建立系统规范的评估、审批、作业、监护、应急程序、事故报告等管理制度。</w:t>
            </w:r>
          </w:p>
          <w:p w14:paraId="63FC8CB8">
            <w:pPr>
              <w:spacing w:line="360" w:lineRule="auto"/>
              <w:ind w:firstLine="480" w:firstLineChars="200"/>
              <w:rPr>
                <w:color w:val="auto"/>
                <w:sz w:val="24"/>
              </w:rPr>
            </w:pPr>
            <w:r>
              <w:rPr>
                <w:rFonts w:hint="eastAsia"/>
                <w:color w:val="auto"/>
                <w:sz w:val="24"/>
              </w:rPr>
              <w:t>④编制突发环境事件应急预案，并按要求定期进行演练。</w:t>
            </w:r>
          </w:p>
          <w:p w14:paraId="4731BACA">
            <w:pPr>
              <w:keepNext w:val="0"/>
              <w:keepLines w:val="0"/>
              <w:pageBreakBefore w:val="0"/>
              <w:kinsoku/>
              <w:wordWrap/>
              <w:overflowPunct/>
              <w:topLinePunct w:val="0"/>
              <w:autoSpaceDE/>
              <w:autoSpaceDN/>
              <w:bidi w:val="0"/>
              <w:adjustRightInd w:val="0"/>
              <w:snapToGrid w:val="0"/>
              <w:spacing w:beforeAutospacing="0" w:afterAutospacing="0" w:line="360" w:lineRule="auto"/>
              <w:ind w:firstLine="480" w:firstLineChars="200"/>
              <w:textAlignment w:val="auto"/>
              <w:rPr>
                <w:bCs/>
                <w:color w:val="auto"/>
                <w:sz w:val="24"/>
              </w:rPr>
            </w:pPr>
            <w:r>
              <w:rPr>
                <w:bCs/>
                <w:color w:val="auto"/>
                <w:sz w:val="24"/>
              </w:rPr>
              <w:t>（</w:t>
            </w:r>
            <w:r>
              <w:rPr>
                <w:rFonts w:hint="eastAsia"/>
                <w:bCs/>
                <w:color w:val="auto"/>
                <w:sz w:val="24"/>
              </w:rPr>
              <w:t>4</w:t>
            </w:r>
            <w:r>
              <w:rPr>
                <w:bCs/>
                <w:color w:val="auto"/>
                <w:sz w:val="24"/>
              </w:rPr>
              <w:t>）分析结论</w:t>
            </w:r>
          </w:p>
          <w:p w14:paraId="73BBA0AC">
            <w:pPr>
              <w:pStyle w:val="25"/>
              <w:keepNext w:val="0"/>
              <w:keepLines w:val="0"/>
              <w:pageBreakBefore w:val="0"/>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eastAsia" w:ascii="黑体" w:hAnsi="黑体" w:eastAsia="黑体"/>
                <w:snapToGrid w:val="0"/>
                <w:color w:val="auto"/>
                <w:sz w:val="30"/>
                <w:szCs w:val="30"/>
                <w:vertAlign w:val="baseline"/>
              </w:rPr>
            </w:pPr>
            <w:r>
              <w:rPr>
                <w:bCs/>
                <w:color w:val="auto"/>
                <w:sz w:val="24"/>
              </w:rPr>
              <w:t>通过采取以上环境风险防范措施，本项目环境风险能够控制在可接受范围之内。</w:t>
            </w:r>
          </w:p>
        </w:tc>
      </w:tr>
    </w:tbl>
    <w:p w14:paraId="14D67A2B">
      <w:pPr>
        <w:pStyle w:val="25"/>
        <w:jc w:val="center"/>
        <w:outlineLvl w:val="0"/>
        <w:rPr>
          <w:rFonts w:hint="eastAsia" w:ascii="黑体" w:hAnsi="黑体" w:eastAsia="黑体"/>
          <w:snapToGrid w:val="0"/>
          <w:color w:val="000000" w:themeColor="text1"/>
          <w:sz w:val="30"/>
          <w:szCs w:val="30"/>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7FC7B588">
      <w:pPr>
        <w:pStyle w:val="25"/>
        <w:jc w:val="center"/>
        <w:outlineLvl w:val="0"/>
        <w:rPr>
          <w:rFonts w:ascii="黑体" w:hAnsi="黑体" w:eastAsia="黑体"/>
          <w:snapToGrid w:val="0"/>
          <w:color w:val="000000" w:themeColor="text1"/>
          <w:sz w:val="30"/>
          <w:szCs w:val="30"/>
          <w14:textFill>
            <w14:solidFill>
              <w14:schemeClr w14:val="tx1"/>
            </w14:solidFill>
          </w14:textFill>
        </w:rPr>
      </w:pPr>
      <w:r>
        <w:rPr>
          <w:rFonts w:hint="eastAsia" w:ascii="黑体" w:hAnsi="黑体" w:eastAsia="黑体"/>
          <w:snapToGrid w:val="0"/>
          <w:color w:val="000000" w:themeColor="text1"/>
          <w:sz w:val="30"/>
          <w:szCs w:val="30"/>
          <w14:textFill>
            <w14:solidFill>
              <w14:schemeClr w14:val="tx1"/>
            </w14:solidFill>
          </w14:textFill>
        </w:rPr>
        <w:t>五、</w:t>
      </w:r>
      <w:bookmarkStart w:id="5" w:name="_Hlk54167917"/>
      <w:r>
        <w:rPr>
          <w:rFonts w:hint="eastAsia" w:ascii="黑体" w:hAnsi="黑体" w:eastAsia="黑体"/>
          <w:snapToGrid w:val="0"/>
          <w:color w:val="000000" w:themeColor="text1"/>
          <w:sz w:val="30"/>
          <w:szCs w:val="30"/>
          <w14:textFill>
            <w14:solidFill>
              <w14:schemeClr w14:val="tx1"/>
            </w14:solidFill>
          </w14:textFill>
        </w:rPr>
        <w:t>环境保护措施监督检查清单</w:t>
      </w:r>
      <w:bookmarkEnd w:id="5"/>
    </w:p>
    <w:tbl>
      <w:tblPr>
        <w:tblStyle w:val="28"/>
        <w:tblW w:w="5002"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67"/>
        <w:gridCol w:w="1891"/>
        <w:gridCol w:w="1349"/>
        <w:gridCol w:w="1830"/>
        <w:gridCol w:w="2627"/>
      </w:tblGrid>
      <w:tr w14:paraId="7302DF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754" w:type="pct"/>
            <w:tcBorders>
              <w:tl2br w:val="single" w:color="auto" w:sz="4" w:space="0"/>
            </w:tcBorders>
            <w:vAlign w:val="center"/>
          </w:tcPr>
          <w:p w14:paraId="2BE8CF28">
            <w:pPr>
              <w:widowControl/>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 xml:space="preserve">      </w:t>
            </w:r>
            <w:r>
              <w:rPr>
                <w:b/>
                <w:bCs/>
                <w:color w:val="000000" w:themeColor="text1"/>
                <w:szCs w:val="21"/>
                <w14:textFill>
                  <w14:solidFill>
                    <w14:schemeClr w14:val="tx1"/>
                  </w14:solidFill>
                </w14:textFill>
              </w:rPr>
              <w:t>内容</w:t>
            </w:r>
          </w:p>
          <w:p w14:paraId="3F81F15B">
            <w:pPr>
              <w:widowControl/>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要素</w:t>
            </w:r>
          </w:p>
        </w:tc>
        <w:tc>
          <w:tcPr>
            <w:tcW w:w="1043" w:type="pct"/>
            <w:vAlign w:val="center"/>
          </w:tcPr>
          <w:p w14:paraId="51BAD077">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排放口(编号、</w:t>
            </w:r>
          </w:p>
          <w:p w14:paraId="35650225">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名称)/污染源</w:t>
            </w:r>
          </w:p>
        </w:tc>
        <w:tc>
          <w:tcPr>
            <w:tcW w:w="744" w:type="pct"/>
            <w:vAlign w:val="center"/>
          </w:tcPr>
          <w:p w14:paraId="080CE282">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污染物项目</w:t>
            </w:r>
          </w:p>
        </w:tc>
        <w:tc>
          <w:tcPr>
            <w:tcW w:w="1009" w:type="pct"/>
            <w:vAlign w:val="center"/>
          </w:tcPr>
          <w:p w14:paraId="7011B4B3">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环境保护措施</w:t>
            </w:r>
          </w:p>
        </w:tc>
        <w:tc>
          <w:tcPr>
            <w:tcW w:w="1449" w:type="pct"/>
            <w:vAlign w:val="center"/>
          </w:tcPr>
          <w:p w14:paraId="393DCA5C">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执行标准</w:t>
            </w:r>
          </w:p>
        </w:tc>
      </w:tr>
      <w:tr w14:paraId="378F83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Merge w:val="restart"/>
            <w:vAlign w:val="center"/>
          </w:tcPr>
          <w:p w14:paraId="1A822DB6">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w:t>
            </w:r>
          </w:p>
        </w:tc>
        <w:tc>
          <w:tcPr>
            <w:tcW w:w="1043" w:type="pct"/>
            <w:vAlign w:val="center"/>
          </w:tcPr>
          <w:p w14:paraId="06C3BAA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DA001</w:t>
            </w:r>
          </w:p>
        </w:tc>
        <w:tc>
          <w:tcPr>
            <w:tcW w:w="744" w:type="pct"/>
            <w:vAlign w:val="center"/>
          </w:tcPr>
          <w:p w14:paraId="16D492E4">
            <w:pPr>
              <w:widowControl/>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14:textFill>
                  <w14:solidFill>
                    <w14:schemeClr w14:val="tx1"/>
                  </w14:solidFill>
                </w14:textFill>
              </w:rPr>
              <w:t>非甲烷总烃</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苯并[a]芘、沥青烟</w:t>
            </w:r>
          </w:p>
        </w:tc>
        <w:tc>
          <w:tcPr>
            <w:tcW w:w="1009" w:type="pct"/>
            <w:vAlign w:val="center"/>
          </w:tcPr>
          <w:p w14:paraId="72E316BE">
            <w:pPr>
              <w:widowControl/>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集气罩/万向罩/通风橱+</w:t>
            </w:r>
            <w:r>
              <w:rPr>
                <w:rFonts w:hint="eastAsia"/>
                <w:color w:val="000000" w:themeColor="text1"/>
                <w:szCs w:val="21"/>
                <w:lang w:eastAsia="zh-CN"/>
                <w14:textFill>
                  <w14:solidFill>
                    <w14:schemeClr w14:val="tx1"/>
                  </w14:solidFill>
                </w14:textFill>
              </w:rPr>
              <w:t>二级活性炭</w:t>
            </w:r>
            <w:r>
              <w:rPr>
                <w:rFonts w:hint="eastAsia"/>
                <w:color w:val="000000" w:themeColor="text1"/>
                <w:szCs w:val="21"/>
                <w14:textFill>
                  <w14:solidFill>
                    <w14:schemeClr w14:val="tx1"/>
                  </w14:solidFill>
                </w14:textFill>
              </w:rPr>
              <w:t>吸附</w:t>
            </w:r>
            <w:r>
              <w:rPr>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23m</w:t>
            </w:r>
            <w:r>
              <w:rPr>
                <w:color w:val="000000" w:themeColor="text1"/>
                <w:szCs w:val="21"/>
                <w14:textFill>
                  <w14:solidFill>
                    <w14:schemeClr w14:val="tx1"/>
                  </w14:solidFill>
                </w14:textFill>
              </w:rPr>
              <w:t>排气筒</w:t>
            </w:r>
            <w:r>
              <w:rPr>
                <w:rFonts w:hint="eastAsia"/>
                <w:color w:val="000000" w:themeColor="text1"/>
                <w14:textFill>
                  <w14:solidFill>
                    <w14:schemeClr w14:val="tx1"/>
                  </w14:solidFill>
                </w14:textFill>
              </w:rPr>
              <w:t>（DA001）</w:t>
            </w:r>
          </w:p>
        </w:tc>
        <w:tc>
          <w:tcPr>
            <w:tcW w:w="1449" w:type="pct"/>
            <w:vAlign w:val="center"/>
          </w:tcPr>
          <w:p w14:paraId="3942B3D9">
            <w:pPr>
              <w:jc w:val="center"/>
              <w:rPr>
                <w:szCs w:val="21"/>
              </w:rPr>
            </w:pPr>
            <w:r>
              <w:rPr>
                <w:rFonts w:hint="eastAsia"/>
                <w:szCs w:val="21"/>
              </w:rPr>
              <w:t>《大气污染物综合排放标准》（</w:t>
            </w:r>
            <w:r>
              <w:rPr>
                <w:szCs w:val="21"/>
              </w:rPr>
              <w:t>GB</w:t>
            </w:r>
            <w:r>
              <w:rPr>
                <w:rFonts w:hint="eastAsia"/>
                <w:szCs w:val="21"/>
              </w:rPr>
              <w:t>16297-1996）二级标准</w:t>
            </w:r>
          </w:p>
        </w:tc>
      </w:tr>
      <w:tr w14:paraId="0498D4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Merge w:val="continue"/>
            <w:vAlign w:val="center"/>
          </w:tcPr>
          <w:p w14:paraId="71B811AA">
            <w:pPr>
              <w:widowControl/>
              <w:jc w:val="center"/>
              <w:rPr>
                <w:color w:val="000000" w:themeColor="text1"/>
                <w:szCs w:val="21"/>
                <w14:textFill>
                  <w14:solidFill>
                    <w14:schemeClr w14:val="tx1"/>
                  </w14:solidFill>
                </w14:textFill>
              </w:rPr>
            </w:pPr>
          </w:p>
        </w:tc>
        <w:tc>
          <w:tcPr>
            <w:tcW w:w="1043" w:type="pct"/>
            <w:vAlign w:val="center"/>
          </w:tcPr>
          <w:p w14:paraId="4F6F7495">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DA002</w:t>
            </w:r>
          </w:p>
        </w:tc>
        <w:tc>
          <w:tcPr>
            <w:tcW w:w="744" w:type="pct"/>
            <w:vAlign w:val="center"/>
          </w:tcPr>
          <w:p w14:paraId="4882FDD4">
            <w:pPr>
              <w:widowControl/>
              <w:jc w:val="center"/>
              <w:rPr>
                <w:rFonts w:hint="default"/>
                <w:color w:val="000000" w:themeColor="text1"/>
                <w:lang w:val="en-US"/>
                <w14:textFill>
                  <w14:solidFill>
                    <w14:schemeClr w14:val="tx1"/>
                  </w14:solidFill>
                </w14:textFill>
              </w:rPr>
            </w:pPr>
            <w:r>
              <w:rPr>
                <w:rFonts w:hint="eastAsia"/>
                <w:color w:val="000000" w:themeColor="text1"/>
                <w:szCs w:val="21"/>
                <w:lang w:val="en-US" w:eastAsia="zh-CN"/>
                <w14:textFill>
                  <w14:solidFill>
                    <w14:schemeClr w14:val="tx1"/>
                  </w14:solidFill>
                </w14:textFill>
              </w:rPr>
              <w:t>氯化氢、非甲烷总烃</w:t>
            </w:r>
          </w:p>
        </w:tc>
        <w:tc>
          <w:tcPr>
            <w:tcW w:w="1009" w:type="pct"/>
            <w:vAlign w:val="center"/>
          </w:tcPr>
          <w:p w14:paraId="7502A539">
            <w:pPr>
              <w:widowControl/>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通风橱+23m</w:t>
            </w:r>
            <w:r>
              <w:rPr>
                <w:color w:val="000000" w:themeColor="text1"/>
                <w:szCs w:val="21"/>
                <w14:textFill>
                  <w14:solidFill>
                    <w14:schemeClr w14:val="tx1"/>
                  </w14:solidFill>
                </w14:textFill>
              </w:rPr>
              <w:t>排气筒</w:t>
            </w:r>
            <w:r>
              <w:rPr>
                <w:rFonts w:hint="eastAsia"/>
                <w:color w:val="000000" w:themeColor="text1"/>
                <w14:textFill>
                  <w14:solidFill>
                    <w14:schemeClr w14:val="tx1"/>
                  </w14:solidFill>
                </w14:textFill>
              </w:rPr>
              <w:t>（DA00</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w:t>
            </w:r>
          </w:p>
        </w:tc>
        <w:tc>
          <w:tcPr>
            <w:tcW w:w="1449" w:type="pct"/>
            <w:vAlign w:val="center"/>
          </w:tcPr>
          <w:p w14:paraId="548B1867">
            <w:pPr>
              <w:jc w:val="center"/>
              <w:rPr>
                <w:rFonts w:hint="eastAsia"/>
                <w:szCs w:val="21"/>
              </w:rPr>
            </w:pPr>
            <w:r>
              <w:rPr>
                <w:rFonts w:hint="eastAsia"/>
                <w:szCs w:val="21"/>
              </w:rPr>
              <w:t>《大气污染物综合排放标准》（</w:t>
            </w:r>
            <w:r>
              <w:rPr>
                <w:szCs w:val="21"/>
              </w:rPr>
              <w:t>GB</w:t>
            </w:r>
            <w:r>
              <w:rPr>
                <w:rFonts w:hint="eastAsia"/>
                <w:szCs w:val="21"/>
              </w:rPr>
              <w:t>16297-1996）二级标准</w:t>
            </w:r>
          </w:p>
        </w:tc>
      </w:tr>
      <w:tr w14:paraId="0C4D6D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754" w:type="pct"/>
            <w:vMerge w:val="continue"/>
            <w:vAlign w:val="center"/>
          </w:tcPr>
          <w:p w14:paraId="058D97FB">
            <w:pPr>
              <w:adjustRightInd w:val="0"/>
              <w:snapToGrid w:val="0"/>
              <w:jc w:val="center"/>
              <w:rPr>
                <w:color w:val="000000" w:themeColor="text1"/>
                <w14:textFill>
                  <w14:solidFill>
                    <w14:schemeClr w14:val="tx1"/>
                  </w14:solidFill>
                </w14:textFill>
              </w:rPr>
            </w:pPr>
          </w:p>
        </w:tc>
        <w:tc>
          <w:tcPr>
            <w:tcW w:w="1043" w:type="pct"/>
            <w:shd w:val="clear" w:color="auto" w:fill="auto"/>
            <w:vAlign w:val="center"/>
          </w:tcPr>
          <w:p w14:paraId="5CA6C2EB">
            <w:pPr>
              <w:adjustRightInd w:val="0"/>
              <w:snapToGrid w:val="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无组织</w:t>
            </w:r>
            <w:r>
              <w:rPr>
                <w:rFonts w:hint="eastAsia"/>
                <w:color w:val="000000" w:themeColor="text1"/>
                <w14:textFill>
                  <w14:solidFill>
                    <w14:schemeClr w14:val="tx1"/>
                  </w14:solidFill>
                </w14:textFill>
              </w:rPr>
              <w:t>废气</w:t>
            </w:r>
          </w:p>
        </w:tc>
        <w:tc>
          <w:tcPr>
            <w:tcW w:w="744" w:type="pct"/>
            <w:shd w:val="clear" w:color="auto" w:fill="auto"/>
            <w:vAlign w:val="center"/>
          </w:tcPr>
          <w:p w14:paraId="2FDBEC55">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14:textFill>
                  <w14:solidFill>
                    <w14:schemeClr w14:val="tx1"/>
                  </w14:solidFill>
                </w14:textFill>
              </w:rPr>
              <w:t>非甲烷总烃</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苯并[a]芘、沥青烟</w:t>
            </w:r>
            <w:r>
              <w:rPr>
                <w:rFonts w:hint="eastAsia"/>
                <w:color w:val="000000" w:themeColor="text1"/>
                <w:szCs w:val="21"/>
                <w:lang w:val="en-US" w:eastAsia="zh-CN"/>
                <w14:textFill>
                  <w14:solidFill>
                    <w14:schemeClr w14:val="tx1"/>
                  </w14:solidFill>
                </w14:textFill>
              </w:rPr>
              <w:t>、氯化氢</w:t>
            </w:r>
          </w:p>
        </w:tc>
        <w:tc>
          <w:tcPr>
            <w:tcW w:w="1009" w:type="pct"/>
            <w:vMerge w:val="restart"/>
            <w:vAlign w:val="center"/>
          </w:tcPr>
          <w:p w14:paraId="61A2FA9F">
            <w:pPr>
              <w:adjustRightInd w:val="0"/>
              <w:snapToGrid w:val="0"/>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室内</w:t>
            </w:r>
            <w:r>
              <w:rPr>
                <w:rFonts w:hint="eastAsia"/>
                <w:color w:val="000000" w:themeColor="text1"/>
                <w14:textFill>
                  <w14:solidFill>
                    <w14:schemeClr w14:val="tx1"/>
                  </w14:solidFill>
                </w14:textFill>
              </w:rPr>
              <w:t>通风，无组织排出</w:t>
            </w:r>
          </w:p>
        </w:tc>
        <w:tc>
          <w:tcPr>
            <w:tcW w:w="1449" w:type="pct"/>
            <w:vMerge w:val="restart"/>
            <w:vAlign w:val="center"/>
          </w:tcPr>
          <w:p w14:paraId="71A768D9">
            <w:pPr>
              <w:adjustRightInd w:val="0"/>
              <w:snapToGrid w:val="0"/>
              <w:jc w:val="center"/>
              <w:rPr>
                <w:rFonts w:hint="default" w:eastAsia="宋体"/>
                <w:lang w:val="en-US" w:eastAsia="zh-CN"/>
              </w:rPr>
            </w:pPr>
            <w:r>
              <w:rPr>
                <w:rFonts w:hint="eastAsia"/>
                <w:szCs w:val="21"/>
              </w:rPr>
              <w:t>《大气污染物综合排放标准》（</w:t>
            </w:r>
            <w:r>
              <w:rPr>
                <w:szCs w:val="21"/>
              </w:rPr>
              <w:t>GB</w:t>
            </w:r>
            <w:r>
              <w:rPr>
                <w:rFonts w:hint="eastAsia"/>
                <w:szCs w:val="21"/>
              </w:rPr>
              <w:t>16297-1996）</w:t>
            </w:r>
            <w:r>
              <w:rPr>
                <w:rFonts w:hint="eastAsia"/>
                <w:szCs w:val="21"/>
                <w:lang w:val="en-US" w:eastAsia="zh-CN"/>
              </w:rPr>
              <w:t>无组织排放标准</w:t>
            </w:r>
          </w:p>
        </w:tc>
      </w:tr>
      <w:tr w14:paraId="5CF3FD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54" w:type="pct"/>
            <w:vAlign w:val="center"/>
          </w:tcPr>
          <w:p w14:paraId="7F459E65">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声环境</w:t>
            </w:r>
          </w:p>
        </w:tc>
        <w:tc>
          <w:tcPr>
            <w:tcW w:w="1043" w:type="pct"/>
            <w:vAlign w:val="center"/>
          </w:tcPr>
          <w:p w14:paraId="47E188DA">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生产设备及辅助设备</w:t>
            </w:r>
          </w:p>
        </w:tc>
        <w:tc>
          <w:tcPr>
            <w:tcW w:w="744" w:type="pct"/>
            <w:vAlign w:val="center"/>
          </w:tcPr>
          <w:p w14:paraId="1A11F2AF">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噪声</w:t>
            </w:r>
          </w:p>
        </w:tc>
        <w:tc>
          <w:tcPr>
            <w:tcW w:w="1009" w:type="pct"/>
            <w:vAlign w:val="center"/>
          </w:tcPr>
          <w:p w14:paraId="1A63DB5F">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设备基础减振、</w:t>
            </w:r>
            <w:r>
              <w:rPr>
                <w:rFonts w:hint="eastAsia"/>
                <w:color w:val="000000" w:themeColor="text1"/>
                <w:szCs w:val="21"/>
                <w:lang w:val="en-US" w:eastAsia="zh-CN"/>
                <w14:textFill>
                  <w14:solidFill>
                    <w14:schemeClr w14:val="tx1"/>
                  </w14:solidFill>
                </w14:textFill>
              </w:rPr>
              <w:t>室内</w:t>
            </w:r>
            <w:r>
              <w:rPr>
                <w:color w:val="000000" w:themeColor="text1"/>
                <w:szCs w:val="21"/>
                <w14:textFill>
                  <w14:solidFill>
                    <w14:schemeClr w14:val="tx1"/>
                  </w14:solidFill>
                </w14:textFill>
              </w:rPr>
              <w:t>隔声等</w:t>
            </w:r>
          </w:p>
        </w:tc>
        <w:tc>
          <w:tcPr>
            <w:tcW w:w="1449" w:type="pct"/>
            <w:vAlign w:val="center"/>
          </w:tcPr>
          <w:p w14:paraId="1325F245">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《工业企业厂界环境噪声排放标准》（GB12348-2008）2类标准</w:t>
            </w:r>
          </w:p>
        </w:tc>
      </w:tr>
      <w:tr w14:paraId="51CC74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54" w:type="pct"/>
            <w:vMerge w:val="restart"/>
            <w:vAlign w:val="center"/>
          </w:tcPr>
          <w:p w14:paraId="0014163E">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地表水环境</w:t>
            </w:r>
          </w:p>
        </w:tc>
        <w:tc>
          <w:tcPr>
            <w:tcW w:w="1043" w:type="pct"/>
            <w:vAlign w:val="center"/>
          </w:tcPr>
          <w:p w14:paraId="2DAE6928">
            <w:pPr>
              <w:widowControl/>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试验</w:t>
            </w:r>
            <w:r>
              <w:rPr>
                <w:rFonts w:hint="eastAsia"/>
                <w:color w:val="000000" w:themeColor="text1"/>
                <w:szCs w:val="21"/>
                <w14:textFill>
                  <w14:solidFill>
                    <w14:schemeClr w14:val="tx1"/>
                  </w14:solidFill>
                </w14:textFill>
              </w:rPr>
              <w:t>废水</w:t>
            </w:r>
          </w:p>
        </w:tc>
        <w:tc>
          <w:tcPr>
            <w:tcW w:w="744" w:type="pct"/>
            <w:vAlign w:val="center"/>
          </w:tcPr>
          <w:p w14:paraId="169A16B8">
            <w:pPr>
              <w:widowControl/>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实验室器皿</w:t>
            </w:r>
            <w:r>
              <w:rPr>
                <w:rFonts w:hint="eastAsia"/>
                <w:color w:val="000000" w:themeColor="text1"/>
                <w:szCs w:val="21"/>
                <w14:textFill>
                  <w14:solidFill>
                    <w14:schemeClr w14:val="tx1"/>
                  </w14:solidFill>
                </w14:textFill>
              </w:rPr>
              <w:t>清洗</w:t>
            </w:r>
            <w:r>
              <w:rPr>
                <w:rFonts w:hint="eastAsia"/>
                <w:color w:val="000000" w:themeColor="text1"/>
                <w:szCs w:val="21"/>
                <w:lang w:val="en-US" w:eastAsia="zh-CN"/>
                <w14:textFill>
                  <w14:solidFill>
                    <w14:schemeClr w14:val="tx1"/>
                  </w14:solidFill>
                </w14:textFill>
              </w:rPr>
              <w:t>用</w:t>
            </w:r>
            <w:r>
              <w:rPr>
                <w:rFonts w:hint="eastAsia"/>
                <w:color w:val="000000" w:themeColor="text1"/>
                <w:szCs w:val="21"/>
                <w14:textFill>
                  <w14:solidFill>
                    <w14:schemeClr w14:val="tx1"/>
                  </w14:solidFill>
                </w14:textFill>
              </w:rPr>
              <w:t>水</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物理检测用水、清洁用水</w:t>
            </w:r>
          </w:p>
        </w:tc>
        <w:tc>
          <w:tcPr>
            <w:tcW w:w="2458" w:type="pct"/>
            <w:gridSpan w:val="2"/>
            <w:vAlign w:val="center"/>
          </w:tcPr>
          <w:p w14:paraId="23169259">
            <w:pPr>
              <w:widowControl/>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经沉淀池收集后排入化粪池，处理后排入市政污水管网</w:t>
            </w:r>
          </w:p>
        </w:tc>
      </w:tr>
      <w:tr w14:paraId="1B10EC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54" w:type="pct"/>
            <w:vMerge w:val="continue"/>
            <w:vAlign w:val="center"/>
          </w:tcPr>
          <w:p w14:paraId="35193B55">
            <w:pPr>
              <w:widowControl/>
              <w:jc w:val="center"/>
              <w:rPr>
                <w:color w:val="000000" w:themeColor="text1"/>
                <w:szCs w:val="21"/>
                <w14:textFill>
                  <w14:solidFill>
                    <w14:schemeClr w14:val="tx1"/>
                  </w14:solidFill>
                </w14:textFill>
              </w:rPr>
            </w:pPr>
          </w:p>
        </w:tc>
        <w:tc>
          <w:tcPr>
            <w:tcW w:w="1043" w:type="pct"/>
            <w:vAlign w:val="center"/>
          </w:tcPr>
          <w:p w14:paraId="0BA9D873">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w:t>
            </w:r>
          </w:p>
        </w:tc>
        <w:tc>
          <w:tcPr>
            <w:tcW w:w="744" w:type="pct"/>
            <w:vAlign w:val="center"/>
          </w:tcPr>
          <w:p w14:paraId="5F9189F9">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w:t>
            </w:r>
          </w:p>
        </w:tc>
        <w:tc>
          <w:tcPr>
            <w:tcW w:w="2458" w:type="pct"/>
            <w:gridSpan w:val="2"/>
            <w:vAlign w:val="center"/>
          </w:tcPr>
          <w:p w14:paraId="3874DB97">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经化粪池处理后排入市政污水管网</w:t>
            </w:r>
          </w:p>
        </w:tc>
      </w:tr>
      <w:tr w14:paraId="28BAE9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754" w:type="pct"/>
            <w:vMerge w:val="restart"/>
            <w:vAlign w:val="center"/>
          </w:tcPr>
          <w:p w14:paraId="1A036F5A">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固体废物</w:t>
            </w:r>
          </w:p>
        </w:tc>
        <w:tc>
          <w:tcPr>
            <w:tcW w:w="1787" w:type="pct"/>
            <w:gridSpan w:val="2"/>
            <w:vAlign w:val="center"/>
          </w:tcPr>
          <w:p w14:paraId="61134743">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p>
        </w:tc>
        <w:tc>
          <w:tcPr>
            <w:tcW w:w="1009" w:type="pct"/>
            <w:vAlign w:val="center"/>
          </w:tcPr>
          <w:p w14:paraId="07EFA7FC">
            <w:pPr>
              <w:jc w:val="center"/>
              <w:rPr>
                <w:color w:val="000000" w:themeColor="text1"/>
                <w:szCs w:val="21"/>
                <w14:textFill>
                  <w14:solidFill>
                    <w14:schemeClr w14:val="tx1"/>
                  </w14:solidFill>
                </w14:textFill>
              </w:rPr>
            </w:pPr>
            <w:r>
              <w:rPr>
                <w:rFonts w:hint="eastAsia"/>
                <w:kern w:val="0"/>
                <w:szCs w:val="21"/>
                <w:lang w:val="en-US" w:eastAsia="zh-CN" w:bidi="ar"/>
              </w:rPr>
              <w:t>分类收集后统一交由环卫部门处置</w:t>
            </w:r>
          </w:p>
        </w:tc>
        <w:tc>
          <w:tcPr>
            <w:tcW w:w="1449" w:type="pct"/>
            <w:vAlign w:val="center"/>
          </w:tcPr>
          <w:p w14:paraId="6747777F">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处置率100%</w:t>
            </w:r>
          </w:p>
        </w:tc>
      </w:tr>
      <w:tr w14:paraId="35D977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754" w:type="pct"/>
            <w:vMerge w:val="continue"/>
            <w:vAlign w:val="center"/>
          </w:tcPr>
          <w:p w14:paraId="6EB515F2">
            <w:pPr>
              <w:widowControl/>
              <w:jc w:val="center"/>
              <w:rPr>
                <w:color w:val="000000" w:themeColor="text1"/>
                <w:szCs w:val="21"/>
                <w14:textFill>
                  <w14:solidFill>
                    <w14:schemeClr w14:val="tx1"/>
                  </w14:solidFill>
                </w14:textFill>
              </w:rPr>
            </w:pPr>
          </w:p>
        </w:tc>
        <w:tc>
          <w:tcPr>
            <w:tcW w:w="1787" w:type="pct"/>
            <w:gridSpan w:val="2"/>
            <w:vAlign w:val="center"/>
          </w:tcPr>
          <w:p w14:paraId="00F0865D">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废包装材料、</w:t>
            </w:r>
            <w:r>
              <w:rPr>
                <w:rFonts w:hint="eastAsia"/>
                <w:color w:val="auto"/>
                <w:kern w:val="0"/>
                <w:szCs w:val="21"/>
                <w:highlight w:val="none"/>
                <w:lang w:val="en-US" w:eastAsia="zh-CN"/>
              </w:rPr>
              <w:t>试验废样</w:t>
            </w:r>
          </w:p>
        </w:tc>
        <w:tc>
          <w:tcPr>
            <w:tcW w:w="1009" w:type="pct"/>
            <w:vAlign w:val="center"/>
          </w:tcPr>
          <w:p w14:paraId="2655FE39">
            <w:pPr>
              <w:widowControl/>
              <w:jc w:val="center"/>
              <w:rPr>
                <w:color w:val="000000" w:themeColor="text1"/>
                <w:szCs w:val="21"/>
                <w14:textFill>
                  <w14:solidFill>
                    <w14:schemeClr w14:val="tx1"/>
                  </w14:solidFill>
                </w14:textFill>
              </w:rPr>
            </w:pPr>
            <w:r>
              <w:rPr>
                <w:rFonts w:hint="eastAsia"/>
                <w:color w:val="auto"/>
                <w:kern w:val="0"/>
                <w:szCs w:val="21"/>
                <w:highlight w:val="none"/>
                <w:lang w:val="en-US" w:eastAsia="zh-CN"/>
              </w:rPr>
              <w:t>废包装材料集中收集、定期外售、试验废样委托建筑垃圾清运公司运输、处理</w:t>
            </w:r>
          </w:p>
        </w:tc>
        <w:tc>
          <w:tcPr>
            <w:tcW w:w="1449" w:type="pct"/>
            <w:vAlign w:val="center"/>
          </w:tcPr>
          <w:p w14:paraId="77D5213E">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《一般工业固体废物贮存和填埋污染控制标准》（GB18599-2020）</w:t>
            </w:r>
          </w:p>
        </w:tc>
      </w:tr>
      <w:tr w14:paraId="47E0F3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54" w:type="pct"/>
            <w:vMerge w:val="continue"/>
            <w:vAlign w:val="center"/>
          </w:tcPr>
          <w:p w14:paraId="47D59688">
            <w:pPr>
              <w:widowControl/>
              <w:jc w:val="center"/>
              <w:rPr>
                <w:color w:val="000000" w:themeColor="text1"/>
                <w:szCs w:val="21"/>
                <w14:textFill>
                  <w14:solidFill>
                    <w14:schemeClr w14:val="tx1"/>
                  </w14:solidFill>
                </w14:textFill>
              </w:rPr>
            </w:pPr>
          </w:p>
        </w:tc>
        <w:tc>
          <w:tcPr>
            <w:tcW w:w="1787" w:type="pct"/>
            <w:gridSpan w:val="2"/>
            <w:vAlign w:val="center"/>
          </w:tcPr>
          <w:p w14:paraId="3F8712F0">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w:t>
            </w:r>
            <w:r>
              <w:rPr>
                <w:rFonts w:hint="eastAsia"/>
                <w:color w:val="000000" w:themeColor="text1"/>
                <w:szCs w:val="21"/>
                <w:lang w:eastAsia="zh-CN"/>
                <w14:textFill>
                  <w14:solidFill>
                    <w14:schemeClr w14:val="tx1"/>
                  </w14:solidFill>
                </w14:textFill>
              </w:rPr>
              <w:t>活性炭</w:t>
            </w:r>
            <w:r>
              <w:rPr>
                <w:rFonts w:hint="eastAsia"/>
                <w:color w:val="000000" w:themeColor="text1"/>
                <w:szCs w:val="21"/>
                <w14:textFill>
                  <w14:solidFill>
                    <w14:schemeClr w14:val="tx1"/>
                  </w14:solidFill>
                </w14:textFill>
              </w:rPr>
              <w:t>、</w:t>
            </w:r>
            <w:r>
              <w:rPr>
                <w:rFonts w:hint="eastAsia" w:ascii="Times New Roman" w:hAnsi="Times New Roman" w:cs="Times New Roman"/>
                <w:color w:val="auto"/>
                <w:szCs w:val="21"/>
                <w:highlight w:val="none"/>
                <w:lang w:val="en-US"/>
              </w:rPr>
              <w:t>试验室废液</w:t>
            </w:r>
            <w:r>
              <w:rPr>
                <w:rFonts w:hint="eastAsia"/>
                <w:color w:val="000000" w:themeColor="text1"/>
                <w:szCs w:val="21"/>
                <w14:textFill>
                  <w14:solidFill>
                    <w14:schemeClr w14:val="tx1"/>
                  </w14:solidFill>
                </w14:textFill>
              </w:rPr>
              <w:t>、</w:t>
            </w:r>
            <w:r>
              <w:rPr>
                <w:rFonts w:hint="eastAsia" w:ascii="Times New Roman" w:hAnsi="Times New Roman" w:cs="Times New Roman"/>
                <w:color w:val="auto"/>
                <w:szCs w:val="21"/>
                <w:highlight w:val="none"/>
                <w:lang w:val="en-US" w:eastAsia="zh-CN"/>
              </w:rPr>
              <w:t>废试剂瓶</w:t>
            </w:r>
          </w:p>
        </w:tc>
        <w:tc>
          <w:tcPr>
            <w:tcW w:w="1009" w:type="pct"/>
            <w:vAlign w:val="center"/>
          </w:tcPr>
          <w:p w14:paraId="38968645">
            <w:pPr>
              <w:widowControl/>
              <w:jc w:val="center"/>
              <w:rPr>
                <w:color w:val="000000" w:themeColor="text1"/>
                <w:szCs w:val="21"/>
                <w14:textFill>
                  <w14:solidFill>
                    <w14:schemeClr w14:val="tx1"/>
                  </w14:solidFill>
                </w14:textFill>
              </w:rPr>
            </w:pPr>
            <w:r>
              <w:rPr>
                <w:rFonts w:hint="eastAsia" w:ascii="Times New Roman" w:hAnsi="Times New Roman" w:cs="Times New Roman"/>
                <w:color w:val="auto"/>
                <w:szCs w:val="21"/>
                <w:highlight w:val="none"/>
                <w:lang w:val="en-US" w:eastAsia="zh-CN"/>
              </w:rPr>
              <w:t>危废贮存库</w:t>
            </w:r>
            <w:r>
              <w:rPr>
                <w:rFonts w:hint="eastAsia" w:ascii="Times New Roman" w:hAnsi="Times New Roman" w:cs="Times New Roman"/>
                <w:color w:val="auto"/>
                <w:szCs w:val="21"/>
                <w:highlight w:val="none"/>
                <w:lang w:val="en-US"/>
              </w:rPr>
              <w:t>暂存，定期交有资质单位处置</w:t>
            </w:r>
          </w:p>
        </w:tc>
        <w:tc>
          <w:tcPr>
            <w:tcW w:w="1449" w:type="pct"/>
            <w:vAlign w:val="center"/>
          </w:tcPr>
          <w:p w14:paraId="15609664">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《危险废物贮存污染控制标准》（GB 18597-2023）、《危险废物收集贮存运输技术规范》（HJ 2025-2012）中相关规定</w:t>
            </w:r>
          </w:p>
        </w:tc>
      </w:tr>
      <w:tr w14:paraId="7D0640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754" w:type="pct"/>
            <w:vAlign w:val="center"/>
          </w:tcPr>
          <w:p w14:paraId="4814642F">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土壤及地下水污染防治措施</w:t>
            </w:r>
          </w:p>
        </w:tc>
        <w:tc>
          <w:tcPr>
            <w:tcW w:w="4245" w:type="pct"/>
            <w:gridSpan w:val="4"/>
            <w:vAlign w:val="center"/>
          </w:tcPr>
          <w:p w14:paraId="3B8730B1">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地面进行防渗</w:t>
            </w:r>
            <w:r>
              <w:rPr>
                <w:rFonts w:hint="eastAsia"/>
                <w:color w:val="000000" w:themeColor="text1"/>
                <w:szCs w:val="21"/>
                <w:lang w:val="en-US" w:eastAsia="zh-CN"/>
                <w14:textFill>
                  <w14:solidFill>
                    <w14:schemeClr w14:val="tx1"/>
                  </w14:solidFill>
                </w14:textFill>
              </w:rPr>
              <w:t>防腐</w:t>
            </w:r>
            <w:r>
              <w:rPr>
                <w:rFonts w:hint="eastAsia"/>
                <w:color w:val="000000" w:themeColor="text1"/>
                <w:szCs w:val="21"/>
                <w14:textFill>
                  <w14:solidFill>
                    <w14:schemeClr w14:val="tx1"/>
                  </w14:solidFill>
                </w14:textFill>
              </w:rPr>
              <w:t>处理</w:t>
            </w:r>
          </w:p>
        </w:tc>
      </w:tr>
      <w:tr w14:paraId="2ADE0F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54" w:type="pct"/>
            <w:vAlign w:val="center"/>
          </w:tcPr>
          <w:p w14:paraId="7184DD05">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生态保</w:t>
            </w:r>
          </w:p>
          <w:p w14:paraId="7E955608">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护措施</w:t>
            </w:r>
          </w:p>
        </w:tc>
        <w:tc>
          <w:tcPr>
            <w:tcW w:w="4245" w:type="pct"/>
            <w:gridSpan w:val="4"/>
            <w:vAlign w:val="center"/>
          </w:tcPr>
          <w:p w14:paraId="63C3B625">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238155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Align w:val="center"/>
          </w:tcPr>
          <w:p w14:paraId="7418B61E">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环境风险</w:t>
            </w:r>
          </w:p>
          <w:p w14:paraId="050DE1D6">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防范措施</w:t>
            </w:r>
          </w:p>
        </w:tc>
        <w:tc>
          <w:tcPr>
            <w:tcW w:w="4245" w:type="pct"/>
            <w:gridSpan w:val="4"/>
            <w:vAlign w:val="center"/>
          </w:tcPr>
          <w:p w14:paraId="3EEE3F26">
            <w:pPr>
              <w:pStyle w:val="69"/>
              <w:spacing w:before="24" w:beforeLines="10" w:line="360" w:lineRule="auto"/>
              <w:jc w:val="left"/>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①</w:t>
            </w:r>
            <w:r>
              <w:rPr>
                <w:rFonts w:hint="eastAsia" w:ascii="宋体" w:hAnsi="宋体" w:cs="宋体"/>
                <w:color w:val="000000" w:themeColor="text1"/>
                <w14:textFill>
                  <w14:solidFill>
                    <w14:schemeClr w14:val="tx1"/>
                  </w14:solidFill>
                </w14:textFill>
              </w:rPr>
              <w:t>工作</w:t>
            </w:r>
            <w:r>
              <w:rPr>
                <w:rFonts w:ascii="宋体" w:hAnsi="宋体" w:cs="宋体"/>
                <w:color w:val="000000" w:themeColor="text1"/>
                <w14:textFill>
                  <w14:solidFill>
                    <w14:schemeClr w14:val="tx1"/>
                  </w14:solidFill>
                </w14:textFill>
              </w:rPr>
              <w:t>人员定时巡视，一旦发现泄漏情况立即启动应急报警系统。</w:t>
            </w:r>
          </w:p>
          <w:p w14:paraId="330B9DEF">
            <w:pPr>
              <w:pStyle w:val="69"/>
              <w:spacing w:before="24" w:beforeLines="10" w:line="360" w:lineRule="auto"/>
              <w:jc w:val="left"/>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②加强安全管理，制定相应的定期检查制度，定期检查装置各</w:t>
            </w:r>
            <w:r>
              <w:rPr>
                <w:rFonts w:hint="eastAsia" w:ascii="宋体" w:hAnsi="宋体" w:cs="宋体"/>
                <w:color w:val="000000" w:themeColor="text1"/>
                <w14:textFill>
                  <w14:solidFill>
                    <w14:schemeClr w14:val="tx1"/>
                  </w14:solidFill>
                </w14:textFill>
              </w:rPr>
              <w:t>设备</w:t>
            </w:r>
            <w:r>
              <w:rPr>
                <w:rFonts w:ascii="宋体" w:hAnsi="宋体" w:cs="宋体"/>
                <w:color w:val="000000" w:themeColor="text1"/>
                <w14:textFill>
                  <w14:solidFill>
                    <w14:schemeClr w14:val="tx1"/>
                  </w14:solidFill>
                </w14:textFill>
              </w:rPr>
              <w:t>有无渗漏。</w:t>
            </w:r>
          </w:p>
          <w:p w14:paraId="203D1CE0">
            <w:pPr>
              <w:pStyle w:val="69"/>
              <w:spacing w:before="24" w:beforeLines="10" w:line="360" w:lineRule="auto"/>
              <w:jc w:val="left"/>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③建立完善的安全生产制度和安全操作规范，并做到制度上墙。</w:t>
            </w:r>
          </w:p>
          <w:p w14:paraId="1271C9F3">
            <w:pPr>
              <w:pStyle w:val="69"/>
              <w:spacing w:before="24" w:beforeLines="10" w:line="360" w:lineRule="auto"/>
              <w:jc w:val="left"/>
              <w:rPr>
                <w:rFonts w:ascii="宋体" w:hAnsi="宋体" w:cs="宋体"/>
                <w:color w:val="000000" w:themeColor="text1"/>
                <w14:textFill>
                  <w14:solidFill>
                    <w14:schemeClr w14:val="tx1"/>
                  </w14:solidFill>
                </w14:textFill>
              </w:rPr>
            </w:pPr>
            <w:r>
              <w:rPr>
                <w:rFonts w:ascii="宋体" w:hAnsi="宋体" w:cs="宋体"/>
                <w:color w:val="000000" w:themeColor="text1"/>
                <w:highlight w:val="none"/>
                <w14:textFill>
                  <w14:solidFill>
                    <w14:schemeClr w14:val="tx1"/>
                  </w14:solidFill>
                </w14:textFill>
              </w:rPr>
              <w:t>④</w:t>
            </w:r>
            <w:r>
              <w:rPr>
                <w:rFonts w:hint="eastAsia" w:ascii="宋体" w:hAnsi="宋体" w:cs="宋体"/>
                <w:color w:val="000000" w:themeColor="text1"/>
                <w:highlight w:val="none"/>
                <w:lang w:val="en-US" w:eastAsia="zh-CN"/>
                <w14:textFill>
                  <w14:solidFill>
                    <w14:schemeClr w14:val="tx1"/>
                  </w14:solidFill>
                </w14:textFill>
              </w:rPr>
              <w:t>试验室</w:t>
            </w:r>
            <w:r>
              <w:rPr>
                <w:rFonts w:hint="eastAsia" w:ascii="宋体" w:hAnsi="宋体" w:cs="宋体"/>
                <w:color w:val="000000" w:themeColor="text1"/>
                <w:highlight w:val="none"/>
                <w14:textFill>
                  <w14:solidFill>
                    <w14:schemeClr w14:val="tx1"/>
                  </w14:solidFill>
                </w14:textFill>
              </w:rPr>
              <w:t>及</w:t>
            </w:r>
            <w:r>
              <w:rPr>
                <w:rFonts w:ascii="宋体" w:hAnsi="宋体" w:cs="宋体"/>
                <w:color w:val="000000" w:themeColor="text1"/>
                <w14:textFill>
                  <w14:solidFill>
                    <w14:schemeClr w14:val="tx1"/>
                  </w14:solidFill>
                </w14:textFill>
              </w:rPr>
              <w:t>周围应设置禁止火源等标识。</w:t>
            </w:r>
          </w:p>
          <w:p w14:paraId="1CB37C09">
            <w:pPr>
              <w:widowControl/>
              <w:spacing w:line="360" w:lineRule="auto"/>
              <w:rPr>
                <w:color w:val="000000" w:themeColor="text1"/>
                <w:szCs w:val="21"/>
                <w14:textFill>
                  <w14:solidFill>
                    <w14:schemeClr w14:val="tx1"/>
                  </w14:solidFill>
                </w14:textFill>
              </w:rPr>
            </w:pPr>
            <w:r>
              <w:rPr>
                <w:rFonts w:ascii="宋体" w:hAnsi="宋体" w:cs="宋体"/>
                <w:color w:val="000000" w:themeColor="text1"/>
                <w:szCs w:val="20"/>
                <w14:textFill>
                  <w14:solidFill>
                    <w14:schemeClr w14:val="tx1"/>
                  </w14:solidFill>
                </w14:textFill>
              </w:rPr>
              <w:t>⑤按照规定配备灭火器。</w:t>
            </w:r>
          </w:p>
        </w:tc>
      </w:tr>
      <w:tr w14:paraId="25A8F0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754" w:type="pct"/>
            <w:vAlign w:val="center"/>
          </w:tcPr>
          <w:p w14:paraId="3665ED27">
            <w:pPr>
              <w:widowControl/>
              <w:jc w:val="center"/>
              <w:rPr>
                <w:szCs w:val="21"/>
                <w:lang w:bidi="ar"/>
              </w:rPr>
            </w:pPr>
            <w:r>
              <w:rPr>
                <w:szCs w:val="21"/>
                <w:lang w:bidi="ar"/>
              </w:rPr>
              <w:t>其他环境</w:t>
            </w:r>
          </w:p>
          <w:p w14:paraId="032EA660">
            <w:pPr>
              <w:widowControl/>
              <w:jc w:val="center"/>
              <w:rPr>
                <w:szCs w:val="21"/>
                <w:lang w:bidi="ar"/>
              </w:rPr>
            </w:pPr>
            <w:r>
              <w:rPr>
                <w:szCs w:val="21"/>
                <w:lang w:bidi="ar"/>
              </w:rPr>
              <w:t>管理要求</w:t>
            </w:r>
          </w:p>
        </w:tc>
        <w:tc>
          <w:tcPr>
            <w:tcW w:w="4245" w:type="pct"/>
            <w:gridSpan w:val="4"/>
            <w:vAlign w:val="center"/>
          </w:tcPr>
          <w:p w14:paraId="2B2632F4">
            <w:pPr>
              <w:snapToGrid w:val="0"/>
              <w:spacing w:line="360" w:lineRule="auto"/>
              <w:rPr>
                <w:szCs w:val="21"/>
              </w:rPr>
            </w:pPr>
            <w:r>
              <w:rPr>
                <w:rFonts w:hint="eastAsia"/>
                <w:szCs w:val="21"/>
              </w:rPr>
              <w:t>①严格执行国家环境保护有关政策和法规，取得环评手续后尽快申报排污许可手续并组织完成本项目的竣工环保验收工作。</w:t>
            </w:r>
          </w:p>
          <w:p w14:paraId="1A5A92EE">
            <w:pPr>
              <w:snapToGrid w:val="0"/>
              <w:spacing w:line="360" w:lineRule="auto"/>
              <w:rPr>
                <w:szCs w:val="21"/>
              </w:rPr>
            </w:pPr>
            <w:r>
              <w:rPr>
                <w:rFonts w:hint="eastAsia"/>
                <w:szCs w:val="21"/>
              </w:rPr>
              <w:t>②严格执行建设项目“三同时”制度，监督项目环保“三同时”落实情况。</w:t>
            </w:r>
          </w:p>
          <w:p w14:paraId="05D60D00">
            <w:pPr>
              <w:snapToGrid w:val="0"/>
              <w:spacing w:line="360" w:lineRule="auto"/>
              <w:rPr>
                <w:szCs w:val="21"/>
              </w:rPr>
            </w:pPr>
            <w:r>
              <w:rPr>
                <w:rFonts w:hint="eastAsia"/>
                <w:szCs w:val="21"/>
              </w:rPr>
              <w:t>③完善现有环境管理制度。</w:t>
            </w:r>
          </w:p>
          <w:p w14:paraId="39E94B6A">
            <w:pPr>
              <w:snapToGrid w:val="0"/>
              <w:spacing w:line="360" w:lineRule="auto"/>
              <w:rPr>
                <w:szCs w:val="21"/>
                <w:lang w:bidi="ar"/>
              </w:rPr>
            </w:pPr>
            <w:r>
              <w:rPr>
                <w:rFonts w:hint="eastAsia"/>
                <w:szCs w:val="21"/>
              </w:rPr>
              <w:t>④制定监测计划，并定期进行环境监测。</w:t>
            </w:r>
          </w:p>
        </w:tc>
      </w:tr>
    </w:tbl>
    <w:p w14:paraId="20A7AD9D">
      <w:pPr>
        <w:pStyle w:val="25"/>
        <w:jc w:val="center"/>
        <w:outlineLvl w:val="0"/>
        <w:rPr>
          <w:rFonts w:ascii="黑体" w:hAnsi="黑体" w:eastAsia="黑体"/>
          <w:snapToGrid w:val="0"/>
          <w:color w:val="000000" w:themeColor="text1"/>
          <w:sz w:val="30"/>
          <w:szCs w:val="30"/>
          <w14:textFill>
            <w14:solidFill>
              <w14:schemeClr w14:val="tx1"/>
            </w14:solidFill>
          </w14:textFill>
        </w:rPr>
      </w:pPr>
      <w:r>
        <w:rPr>
          <w:snapToGrid w:val="0"/>
          <w:color w:val="000000" w:themeColor="text1"/>
          <w14:textFill>
            <w14:solidFill>
              <w14:schemeClr w14:val="tx1"/>
            </w14:solidFill>
          </w14:textFill>
        </w:rPr>
        <w:br w:type="page"/>
      </w:r>
      <w:r>
        <w:rPr>
          <w:rFonts w:hint="eastAsia" w:ascii="黑体" w:hAnsi="黑体" w:eastAsia="黑体"/>
          <w:snapToGrid w:val="0"/>
          <w:color w:val="000000" w:themeColor="text1"/>
          <w:sz w:val="30"/>
          <w:szCs w:val="30"/>
          <w14:textFill>
            <w14:solidFill>
              <w14:schemeClr w14:val="tx1"/>
            </w14:solidFill>
          </w14:textFill>
        </w:rPr>
        <w:t>六、结论</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7DDEA2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34DAC46C">
            <w:pPr>
              <w:spacing w:line="360" w:lineRule="auto"/>
              <w:ind w:firstLine="480" w:firstLineChars="200"/>
              <w:rPr>
                <w:rFonts w:ascii="宋体" w:cs="宋体"/>
                <w:color w:val="000000" w:themeColor="text1"/>
                <w:sz w:val="24"/>
                <w14:textFill>
                  <w14:solidFill>
                    <w14:schemeClr w14:val="tx1"/>
                  </w14:solidFill>
                </w14:textFill>
              </w:rPr>
            </w:pPr>
            <w:r>
              <w:rPr>
                <w:rFonts w:hint="eastAsia"/>
                <w:color w:val="000000" w:themeColor="text1"/>
                <w:kern w:val="0"/>
                <w:sz w:val="24"/>
                <w:lang w:bidi="ar"/>
                <w14:textFill>
                  <w14:solidFill>
                    <w14:schemeClr w14:val="tx1"/>
                  </w14:solidFill>
                </w14:textFill>
              </w:rPr>
              <w:t>本项目符合国家产业政策，选址合理。在全面落实环评提出的各项环保措施的情况下，各项污染物均能达标排放，固体废物均能够合理处置，对周围环境影响较小。从环境保护角度分析，该项目建设环境影响可行。</w:t>
            </w:r>
          </w:p>
        </w:tc>
      </w:tr>
    </w:tbl>
    <w:p w14:paraId="03C02508">
      <w:pPr>
        <w:rPr>
          <w:rFonts w:ascii="宋体"/>
          <w:color w:val="000000" w:themeColor="text1"/>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29F0FB86">
      <w:pPr>
        <w:pStyle w:val="25"/>
        <w:adjustRightInd w:val="0"/>
        <w:snapToGrid w:val="0"/>
        <w:spacing w:before="0" w:beforeAutospacing="0" w:after="0" w:afterAutospacing="0"/>
        <w:outlineLvl w:val="0"/>
        <w:rPr>
          <w:rFonts w:ascii="黑体" w:hAnsi="黑体" w:eastAsia="黑体"/>
          <w:snapToGrid w:val="0"/>
          <w:color w:val="000000" w:themeColor="text1"/>
          <w:sz w:val="32"/>
          <w:szCs w:val="32"/>
          <w14:textFill>
            <w14:solidFill>
              <w14:schemeClr w14:val="tx1"/>
            </w14:solidFill>
          </w14:textFill>
        </w:rPr>
      </w:pPr>
      <w:r>
        <w:rPr>
          <w:rFonts w:hint="eastAsia" w:ascii="黑体" w:hAnsi="黑体" w:eastAsia="黑体"/>
          <w:snapToGrid w:val="0"/>
          <w:color w:val="000000" w:themeColor="text1"/>
          <w:sz w:val="32"/>
          <w:szCs w:val="32"/>
          <w14:textFill>
            <w14:solidFill>
              <w14:schemeClr w14:val="tx1"/>
            </w14:solidFill>
          </w14:textFill>
        </w:rPr>
        <w:t>附表</w:t>
      </w:r>
    </w:p>
    <w:p w14:paraId="2F635801">
      <w:pPr>
        <w:pStyle w:val="25"/>
        <w:adjustRightInd w:val="0"/>
        <w:snapToGrid w:val="0"/>
        <w:spacing w:before="0" w:beforeAutospacing="0" w:after="0" w:afterAutospacing="0"/>
        <w:jc w:val="center"/>
        <w:outlineLvl w:val="0"/>
        <w:rPr>
          <w:rFonts w:ascii="方正小标宋_GBK" w:hAnsi="黑体" w:eastAsia="方正小标宋_GBK"/>
          <w:snapToGrid w:val="0"/>
          <w:color w:val="000000" w:themeColor="text1"/>
          <w:sz w:val="38"/>
          <w:szCs w:val="38"/>
          <w14:textFill>
            <w14:solidFill>
              <w14:schemeClr w14:val="tx1"/>
            </w14:solidFill>
          </w14:textFill>
        </w:rPr>
      </w:pPr>
      <w:r>
        <w:rPr>
          <w:rFonts w:hint="eastAsia" w:ascii="方正小标宋_GBK" w:hAnsi="黑体" w:eastAsia="方正小标宋_GBK"/>
          <w:snapToGrid w:val="0"/>
          <w:color w:val="000000" w:themeColor="text1"/>
          <w:sz w:val="38"/>
          <w:szCs w:val="38"/>
          <w14:textFill>
            <w14:solidFill>
              <w14:schemeClr w14:val="tx1"/>
            </w14:solidFill>
          </w14:textFill>
        </w:rPr>
        <w:t>建设项目污染物排放量汇总表</w:t>
      </w:r>
    </w:p>
    <w:tbl>
      <w:tblPr>
        <w:tblStyle w:val="28"/>
        <w:tblW w:w="503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09"/>
        <w:gridCol w:w="2236"/>
        <w:gridCol w:w="1359"/>
        <w:gridCol w:w="1272"/>
        <w:gridCol w:w="1701"/>
        <w:gridCol w:w="1557"/>
        <w:gridCol w:w="1527"/>
        <w:gridCol w:w="1470"/>
        <w:gridCol w:w="1342"/>
      </w:tblGrid>
      <w:tr w14:paraId="327A58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5" w:hRule="atLeast"/>
          <w:jc w:val="center"/>
        </w:trPr>
        <w:tc>
          <w:tcPr>
            <w:tcW w:w="408" w:type="pct"/>
            <w:tcBorders>
              <w:tl2br w:val="single" w:color="auto" w:sz="4" w:space="0"/>
            </w:tcBorders>
            <w:tcMar>
              <w:left w:w="28" w:type="dxa"/>
              <w:right w:w="28" w:type="dxa"/>
            </w:tcMar>
            <w:vAlign w:val="center"/>
          </w:tcPr>
          <w:p w14:paraId="7A0996CD">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eastAsia" w:ascii="Times New Roman" w:hAnsi="Times New Roman" w:eastAsia="黑体" w:cs="Times New Roman"/>
                <w:b/>
                <w:bCs/>
                <w:snapToGrid w:val="0"/>
                <w:color w:val="auto"/>
                <w:spacing w:val="-6"/>
                <w:kern w:val="21"/>
                <w:sz w:val="21"/>
                <w:szCs w:val="21"/>
                <w:lang w:val="en-US" w:eastAsia="zh-CN"/>
              </w:rPr>
              <w:t xml:space="preserve">       </w:t>
            </w:r>
            <w:r>
              <w:rPr>
                <w:rFonts w:hint="default" w:ascii="Times New Roman" w:hAnsi="Times New Roman" w:eastAsia="黑体" w:cs="Times New Roman"/>
                <w:b/>
                <w:bCs/>
                <w:snapToGrid w:val="0"/>
                <w:color w:val="auto"/>
                <w:spacing w:val="-6"/>
                <w:kern w:val="21"/>
                <w:sz w:val="21"/>
                <w:szCs w:val="21"/>
              </w:rPr>
              <w:t>项目</w:t>
            </w:r>
          </w:p>
          <w:p w14:paraId="54F43B22">
            <w:pPr>
              <w:pStyle w:val="36"/>
              <w:spacing w:beforeLines="0" w:afterLines="0" w:line="240" w:lineRule="auto"/>
              <w:jc w:val="both"/>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t>分类</w:t>
            </w:r>
          </w:p>
        </w:tc>
        <w:tc>
          <w:tcPr>
            <w:tcW w:w="823" w:type="pct"/>
            <w:tcMar>
              <w:left w:w="28" w:type="dxa"/>
              <w:right w:w="28" w:type="dxa"/>
            </w:tcMar>
            <w:vAlign w:val="center"/>
          </w:tcPr>
          <w:p w14:paraId="62E6F187">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t>污染物名称</w:t>
            </w:r>
          </w:p>
        </w:tc>
        <w:tc>
          <w:tcPr>
            <w:tcW w:w="500" w:type="pct"/>
            <w:tcMar>
              <w:left w:w="28" w:type="dxa"/>
              <w:right w:w="28" w:type="dxa"/>
            </w:tcMar>
            <w:vAlign w:val="center"/>
          </w:tcPr>
          <w:p w14:paraId="61EFC93D">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t>现有工程</w:t>
            </w:r>
          </w:p>
          <w:p w14:paraId="5C018800">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t>排放量（固体废物产生量）</w:t>
            </w:r>
            <w:r>
              <w:rPr>
                <w:rFonts w:hint="default" w:ascii="Times New Roman" w:hAnsi="Times New Roman" w:eastAsia="黑体" w:cs="Times New Roman"/>
                <w:b/>
                <w:bCs/>
                <w:snapToGrid w:val="0"/>
                <w:color w:val="auto"/>
                <w:spacing w:val="-6"/>
                <w:kern w:val="21"/>
                <w:sz w:val="21"/>
                <w:szCs w:val="21"/>
              </w:rPr>
              <w:fldChar w:fldCharType="begin"/>
            </w:r>
            <w:r>
              <w:rPr>
                <w:rFonts w:hint="default" w:ascii="Times New Roman" w:hAnsi="Times New Roman" w:eastAsia="黑体" w:cs="Times New Roman"/>
                <w:b/>
                <w:bCs/>
                <w:snapToGrid w:val="0"/>
                <w:color w:val="auto"/>
                <w:spacing w:val="-6"/>
                <w:kern w:val="21"/>
                <w:sz w:val="21"/>
                <w:szCs w:val="21"/>
              </w:rPr>
              <w:instrText xml:space="preserve"> = 1 \* GB3 \* MERGEFORMAT </w:instrText>
            </w:r>
            <w:r>
              <w:rPr>
                <w:rFonts w:hint="default" w:ascii="Times New Roman" w:hAnsi="Times New Roman" w:eastAsia="黑体" w:cs="Times New Roman"/>
                <w:b/>
                <w:bCs/>
                <w:snapToGrid w:val="0"/>
                <w:color w:val="auto"/>
                <w:spacing w:val="-6"/>
                <w:kern w:val="21"/>
                <w:sz w:val="21"/>
                <w:szCs w:val="21"/>
              </w:rPr>
              <w:fldChar w:fldCharType="separate"/>
            </w:r>
            <w:r>
              <w:rPr>
                <w:rFonts w:hint="default" w:ascii="Times New Roman" w:hAnsi="Times New Roman" w:eastAsia="黑体" w:cs="Times New Roman"/>
                <w:b/>
                <w:bCs/>
                <w:color w:val="auto"/>
                <w:kern w:val="2"/>
                <w:sz w:val="21"/>
                <w:szCs w:val="21"/>
              </w:rPr>
              <w:t>①</w:t>
            </w:r>
            <w:r>
              <w:rPr>
                <w:rFonts w:hint="default" w:ascii="Times New Roman" w:hAnsi="Times New Roman" w:eastAsia="黑体" w:cs="Times New Roman"/>
                <w:b/>
                <w:bCs/>
                <w:snapToGrid w:val="0"/>
                <w:color w:val="auto"/>
                <w:spacing w:val="-6"/>
                <w:kern w:val="21"/>
                <w:sz w:val="21"/>
                <w:szCs w:val="21"/>
              </w:rPr>
              <w:fldChar w:fldCharType="end"/>
            </w:r>
          </w:p>
        </w:tc>
        <w:tc>
          <w:tcPr>
            <w:tcW w:w="468" w:type="pct"/>
            <w:tcMar>
              <w:left w:w="28" w:type="dxa"/>
              <w:right w:w="28" w:type="dxa"/>
            </w:tcMar>
            <w:vAlign w:val="center"/>
          </w:tcPr>
          <w:p w14:paraId="3F2DD099">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t>现有工程</w:t>
            </w:r>
          </w:p>
          <w:p w14:paraId="501BD5DE">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t>许可排放量</w:t>
            </w:r>
          </w:p>
          <w:p w14:paraId="37A2DC08">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fldChar w:fldCharType="begin"/>
            </w:r>
            <w:r>
              <w:rPr>
                <w:rFonts w:hint="default" w:ascii="Times New Roman" w:hAnsi="Times New Roman" w:eastAsia="黑体" w:cs="Times New Roman"/>
                <w:b/>
                <w:bCs/>
                <w:snapToGrid w:val="0"/>
                <w:color w:val="auto"/>
                <w:spacing w:val="-6"/>
                <w:kern w:val="21"/>
                <w:sz w:val="21"/>
                <w:szCs w:val="21"/>
              </w:rPr>
              <w:instrText xml:space="preserve"> = 2 \* GB3 \* MERGEFORMAT </w:instrText>
            </w:r>
            <w:r>
              <w:rPr>
                <w:rFonts w:hint="default" w:ascii="Times New Roman" w:hAnsi="Times New Roman" w:eastAsia="黑体" w:cs="Times New Roman"/>
                <w:b/>
                <w:bCs/>
                <w:snapToGrid w:val="0"/>
                <w:color w:val="auto"/>
                <w:spacing w:val="-6"/>
                <w:kern w:val="21"/>
                <w:sz w:val="21"/>
                <w:szCs w:val="21"/>
              </w:rPr>
              <w:fldChar w:fldCharType="separate"/>
            </w:r>
            <w:r>
              <w:rPr>
                <w:rFonts w:hint="default" w:ascii="Times New Roman" w:hAnsi="Times New Roman" w:eastAsia="黑体" w:cs="Times New Roman"/>
                <w:b/>
                <w:bCs/>
                <w:snapToGrid w:val="0"/>
                <w:color w:val="auto"/>
                <w:spacing w:val="-6"/>
                <w:kern w:val="21"/>
                <w:sz w:val="21"/>
                <w:szCs w:val="21"/>
              </w:rPr>
              <w:t>②</w:t>
            </w:r>
            <w:r>
              <w:rPr>
                <w:rFonts w:hint="default" w:ascii="Times New Roman" w:hAnsi="Times New Roman" w:eastAsia="黑体" w:cs="Times New Roman"/>
                <w:b/>
                <w:bCs/>
                <w:snapToGrid w:val="0"/>
                <w:color w:val="auto"/>
                <w:spacing w:val="-6"/>
                <w:kern w:val="21"/>
                <w:sz w:val="21"/>
                <w:szCs w:val="21"/>
              </w:rPr>
              <w:fldChar w:fldCharType="end"/>
            </w:r>
          </w:p>
        </w:tc>
        <w:tc>
          <w:tcPr>
            <w:tcW w:w="626" w:type="pct"/>
            <w:tcMar>
              <w:left w:w="28" w:type="dxa"/>
              <w:right w:w="28" w:type="dxa"/>
            </w:tcMar>
            <w:vAlign w:val="center"/>
          </w:tcPr>
          <w:p w14:paraId="4A955F99">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t>在建工程</w:t>
            </w:r>
          </w:p>
          <w:p w14:paraId="45C1E065">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t>排放量（固体废物产生量）</w:t>
            </w:r>
            <w:r>
              <w:rPr>
                <w:rFonts w:hint="default" w:ascii="Times New Roman" w:hAnsi="Times New Roman" w:eastAsia="黑体" w:cs="Times New Roman"/>
                <w:b/>
                <w:bCs/>
                <w:snapToGrid w:val="0"/>
                <w:color w:val="auto"/>
                <w:spacing w:val="-6"/>
                <w:kern w:val="21"/>
                <w:sz w:val="21"/>
                <w:szCs w:val="21"/>
              </w:rPr>
              <w:fldChar w:fldCharType="begin"/>
            </w:r>
            <w:r>
              <w:rPr>
                <w:rFonts w:hint="default" w:ascii="Times New Roman" w:hAnsi="Times New Roman" w:eastAsia="黑体" w:cs="Times New Roman"/>
                <w:b/>
                <w:bCs/>
                <w:snapToGrid w:val="0"/>
                <w:color w:val="auto"/>
                <w:spacing w:val="-6"/>
                <w:kern w:val="21"/>
                <w:sz w:val="21"/>
                <w:szCs w:val="21"/>
              </w:rPr>
              <w:instrText xml:space="preserve"> = 3 \* GB3 \* MERGEFORMAT </w:instrText>
            </w:r>
            <w:r>
              <w:rPr>
                <w:rFonts w:hint="default" w:ascii="Times New Roman" w:hAnsi="Times New Roman" w:eastAsia="黑体" w:cs="Times New Roman"/>
                <w:b/>
                <w:bCs/>
                <w:snapToGrid w:val="0"/>
                <w:color w:val="auto"/>
                <w:spacing w:val="-6"/>
                <w:kern w:val="21"/>
                <w:sz w:val="21"/>
                <w:szCs w:val="21"/>
              </w:rPr>
              <w:fldChar w:fldCharType="separate"/>
            </w:r>
            <w:r>
              <w:rPr>
                <w:rFonts w:hint="default" w:ascii="Times New Roman" w:hAnsi="Times New Roman" w:eastAsia="黑体" w:cs="Times New Roman"/>
                <w:b/>
                <w:bCs/>
                <w:color w:val="auto"/>
                <w:kern w:val="2"/>
                <w:sz w:val="21"/>
                <w:szCs w:val="21"/>
              </w:rPr>
              <w:t>③</w:t>
            </w:r>
            <w:r>
              <w:rPr>
                <w:rFonts w:hint="default" w:ascii="Times New Roman" w:hAnsi="Times New Roman" w:eastAsia="黑体" w:cs="Times New Roman"/>
                <w:b/>
                <w:bCs/>
                <w:snapToGrid w:val="0"/>
                <w:color w:val="auto"/>
                <w:spacing w:val="-6"/>
                <w:kern w:val="21"/>
                <w:sz w:val="21"/>
                <w:szCs w:val="21"/>
              </w:rPr>
              <w:fldChar w:fldCharType="end"/>
            </w:r>
          </w:p>
        </w:tc>
        <w:tc>
          <w:tcPr>
            <w:tcW w:w="573" w:type="pct"/>
            <w:tcMar>
              <w:left w:w="28" w:type="dxa"/>
              <w:right w:w="28" w:type="dxa"/>
            </w:tcMar>
            <w:vAlign w:val="center"/>
          </w:tcPr>
          <w:p w14:paraId="5080A5F9">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t>本项目</w:t>
            </w:r>
          </w:p>
          <w:p w14:paraId="68650547">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t>排放量（固体废物产生量）</w:t>
            </w:r>
            <w:r>
              <w:rPr>
                <w:rFonts w:hint="default" w:ascii="Times New Roman" w:hAnsi="Times New Roman" w:eastAsia="黑体" w:cs="Times New Roman"/>
                <w:b/>
                <w:bCs/>
                <w:snapToGrid w:val="0"/>
                <w:color w:val="auto"/>
                <w:spacing w:val="-6"/>
                <w:kern w:val="21"/>
                <w:sz w:val="21"/>
                <w:szCs w:val="21"/>
              </w:rPr>
              <w:fldChar w:fldCharType="begin"/>
            </w:r>
            <w:r>
              <w:rPr>
                <w:rFonts w:hint="default" w:ascii="Times New Roman" w:hAnsi="Times New Roman" w:eastAsia="黑体" w:cs="Times New Roman"/>
                <w:b/>
                <w:bCs/>
                <w:snapToGrid w:val="0"/>
                <w:color w:val="auto"/>
                <w:spacing w:val="-6"/>
                <w:kern w:val="21"/>
                <w:sz w:val="21"/>
                <w:szCs w:val="21"/>
              </w:rPr>
              <w:instrText xml:space="preserve"> = 4 \* GB3 \* MERGEFORMAT </w:instrText>
            </w:r>
            <w:r>
              <w:rPr>
                <w:rFonts w:hint="default" w:ascii="Times New Roman" w:hAnsi="Times New Roman" w:eastAsia="黑体" w:cs="Times New Roman"/>
                <w:b/>
                <w:bCs/>
                <w:snapToGrid w:val="0"/>
                <w:color w:val="auto"/>
                <w:spacing w:val="-6"/>
                <w:kern w:val="21"/>
                <w:sz w:val="21"/>
                <w:szCs w:val="21"/>
              </w:rPr>
              <w:fldChar w:fldCharType="separate"/>
            </w:r>
            <w:r>
              <w:rPr>
                <w:rFonts w:hint="default" w:ascii="Times New Roman" w:hAnsi="Times New Roman" w:eastAsia="黑体" w:cs="Times New Roman"/>
                <w:b/>
                <w:bCs/>
                <w:color w:val="auto"/>
                <w:kern w:val="2"/>
                <w:sz w:val="21"/>
                <w:szCs w:val="21"/>
              </w:rPr>
              <w:t>④</w:t>
            </w:r>
            <w:r>
              <w:rPr>
                <w:rFonts w:hint="default" w:ascii="Times New Roman" w:hAnsi="Times New Roman" w:eastAsia="黑体" w:cs="Times New Roman"/>
                <w:b/>
                <w:bCs/>
                <w:snapToGrid w:val="0"/>
                <w:color w:val="auto"/>
                <w:spacing w:val="-6"/>
                <w:kern w:val="21"/>
                <w:sz w:val="21"/>
                <w:szCs w:val="21"/>
              </w:rPr>
              <w:fldChar w:fldCharType="end"/>
            </w:r>
          </w:p>
        </w:tc>
        <w:tc>
          <w:tcPr>
            <w:tcW w:w="562" w:type="pct"/>
            <w:tcMar>
              <w:left w:w="28" w:type="dxa"/>
              <w:right w:w="28" w:type="dxa"/>
            </w:tcMar>
            <w:vAlign w:val="center"/>
          </w:tcPr>
          <w:p w14:paraId="0132DAE4">
            <w:pPr>
              <w:pStyle w:val="36"/>
              <w:spacing w:beforeLines="0" w:afterLines="0" w:line="240" w:lineRule="auto"/>
              <w:jc w:val="center"/>
              <w:rPr>
                <w:rFonts w:hint="default" w:ascii="Times New Roman" w:hAnsi="Times New Roman" w:eastAsia="黑体" w:cs="Times New Roman"/>
                <w:b/>
                <w:bCs/>
                <w:snapToGrid w:val="0"/>
                <w:color w:val="auto"/>
                <w:spacing w:val="-16"/>
                <w:kern w:val="21"/>
                <w:sz w:val="21"/>
                <w:szCs w:val="21"/>
              </w:rPr>
            </w:pPr>
            <w:r>
              <w:rPr>
                <w:rFonts w:hint="default" w:ascii="Times New Roman" w:hAnsi="Times New Roman" w:eastAsia="黑体" w:cs="Times New Roman"/>
                <w:b/>
                <w:bCs/>
                <w:snapToGrid w:val="0"/>
                <w:color w:val="auto"/>
                <w:spacing w:val="-16"/>
                <w:kern w:val="21"/>
                <w:sz w:val="21"/>
                <w:szCs w:val="21"/>
              </w:rPr>
              <w:t>以新带老削减量</w:t>
            </w:r>
          </w:p>
          <w:p w14:paraId="329D1F79">
            <w:pPr>
              <w:pStyle w:val="36"/>
              <w:spacing w:beforeLines="0" w:afterLines="0" w:line="240" w:lineRule="auto"/>
              <w:jc w:val="center"/>
              <w:rPr>
                <w:rFonts w:hint="default" w:ascii="Times New Roman" w:hAnsi="Times New Roman" w:eastAsia="黑体" w:cs="Times New Roman"/>
                <w:b/>
                <w:bCs/>
                <w:snapToGrid w:val="0"/>
                <w:color w:val="auto"/>
                <w:spacing w:val="-16"/>
                <w:kern w:val="21"/>
                <w:sz w:val="21"/>
                <w:szCs w:val="21"/>
              </w:rPr>
            </w:pPr>
            <w:r>
              <w:rPr>
                <w:rFonts w:hint="default" w:ascii="Times New Roman" w:hAnsi="Times New Roman" w:eastAsia="黑体" w:cs="Times New Roman"/>
                <w:b/>
                <w:bCs/>
                <w:snapToGrid w:val="0"/>
                <w:color w:val="auto"/>
                <w:spacing w:val="-16"/>
                <w:kern w:val="21"/>
                <w:sz w:val="21"/>
                <w:szCs w:val="21"/>
              </w:rPr>
              <w:t>（新建项目不填）</w:t>
            </w:r>
            <w:r>
              <w:rPr>
                <w:rFonts w:hint="default" w:ascii="Times New Roman" w:hAnsi="Times New Roman" w:eastAsia="黑体" w:cs="Times New Roman"/>
                <w:b/>
                <w:bCs/>
                <w:snapToGrid w:val="0"/>
                <w:color w:val="auto"/>
                <w:spacing w:val="-16"/>
                <w:kern w:val="21"/>
                <w:sz w:val="21"/>
                <w:szCs w:val="21"/>
              </w:rPr>
              <w:fldChar w:fldCharType="begin"/>
            </w:r>
            <w:r>
              <w:rPr>
                <w:rFonts w:hint="default" w:ascii="Times New Roman" w:hAnsi="Times New Roman" w:eastAsia="黑体" w:cs="Times New Roman"/>
                <w:b/>
                <w:bCs/>
                <w:snapToGrid w:val="0"/>
                <w:color w:val="auto"/>
                <w:spacing w:val="-16"/>
                <w:kern w:val="21"/>
                <w:sz w:val="21"/>
                <w:szCs w:val="21"/>
              </w:rPr>
              <w:instrText xml:space="preserve"> = 5 \* GB3 \* MERGEFORMAT </w:instrText>
            </w:r>
            <w:r>
              <w:rPr>
                <w:rFonts w:hint="default" w:ascii="Times New Roman" w:hAnsi="Times New Roman" w:eastAsia="黑体" w:cs="Times New Roman"/>
                <w:b/>
                <w:bCs/>
                <w:snapToGrid w:val="0"/>
                <w:color w:val="auto"/>
                <w:spacing w:val="-16"/>
                <w:kern w:val="21"/>
                <w:sz w:val="21"/>
                <w:szCs w:val="21"/>
              </w:rPr>
              <w:fldChar w:fldCharType="separate"/>
            </w:r>
            <w:r>
              <w:rPr>
                <w:rFonts w:hint="default" w:ascii="Times New Roman" w:hAnsi="Times New Roman" w:eastAsia="黑体" w:cs="Times New Roman"/>
                <w:b/>
                <w:bCs/>
                <w:color w:val="auto"/>
                <w:kern w:val="2"/>
                <w:sz w:val="21"/>
                <w:szCs w:val="21"/>
              </w:rPr>
              <w:t>⑤</w:t>
            </w:r>
            <w:r>
              <w:rPr>
                <w:rFonts w:hint="default" w:ascii="Times New Roman" w:hAnsi="Times New Roman" w:eastAsia="黑体" w:cs="Times New Roman"/>
                <w:b/>
                <w:bCs/>
                <w:snapToGrid w:val="0"/>
                <w:color w:val="auto"/>
                <w:spacing w:val="-16"/>
                <w:kern w:val="21"/>
                <w:sz w:val="21"/>
                <w:szCs w:val="21"/>
              </w:rPr>
              <w:fldChar w:fldCharType="end"/>
            </w:r>
          </w:p>
        </w:tc>
        <w:tc>
          <w:tcPr>
            <w:tcW w:w="541" w:type="pct"/>
            <w:tcMar>
              <w:left w:w="28" w:type="dxa"/>
              <w:right w:w="28" w:type="dxa"/>
            </w:tcMar>
            <w:vAlign w:val="center"/>
          </w:tcPr>
          <w:p w14:paraId="3D2F6C3C">
            <w:pPr>
              <w:pStyle w:val="36"/>
              <w:spacing w:beforeLines="0" w:afterLines="0" w:line="240" w:lineRule="auto"/>
              <w:jc w:val="center"/>
              <w:rPr>
                <w:rFonts w:hint="default" w:ascii="Times New Roman" w:hAnsi="Times New Roman" w:eastAsia="黑体" w:cs="Times New Roman"/>
                <w:b/>
                <w:bCs/>
                <w:snapToGrid w:val="0"/>
                <w:color w:val="auto"/>
                <w:spacing w:val="-16"/>
                <w:kern w:val="21"/>
                <w:sz w:val="21"/>
                <w:szCs w:val="21"/>
              </w:rPr>
            </w:pPr>
            <w:r>
              <w:rPr>
                <w:rFonts w:hint="default" w:ascii="Times New Roman" w:hAnsi="Times New Roman" w:eastAsia="黑体" w:cs="Times New Roman"/>
                <w:b/>
                <w:bCs/>
                <w:snapToGrid w:val="0"/>
                <w:color w:val="auto"/>
                <w:spacing w:val="-16"/>
                <w:kern w:val="21"/>
                <w:sz w:val="21"/>
                <w:szCs w:val="21"/>
              </w:rPr>
              <w:t>本项目建成后</w:t>
            </w:r>
          </w:p>
          <w:p w14:paraId="7CD91CF8">
            <w:pPr>
              <w:pStyle w:val="36"/>
              <w:spacing w:beforeLines="0" w:afterLines="0" w:line="240" w:lineRule="auto"/>
              <w:jc w:val="center"/>
              <w:rPr>
                <w:rFonts w:hint="default" w:ascii="Times New Roman" w:hAnsi="Times New Roman" w:eastAsia="黑体" w:cs="Times New Roman"/>
                <w:b/>
                <w:bCs/>
                <w:snapToGrid w:val="0"/>
                <w:color w:val="auto"/>
                <w:spacing w:val="-16"/>
                <w:kern w:val="21"/>
                <w:sz w:val="21"/>
                <w:szCs w:val="21"/>
              </w:rPr>
            </w:pPr>
            <w:r>
              <w:rPr>
                <w:rFonts w:hint="default" w:ascii="Times New Roman" w:hAnsi="Times New Roman" w:eastAsia="黑体" w:cs="Times New Roman"/>
                <w:b/>
                <w:bCs/>
                <w:snapToGrid w:val="0"/>
                <w:color w:val="auto"/>
                <w:spacing w:val="-16"/>
                <w:kern w:val="21"/>
                <w:sz w:val="21"/>
                <w:szCs w:val="21"/>
              </w:rPr>
              <w:t>全厂排放量（固体废物产生量）</w:t>
            </w:r>
            <w:r>
              <w:rPr>
                <w:rFonts w:hint="default" w:ascii="Times New Roman" w:hAnsi="Times New Roman" w:eastAsia="黑体" w:cs="Times New Roman"/>
                <w:b/>
                <w:bCs/>
                <w:snapToGrid w:val="0"/>
                <w:color w:val="auto"/>
                <w:spacing w:val="-16"/>
                <w:kern w:val="21"/>
                <w:sz w:val="21"/>
                <w:szCs w:val="21"/>
              </w:rPr>
              <w:fldChar w:fldCharType="begin"/>
            </w:r>
            <w:r>
              <w:rPr>
                <w:rFonts w:hint="default" w:ascii="Times New Roman" w:hAnsi="Times New Roman" w:eastAsia="黑体" w:cs="Times New Roman"/>
                <w:b/>
                <w:bCs/>
                <w:snapToGrid w:val="0"/>
                <w:color w:val="auto"/>
                <w:spacing w:val="-16"/>
                <w:kern w:val="21"/>
                <w:sz w:val="21"/>
                <w:szCs w:val="21"/>
              </w:rPr>
              <w:instrText xml:space="preserve"> = 6 \* GB3 \* MERGEFORMAT </w:instrText>
            </w:r>
            <w:r>
              <w:rPr>
                <w:rFonts w:hint="default" w:ascii="Times New Roman" w:hAnsi="Times New Roman" w:eastAsia="黑体" w:cs="Times New Roman"/>
                <w:b/>
                <w:bCs/>
                <w:snapToGrid w:val="0"/>
                <w:color w:val="auto"/>
                <w:spacing w:val="-16"/>
                <w:kern w:val="21"/>
                <w:sz w:val="21"/>
                <w:szCs w:val="21"/>
              </w:rPr>
              <w:fldChar w:fldCharType="separate"/>
            </w:r>
            <w:r>
              <w:rPr>
                <w:rFonts w:hint="default" w:ascii="Times New Roman" w:hAnsi="Times New Roman" w:eastAsia="黑体" w:cs="Times New Roman"/>
                <w:b/>
                <w:bCs/>
                <w:color w:val="auto"/>
                <w:kern w:val="2"/>
                <w:sz w:val="21"/>
                <w:szCs w:val="21"/>
              </w:rPr>
              <w:t>⑥</w:t>
            </w:r>
            <w:r>
              <w:rPr>
                <w:rFonts w:hint="default" w:ascii="Times New Roman" w:hAnsi="Times New Roman" w:eastAsia="黑体" w:cs="Times New Roman"/>
                <w:b/>
                <w:bCs/>
                <w:snapToGrid w:val="0"/>
                <w:color w:val="auto"/>
                <w:spacing w:val="-16"/>
                <w:kern w:val="21"/>
                <w:sz w:val="21"/>
                <w:szCs w:val="21"/>
              </w:rPr>
              <w:fldChar w:fldCharType="end"/>
            </w:r>
          </w:p>
        </w:tc>
        <w:tc>
          <w:tcPr>
            <w:tcW w:w="494" w:type="pct"/>
            <w:tcMar>
              <w:left w:w="28" w:type="dxa"/>
              <w:right w:w="28" w:type="dxa"/>
            </w:tcMar>
            <w:vAlign w:val="center"/>
          </w:tcPr>
          <w:p w14:paraId="3C90FE72">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t>变化量</w:t>
            </w:r>
          </w:p>
          <w:p w14:paraId="0CDD367B">
            <w:pPr>
              <w:pStyle w:val="36"/>
              <w:spacing w:beforeLines="0" w:afterLines="0" w:line="240" w:lineRule="auto"/>
              <w:jc w:val="center"/>
              <w:rPr>
                <w:rFonts w:hint="default" w:ascii="Times New Roman" w:hAnsi="Times New Roman" w:eastAsia="黑体" w:cs="Times New Roman"/>
                <w:b/>
                <w:bCs/>
                <w:snapToGrid w:val="0"/>
                <w:color w:val="auto"/>
                <w:spacing w:val="-6"/>
                <w:kern w:val="21"/>
                <w:sz w:val="21"/>
                <w:szCs w:val="21"/>
              </w:rPr>
            </w:pPr>
            <w:r>
              <w:rPr>
                <w:rFonts w:hint="default" w:ascii="Times New Roman" w:hAnsi="Times New Roman" w:eastAsia="黑体" w:cs="Times New Roman"/>
                <w:b/>
                <w:bCs/>
                <w:snapToGrid w:val="0"/>
                <w:color w:val="auto"/>
                <w:spacing w:val="-6"/>
                <w:kern w:val="21"/>
                <w:sz w:val="21"/>
                <w:szCs w:val="21"/>
              </w:rPr>
              <w:fldChar w:fldCharType="begin"/>
            </w:r>
            <w:r>
              <w:rPr>
                <w:rFonts w:hint="default" w:ascii="Times New Roman" w:hAnsi="Times New Roman" w:eastAsia="黑体" w:cs="Times New Roman"/>
                <w:b/>
                <w:bCs/>
                <w:snapToGrid w:val="0"/>
                <w:color w:val="auto"/>
                <w:spacing w:val="-6"/>
                <w:kern w:val="21"/>
                <w:sz w:val="21"/>
                <w:szCs w:val="21"/>
              </w:rPr>
              <w:instrText xml:space="preserve"> = 7 \* GB3 \* MERGEFORMAT </w:instrText>
            </w:r>
            <w:r>
              <w:rPr>
                <w:rFonts w:hint="default" w:ascii="Times New Roman" w:hAnsi="Times New Roman" w:eastAsia="黑体" w:cs="Times New Roman"/>
                <w:b/>
                <w:bCs/>
                <w:snapToGrid w:val="0"/>
                <w:color w:val="auto"/>
                <w:spacing w:val="-6"/>
                <w:kern w:val="21"/>
                <w:sz w:val="21"/>
                <w:szCs w:val="21"/>
              </w:rPr>
              <w:fldChar w:fldCharType="separate"/>
            </w:r>
            <w:r>
              <w:rPr>
                <w:rFonts w:hint="default" w:ascii="Times New Roman" w:hAnsi="Times New Roman" w:eastAsia="黑体" w:cs="Times New Roman"/>
                <w:b/>
                <w:bCs/>
                <w:color w:val="auto"/>
                <w:kern w:val="2"/>
                <w:sz w:val="21"/>
                <w:szCs w:val="21"/>
              </w:rPr>
              <w:t>⑦</w:t>
            </w:r>
            <w:r>
              <w:rPr>
                <w:rFonts w:hint="default" w:ascii="Times New Roman" w:hAnsi="Times New Roman" w:eastAsia="黑体" w:cs="Times New Roman"/>
                <w:b/>
                <w:bCs/>
                <w:snapToGrid w:val="0"/>
                <w:color w:val="auto"/>
                <w:spacing w:val="-6"/>
                <w:kern w:val="21"/>
                <w:sz w:val="21"/>
                <w:szCs w:val="21"/>
              </w:rPr>
              <w:fldChar w:fldCharType="end"/>
            </w:r>
          </w:p>
        </w:tc>
      </w:tr>
      <w:tr w14:paraId="59E879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vAlign w:val="center"/>
          </w:tcPr>
          <w:p w14:paraId="769BD519">
            <w:pPr>
              <w:pStyle w:val="36"/>
              <w:spacing w:beforeLines="0" w:afterLines="0" w:line="240" w:lineRule="auto"/>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废气</w:t>
            </w:r>
          </w:p>
        </w:tc>
        <w:tc>
          <w:tcPr>
            <w:tcW w:w="823" w:type="pct"/>
            <w:shd w:val="clear" w:color="auto" w:fill="auto"/>
            <w:vAlign w:val="center"/>
          </w:tcPr>
          <w:p w14:paraId="5C5A3729">
            <w:pPr>
              <w:pStyle w:val="2"/>
              <w:keepNext/>
              <w:keepLines w:val="0"/>
              <w:pageBreakBefore w:val="0"/>
              <w:widowControl w:val="0"/>
              <w:kinsoku/>
              <w:wordWrap/>
              <w:overflowPunct/>
              <w:topLinePunct w:val="0"/>
              <w:autoSpaceDE/>
              <w:autoSpaceDN/>
              <w:bidi w:val="0"/>
              <w:adjustRightInd/>
              <w:snapToGrid w:val="0"/>
              <w:spacing w:before="0" w:after="0" w:line="240" w:lineRule="auto"/>
              <w:ind w:left="0" w:leftChars="0" w:firstLine="0" w:firstLineChars="0"/>
              <w:jc w:val="center"/>
              <w:textAlignment w:val="auto"/>
              <w:rPr>
                <w:rFonts w:hint="default" w:ascii="Times New Roman" w:hAnsi="Times New Roman" w:cs="Times New Roman"/>
                <w:snapToGrid w:val="0"/>
                <w:color w:val="auto"/>
                <w:kern w:val="21"/>
                <w:sz w:val="21"/>
                <w:szCs w:val="21"/>
              </w:rPr>
            </w:pPr>
            <w:r>
              <w:rPr>
                <w:rFonts w:hint="default" w:ascii="Times New Roman" w:hAnsi="Times New Roman" w:cs="Times New Roman" w:eastAsiaTheme="minorEastAsia"/>
                <w:color w:val="auto"/>
                <w:sz w:val="21"/>
                <w:szCs w:val="21"/>
                <w:highlight w:val="none"/>
                <w:vertAlign w:val="baseline"/>
                <w:lang w:val="en-US" w:eastAsia="zh-CN"/>
              </w:rPr>
              <w:t>非甲烷总烃</w:t>
            </w:r>
          </w:p>
        </w:tc>
        <w:tc>
          <w:tcPr>
            <w:tcW w:w="500" w:type="pct"/>
            <w:shd w:val="clear" w:color="auto" w:fill="auto"/>
            <w:vAlign w:val="center"/>
          </w:tcPr>
          <w:p w14:paraId="7C7C4726">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shd w:val="clear" w:color="auto" w:fill="auto"/>
            <w:vAlign w:val="center"/>
          </w:tcPr>
          <w:p w14:paraId="4DDC7032">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shd w:val="clear" w:color="auto" w:fill="auto"/>
            <w:vAlign w:val="center"/>
          </w:tcPr>
          <w:p w14:paraId="4D74D147">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shd w:val="clear" w:color="auto" w:fill="auto"/>
            <w:vAlign w:val="center"/>
          </w:tcPr>
          <w:p w14:paraId="05B5D4E9">
            <w:pPr>
              <w:keepNext w:val="0"/>
              <w:keepLines w:val="0"/>
              <w:widowControl/>
              <w:suppressLineNumbers w:val="0"/>
              <w:jc w:val="center"/>
              <w:textAlignment w:val="center"/>
              <w:rPr>
                <w:rFonts w:hint="default" w:ascii="Times New Roman" w:hAnsi="Times New Roman" w:cs="Times New Roman"/>
                <w:color w:val="auto"/>
                <w:kern w:val="2"/>
                <w:sz w:val="21"/>
                <w:szCs w:val="21"/>
              </w:rPr>
            </w:pPr>
            <w:r>
              <w:rPr>
                <w:rFonts w:hint="eastAsia" w:cs="Times New Roman"/>
                <w:i w:val="0"/>
                <w:iCs w:val="0"/>
                <w:color w:val="auto"/>
                <w:kern w:val="0"/>
                <w:sz w:val="21"/>
                <w:szCs w:val="21"/>
                <w:u w:val="none"/>
                <w:lang w:val="en-US" w:eastAsia="zh-CN" w:bidi="ar"/>
              </w:rPr>
              <w:t>6.86</w:t>
            </w:r>
            <w:r>
              <w:rPr>
                <w:rFonts w:hint="default" w:ascii="Times New Roman" w:hAnsi="Times New Roman" w:cs="Times New Roman" w:eastAsiaTheme="minorEastAsia"/>
                <w:b w:val="0"/>
                <w:bCs/>
                <w:color w:val="auto"/>
                <w:sz w:val="21"/>
                <w:szCs w:val="21"/>
                <w:highlight w:val="none"/>
                <w:vertAlign w:val="baseline"/>
                <w:lang w:val="en-US" w:eastAsia="zh-CN"/>
              </w:rPr>
              <w:t>×10</w:t>
            </w:r>
            <w:r>
              <w:rPr>
                <w:rFonts w:hint="default" w:ascii="Times New Roman" w:hAnsi="Times New Roman" w:cs="Times New Roman" w:eastAsiaTheme="minorEastAsia"/>
                <w:b w:val="0"/>
                <w:bCs/>
                <w:color w:val="auto"/>
                <w:sz w:val="21"/>
                <w:szCs w:val="21"/>
                <w:highlight w:val="none"/>
                <w:vertAlign w:val="superscript"/>
                <w:lang w:val="en-US" w:eastAsia="zh-CN"/>
              </w:rPr>
              <w:t>-5</w:t>
            </w:r>
            <w:r>
              <w:rPr>
                <w:rFonts w:hint="default" w:ascii="Times New Roman" w:hAnsi="Times New Roman" w:cs="Times New Roman"/>
                <w:snapToGrid w:val="0"/>
                <w:color w:val="auto"/>
                <w:kern w:val="21"/>
                <w:sz w:val="21"/>
                <w:szCs w:val="21"/>
              </w:rPr>
              <w:t>t/a</w:t>
            </w:r>
          </w:p>
        </w:tc>
        <w:tc>
          <w:tcPr>
            <w:tcW w:w="562" w:type="pct"/>
            <w:shd w:val="clear" w:color="auto" w:fill="auto"/>
            <w:vAlign w:val="center"/>
          </w:tcPr>
          <w:p w14:paraId="7C0AA892">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1470" w:type="dxa"/>
            <w:shd w:val="clear" w:color="auto" w:fill="auto"/>
            <w:vAlign w:val="center"/>
          </w:tcPr>
          <w:p w14:paraId="622504F1">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6.86</w:t>
            </w:r>
            <w:r>
              <w:rPr>
                <w:rFonts w:hint="default" w:ascii="Times New Roman" w:hAnsi="Times New Roman" w:cs="Times New Roman" w:eastAsiaTheme="minorEastAsia"/>
                <w:b w:val="0"/>
                <w:bCs/>
                <w:color w:val="auto"/>
                <w:sz w:val="21"/>
                <w:szCs w:val="21"/>
                <w:highlight w:val="none"/>
                <w:vertAlign w:val="baseline"/>
                <w:lang w:val="en-US" w:eastAsia="zh-CN"/>
              </w:rPr>
              <w:t>×10</w:t>
            </w:r>
            <w:r>
              <w:rPr>
                <w:rFonts w:hint="default" w:ascii="Times New Roman" w:hAnsi="Times New Roman" w:cs="Times New Roman" w:eastAsiaTheme="minorEastAsia"/>
                <w:b w:val="0"/>
                <w:bCs/>
                <w:color w:val="auto"/>
                <w:sz w:val="21"/>
                <w:szCs w:val="21"/>
                <w:highlight w:val="none"/>
                <w:vertAlign w:val="superscript"/>
                <w:lang w:val="en-US" w:eastAsia="zh-CN"/>
              </w:rPr>
              <w:t>-5</w:t>
            </w:r>
            <w:r>
              <w:rPr>
                <w:rFonts w:hint="default" w:ascii="Times New Roman" w:hAnsi="Times New Roman" w:cs="Times New Roman"/>
                <w:snapToGrid w:val="0"/>
                <w:color w:val="auto"/>
                <w:kern w:val="21"/>
                <w:sz w:val="21"/>
                <w:szCs w:val="21"/>
              </w:rPr>
              <w:t>t/a</w:t>
            </w:r>
          </w:p>
        </w:tc>
        <w:tc>
          <w:tcPr>
            <w:tcW w:w="494" w:type="pct"/>
            <w:shd w:val="clear" w:color="auto" w:fill="auto"/>
            <w:vAlign w:val="center"/>
          </w:tcPr>
          <w:p w14:paraId="32C8D522">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3E699D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0D8E558F">
            <w:pPr>
              <w:pStyle w:val="36"/>
              <w:spacing w:beforeLines="0" w:afterLines="0" w:line="240" w:lineRule="auto"/>
              <w:jc w:val="center"/>
              <w:rPr>
                <w:rFonts w:hint="default" w:ascii="Times New Roman" w:hAnsi="Times New Roman" w:cs="Times New Roman"/>
                <w:snapToGrid w:val="0"/>
                <w:color w:val="auto"/>
                <w:kern w:val="21"/>
                <w:sz w:val="21"/>
                <w:szCs w:val="21"/>
              </w:rPr>
            </w:pPr>
          </w:p>
        </w:tc>
        <w:tc>
          <w:tcPr>
            <w:tcW w:w="823" w:type="pct"/>
            <w:shd w:val="clear" w:color="auto" w:fill="auto"/>
            <w:vAlign w:val="center"/>
          </w:tcPr>
          <w:p w14:paraId="5C983A77">
            <w:pPr>
              <w:pStyle w:val="2"/>
              <w:keepNext/>
              <w:keepLines w:val="0"/>
              <w:pageBreakBefore w:val="0"/>
              <w:widowControl w:val="0"/>
              <w:kinsoku/>
              <w:wordWrap/>
              <w:overflowPunct/>
              <w:topLinePunct w:val="0"/>
              <w:autoSpaceDE/>
              <w:autoSpaceDN/>
              <w:bidi w:val="0"/>
              <w:adjustRightInd/>
              <w:snapToGrid w:val="0"/>
              <w:spacing w:before="0" w:after="0" w:line="240" w:lineRule="auto"/>
              <w:ind w:left="0" w:leftChars="0" w:firstLine="0" w:firstLineChars="0"/>
              <w:jc w:val="center"/>
              <w:textAlignment w:val="auto"/>
              <w:rPr>
                <w:rFonts w:hint="default" w:ascii="Times New Roman" w:hAnsi="Times New Roman" w:cs="Times New Roman"/>
                <w:color w:val="auto"/>
                <w:sz w:val="21"/>
                <w:szCs w:val="21"/>
              </w:rPr>
            </w:pPr>
            <w:r>
              <w:rPr>
                <w:rFonts w:hint="eastAsia" w:ascii="Times New Roman" w:hAnsi="Times New Roman" w:cs="Times New Roman" w:eastAsiaTheme="minorEastAsia"/>
                <w:color w:val="auto"/>
                <w:sz w:val="21"/>
                <w:szCs w:val="21"/>
                <w:highlight w:val="none"/>
                <w:vertAlign w:val="baseline"/>
                <w:lang w:val="en-US" w:eastAsia="zh-CN"/>
              </w:rPr>
              <w:t>苯并[a]芘</w:t>
            </w:r>
          </w:p>
        </w:tc>
        <w:tc>
          <w:tcPr>
            <w:tcW w:w="500" w:type="pct"/>
            <w:shd w:val="clear" w:color="auto" w:fill="auto"/>
            <w:vAlign w:val="center"/>
          </w:tcPr>
          <w:p w14:paraId="5B39F8F0">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shd w:val="clear" w:color="auto" w:fill="auto"/>
            <w:vAlign w:val="center"/>
          </w:tcPr>
          <w:p w14:paraId="39DD5E0F">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shd w:val="clear" w:color="auto" w:fill="auto"/>
            <w:vAlign w:val="center"/>
          </w:tcPr>
          <w:p w14:paraId="4B25DB39">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shd w:val="clear" w:color="auto" w:fill="auto"/>
            <w:vAlign w:val="center"/>
          </w:tcPr>
          <w:p w14:paraId="775F4AB7">
            <w:pPr>
              <w:keepNext w:val="0"/>
              <w:keepLines w:val="0"/>
              <w:widowControl/>
              <w:suppressLineNumbers w:val="0"/>
              <w:jc w:val="center"/>
              <w:textAlignment w:val="center"/>
              <w:rPr>
                <w:rFonts w:hint="default" w:ascii="Times New Roman" w:hAnsi="Times New Roman" w:cs="Times New Roman"/>
                <w:color w:val="auto"/>
                <w:kern w:val="2"/>
                <w:sz w:val="21"/>
                <w:szCs w:val="21"/>
                <w:lang w:val="en-US"/>
              </w:rPr>
            </w:pPr>
            <w:r>
              <w:rPr>
                <w:rFonts w:hint="eastAsia" w:cs="Times New Roman"/>
                <w:i w:val="0"/>
                <w:iCs w:val="0"/>
                <w:color w:val="auto"/>
                <w:kern w:val="0"/>
                <w:sz w:val="21"/>
                <w:szCs w:val="21"/>
                <w:u w:val="none"/>
                <w:lang w:val="en-US" w:eastAsia="zh-CN" w:bidi="ar"/>
              </w:rPr>
              <w:t>4.16</w:t>
            </w:r>
            <w:r>
              <w:rPr>
                <w:rFonts w:hint="default" w:ascii="Times New Roman" w:hAnsi="Times New Roman" w:eastAsia="宋体" w:cs="Times New Roman"/>
                <w:b w:val="0"/>
                <w:bCs/>
                <w:color w:val="auto"/>
                <w:sz w:val="21"/>
                <w:szCs w:val="21"/>
                <w:highlight w:val="none"/>
                <w:vertAlign w:val="baseline"/>
                <w:lang w:val="en-US" w:eastAsia="zh-CN"/>
              </w:rPr>
              <w:t>×10</w:t>
            </w:r>
            <w:r>
              <w:rPr>
                <w:rFonts w:hint="default" w:ascii="Times New Roman" w:hAnsi="Times New Roman" w:eastAsia="宋体" w:cs="Times New Roman"/>
                <w:b w:val="0"/>
                <w:bCs/>
                <w:color w:val="auto"/>
                <w:sz w:val="21"/>
                <w:szCs w:val="21"/>
                <w:highlight w:val="none"/>
                <w:vertAlign w:val="superscript"/>
                <w:lang w:val="en-US" w:eastAsia="zh-CN"/>
              </w:rPr>
              <w:t>-</w:t>
            </w:r>
            <w:r>
              <w:rPr>
                <w:rFonts w:hint="eastAsia" w:ascii="Times New Roman" w:hAnsi="Times New Roman" w:cs="Times New Roman"/>
                <w:b w:val="0"/>
                <w:bCs/>
                <w:color w:val="auto"/>
                <w:sz w:val="21"/>
                <w:szCs w:val="21"/>
                <w:highlight w:val="none"/>
                <w:vertAlign w:val="superscript"/>
                <w:lang w:val="en-US" w:eastAsia="zh-CN"/>
              </w:rPr>
              <w:t>10</w:t>
            </w:r>
            <w:r>
              <w:rPr>
                <w:rFonts w:hint="default" w:ascii="Times New Roman" w:hAnsi="Times New Roman" w:cs="Times New Roman"/>
                <w:snapToGrid w:val="0"/>
                <w:color w:val="auto"/>
                <w:kern w:val="21"/>
                <w:sz w:val="21"/>
                <w:szCs w:val="21"/>
              </w:rPr>
              <w:t>t/a</w:t>
            </w:r>
          </w:p>
        </w:tc>
        <w:tc>
          <w:tcPr>
            <w:tcW w:w="562" w:type="pct"/>
            <w:shd w:val="clear" w:color="auto" w:fill="auto"/>
            <w:vAlign w:val="center"/>
          </w:tcPr>
          <w:p w14:paraId="4C1E5852">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1470" w:type="dxa"/>
            <w:shd w:val="clear" w:color="auto" w:fill="auto"/>
            <w:vAlign w:val="center"/>
          </w:tcPr>
          <w:p w14:paraId="79C660E4">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4.16</w:t>
            </w:r>
            <w:r>
              <w:rPr>
                <w:rFonts w:hint="default" w:ascii="Times New Roman" w:hAnsi="Times New Roman" w:eastAsia="宋体" w:cs="Times New Roman"/>
                <w:b w:val="0"/>
                <w:bCs/>
                <w:color w:val="auto"/>
                <w:sz w:val="21"/>
                <w:szCs w:val="21"/>
                <w:highlight w:val="none"/>
                <w:vertAlign w:val="baseline"/>
                <w:lang w:val="en-US" w:eastAsia="zh-CN"/>
              </w:rPr>
              <w:t>×10</w:t>
            </w:r>
            <w:r>
              <w:rPr>
                <w:rFonts w:hint="default" w:ascii="Times New Roman" w:hAnsi="Times New Roman" w:eastAsia="宋体" w:cs="Times New Roman"/>
                <w:b w:val="0"/>
                <w:bCs/>
                <w:color w:val="auto"/>
                <w:sz w:val="21"/>
                <w:szCs w:val="21"/>
                <w:highlight w:val="none"/>
                <w:vertAlign w:val="superscript"/>
                <w:lang w:val="en-US" w:eastAsia="zh-CN"/>
              </w:rPr>
              <w:t>-</w:t>
            </w:r>
            <w:r>
              <w:rPr>
                <w:rFonts w:hint="eastAsia" w:ascii="Times New Roman" w:hAnsi="Times New Roman" w:cs="Times New Roman"/>
                <w:b w:val="0"/>
                <w:bCs/>
                <w:color w:val="auto"/>
                <w:sz w:val="21"/>
                <w:szCs w:val="21"/>
                <w:highlight w:val="none"/>
                <w:vertAlign w:val="superscript"/>
                <w:lang w:val="en-US" w:eastAsia="zh-CN"/>
              </w:rPr>
              <w:t>10</w:t>
            </w:r>
            <w:r>
              <w:rPr>
                <w:rFonts w:hint="default" w:ascii="Times New Roman" w:hAnsi="Times New Roman" w:cs="Times New Roman"/>
                <w:snapToGrid w:val="0"/>
                <w:color w:val="auto"/>
                <w:kern w:val="21"/>
                <w:sz w:val="21"/>
                <w:szCs w:val="21"/>
              </w:rPr>
              <w:t>t/a</w:t>
            </w:r>
          </w:p>
        </w:tc>
        <w:tc>
          <w:tcPr>
            <w:tcW w:w="494" w:type="pct"/>
            <w:shd w:val="clear" w:color="auto" w:fill="auto"/>
            <w:vAlign w:val="center"/>
          </w:tcPr>
          <w:p w14:paraId="7A6845C8">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445B28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3532A1A5">
            <w:pPr>
              <w:pStyle w:val="36"/>
              <w:spacing w:beforeLines="0" w:afterLines="0" w:line="240" w:lineRule="auto"/>
              <w:jc w:val="center"/>
              <w:rPr>
                <w:rFonts w:hint="default" w:ascii="Times New Roman" w:hAnsi="Times New Roman" w:cs="Times New Roman"/>
                <w:snapToGrid w:val="0"/>
                <w:color w:val="auto"/>
                <w:kern w:val="21"/>
                <w:sz w:val="21"/>
                <w:szCs w:val="21"/>
              </w:rPr>
            </w:pPr>
          </w:p>
        </w:tc>
        <w:tc>
          <w:tcPr>
            <w:tcW w:w="823" w:type="pct"/>
            <w:vAlign w:val="center"/>
          </w:tcPr>
          <w:p w14:paraId="1DC390F8">
            <w:pPr>
              <w:pStyle w:val="2"/>
              <w:keepNext/>
              <w:keepLines w:val="0"/>
              <w:pageBreakBefore w:val="0"/>
              <w:widowControl w:val="0"/>
              <w:kinsoku/>
              <w:wordWrap/>
              <w:overflowPunct/>
              <w:topLinePunct w:val="0"/>
              <w:autoSpaceDE/>
              <w:autoSpaceDN/>
              <w:bidi w:val="0"/>
              <w:adjustRightInd/>
              <w:snapToGrid w:val="0"/>
              <w:spacing w:before="0" w:after="0" w:line="240" w:lineRule="auto"/>
              <w:ind w:left="0" w:leftChars="0" w:firstLine="0" w:firstLineChars="0"/>
              <w:jc w:val="center"/>
              <w:textAlignment w:val="auto"/>
              <w:rPr>
                <w:rFonts w:hint="default" w:ascii="Times New Roman" w:hAnsi="Times New Roman" w:cs="Times New Roman"/>
                <w:snapToGrid w:val="0"/>
                <w:color w:val="auto"/>
                <w:kern w:val="21"/>
                <w:sz w:val="21"/>
                <w:szCs w:val="21"/>
              </w:rPr>
            </w:pPr>
            <w:r>
              <w:rPr>
                <w:rFonts w:hint="default" w:ascii="Times New Roman" w:hAnsi="Times New Roman" w:cs="Times New Roman" w:eastAsiaTheme="minorEastAsia"/>
                <w:color w:val="auto"/>
                <w:sz w:val="21"/>
                <w:szCs w:val="21"/>
                <w:highlight w:val="none"/>
                <w:vertAlign w:val="baseline"/>
                <w:lang w:val="en-US" w:eastAsia="zh-CN"/>
              </w:rPr>
              <w:t>沥青烟</w:t>
            </w:r>
          </w:p>
        </w:tc>
        <w:tc>
          <w:tcPr>
            <w:tcW w:w="500" w:type="pct"/>
            <w:shd w:val="clear" w:color="auto" w:fill="auto"/>
            <w:vAlign w:val="center"/>
          </w:tcPr>
          <w:p w14:paraId="4C38F2EF">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41A6FD49">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66864816">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51517434">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eastAsia" w:cs="Times New Roman"/>
                <w:i w:val="0"/>
                <w:iCs w:val="0"/>
                <w:color w:val="auto"/>
                <w:kern w:val="0"/>
                <w:sz w:val="21"/>
                <w:szCs w:val="21"/>
                <w:u w:val="none"/>
                <w:lang w:val="en-US" w:eastAsia="zh-CN" w:bidi="ar"/>
              </w:rPr>
              <w:t>3.68</w:t>
            </w:r>
            <w:r>
              <w:rPr>
                <w:rFonts w:hint="default" w:ascii="Times New Roman" w:hAnsi="Times New Roman" w:cs="Times New Roman" w:eastAsiaTheme="minorEastAsia"/>
                <w:b w:val="0"/>
                <w:bCs/>
                <w:color w:val="auto"/>
                <w:sz w:val="21"/>
                <w:szCs w:val="21"/>
                <w:highlight w:val="none"/>
                <w:vertAlign w:val="baseline"/>
                <w:lang w:val="en-US" w:eastAsia="zh-CN"/>
              </w:rPr>
              <w:t>×10</w:t>
            </w:r>
            <w:r>
              <w:rPr>
                <w:rFonts w:hint="default" w:ascii="Times New Roman" w:hAnsi="Times New Roman" w:cs="Times New Roman" w:eastAsiaTheme="minorEastAsia"/>
                <w:b w:val="0"/>
                <w:bCs/>
                <w:color w:val="auto"/>
                <w:sz w:val="21"/>
                <w:szCs w:val="21"/>
                <w:highlight w:val="none"/>
                <w:vertAlign w:val="superscript"/>
                <w:lang w:val="en-US" w:eastAsia="zh-CN"/>
              </w:rPr>
              <w:t>-</w:t>
            </w:r>
            <w:r>
              <w:rPr>
                <w:rFonts w:hint="eastAsia" w:cs="Times New Roman" w:eastAsiaTheme="minorEastAsia"/>
                <w:b w:val="0"/>
                <w:bCs/>
                <w:color w:val="auto"/>
                <w:sz w:val="21"/>
                <w:szCs w:val="21"/>
                <w:highlight w:val="none"/>
                <w:vertAlign w:val="superscript"/>
                <w:lang w:val="en-US" w:eastAsia="zh-CN"/>
              </w:rPr>
              <w:t>5</w:t>
            </w:r>
            <w:r>
              <w:rPr>
                <w:rFonts w:hint="default" w:ascii="Times New Roman" w:hAnsi="Times New Roman" w:cs="Times New Roman"/>
                <w:snapToGrid w:val="0"/>
                <w:color w:val="auto"/>
                <w:kern w:val="21"/>
                <w:sz w:val="21"/>
                <w:szCs w:val="21"/>
              </w:rPr>
              <w:t>t/a</w:t>
            </w:r>
          </w:p>
        </w:tc>
        <w:tc>
          <w:tcPr>
            <w:tcW w:w="562" w:type="pct"/>
            <w:shd w:val="clear" w:color="auto" w:fill="auto"/>
            <w:vAlign w:val="center"/>
          </w:tcPr>
          <w:p w14:paraId="60253B7D">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1470" w:type="dxa"/>
            <w:shd w:val="clear" w:color="auto" w:fill="auto"/>
            <w:vAlign w:val="center"/>
          </w:tcPr>
          <w:p w14:paraId="5C6C9E4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3.68</w:t>
            </w:r>
            <w:r>
              <w:rPr>
                <w:rFonts w:hint="default" w:ascii="Times New Roman" w:hAnsi="Times New Roman" w:cs="Times New Roman" w:eastAsiaTheme="minorEastAsia"/>
                <w:b w:val="0"/>
                <w:bCs/>
                <w:color w:val="auto"/>
                <w:sz w:val="21"/>
                <w:szCs w:val="21"/>
                <w:highlight w:val="none"/>
                <w:vertAlign w:val="baseline"/>
                <w:lang w:val="en-US" w:eastAsia="zh-CN"/>
              </w:rPr>
              <w:t>×10</w:t>
            </w:r>
            <w:r>
              <w:rPr>
                <w:rFonts w:hint="default" w:ascii="Times New Roman" w:hAnsi="Times New Roman" w:cs="Times New Roman" w:eastAsiaTheme="minorEastAsia"/>
                <w:b w:val="0"/>
                <w:bCs/>
                <w:color w:val="auto"/>
                <w:sz w:val="21"/>
                <w:szCs w:val="21"/>
                <w:highlight w:val="none"/>
                <w:vertAlign w:val="superscript"/>
                <w:lang w:val="en-US" w:eastAsia="zh-CN"/>
              </w:rPr>
              <w:t>-</w:t>
            </w:r>
            <w:r>
              <w:rPr>
                <w:rFonts w:hint="eastAsia" w:cs="Times New Roman" w:eastAsiaTheme="minorEastAsia"/>
                <w:b w:val="0"/>
                <w:bCs/>
                <w:color w:val="auto"/>
                <w:sz w:val="21"/>
                <w:szCs w:val="21"/>
                <w:highlight w:val="none"/>
                <w:vertAlign w:val="superscript"/>
                <w:lang w:val="en-US" w:eastAsia="zh-CN"/>
              </w:rPr>
              <w:t>5</w:t>
            </w:r>
            <w:r>
              <w:rPr>
                <w:rFonts w:hint="default" w:ascii="Times New Roman" w:hAnsi="Times New Roman" w:cs="Times New Roman"/>
                <w:snapToGrid w:val="0"/>
                <w:color w:val="auto"/>
                <w:kern w:val="21"/>
                <w:sz w:val="21"/>
                <w:szCs w:val="21"/>
              </w:rPr>
              <w:t>t/a</w:t>
            </w:r>
          </w:p>
        </w:tc>
        <w:tc>
          <w:tcPr>
            <w:tcW w:w="494" w:type="pct"/>
            <w:shd w:val="clear" w:color="auto" w:fill="auto"/>
            <w:vAlign w:val="center"/>
          </w:tcPr>
          <w:p w14:paraId="514DE088">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0719B9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408" w:type="pct"/>
            <w:vMerge w:val="restart"/>
            <w:vAlign w:val="center"/>
          </w:tcPr>
          <w:p w14:paraId="596AB277">
            <w:pPr>
              <w:pStyle w:val="36"/>
              <w:spacing w:beforeLines="0" w:afterLines="0" w:line="240" w:lineRule="auto"/>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废水</w:t>
            </w:r>
          </w:p>
        </w:tc>
        <w:tc>
          <w:tcPr>
            <w:tcW w:w="823" w:type="pct"/>
            <w:vAlign w:val="center"/>
          </w:tcPr>
          <w:p w14:paraId="15F55E45">
            <w:pPr>
              <w:pStyle w:val="36"/>
              <w:spacing w:beforeLines="0" w:afterLines="0" w:line="240" w:lineRule="auto"/>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水量</w:t>
            </w:r>
          </w:p>
        </w:tc>
        <w:tc>
          <w:tcPr>
            <w:tcW w:w="500" w:type="pct"/>
            <w:shd w:val="clear" w:color="auto" w:fill="auto"/>
            <w:vAlign w:val="center"/>
          </w:tcPr>
          <w:p w14:paraId="329719E9">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2F35B8D4">
            <w:pPr>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44E45BAE">
            <w:pPr>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3283A2E2">
            <w:pPr>
              <w:pStyle w:val="69"/>
              <w:jc w:val="center"/>
              <w:rPr>
                <w:rFonts w:hint="default" w:ascii="Times New Roman" w:hAnsi="Times New Roman" w:cs="Times New Roman"/>
                <w:snapToGrid w:val="0"/>
                <w:color w:val="auto"/>
                <w:kern w:val="21"/>
                <w:sz w:val="21"/>
                <w:szCs w:val="21"/>
              </w:rPr>
            </w:pPr>
            <w:r>
              <w:rPr>
                <w:rFonts w:hint="default" w:ascii="Times New Roman" w:hAnsi="Times New Roman" w:cs="Times New Roman"/>
                <w:color w:val="auto"/>
                <w:kern w:val="0"/>
                <w:sz w:val="21"/>
                <w:szCs w:val="21"/>
                <w:lang w:val="en-US" w:eastAsia="zh-CN"/>
              </w:rPr>
              <w:t>704.</w:t>
            </w:r>
            <w:r>
              <w:rPr>
                <w:rFonts w:hint="eastAsia" w:cs="Times New Roman"/>
                <w:color w:val="auto"/>
                <w:kern w:val="0"/>
                <w:sz w:val="21"/>
                <w:szCs w:val="21"/>
                <w:lang w:val="en-US" w:eastAsia="zh-CN"/>
              </w:rPr>
              <w:t>4</w:t>
            </w:r>
            <w:r>
              <w:rPr>
                <w:rFonts w:hint="default" w:ascii="Times New Roman" w:hAnsi="Times New Roman" w:cs="Times New Roman"/>
                <w:snapToGrid w:val="0"/>
                <w:color w:val="auto"/>
                <w:kern w:val="21"/>
                <w:sz w:val="21"/>
                <w:szCs w:val="21"/>
              </w:rPr>
              <w:t>t/a</w:t>
            </w:r>
          </w:p>
        </w:tc>
        <w:tc>
          <w:tcPr>
            <w:tcW w:w="562" w:type="pct"/>
            <w:shd w:val="clear" w:color="auto" w:fill="auto"/>
            <w:vAlign w:val="center"/>
          </w:tcPr>
          <w:p w14:paraId="3CAB7E14">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05CE7C79">
            <w:pPr>
              <w:pStyle w:val="69"/>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color w:val="auto"/>
                <w:kern w:val="0"/>
                <w:sz w:val="21"/>
                <w:szCs w:val="21"/>
                <w:lang w:val="en-US" w:eastAsia="zh-CN"/>
              </w:rPr>
              <w:t>704.</w:t>
            </w:r>
            <w:r>
              <w:rPr>
                <w:rFonts w:hint="eastAsia" w:cs="Times New Roman"/>
                <w:color w:val="auto"/>
                <w:kern w:val="0"/>
                <w:sz w:val="21"/>
                <w:szCs w:val="21"/>
                <w:lang w:val="en-US" w:eastAsia="zh-CN"/>
              </w:rPr>
              <w:t>4</w:t>
            </w:r>
            <w:r>
              <w:rPr>
                <w:rFonts w:hint="default" w:ascii="Times New Roman" w:hAnsi="Times New Roman" w:cs="Times New Roman"/>
                <w:snapToGrid w:val="0"/>
                <w:color w:val="auto"/>
                <w:kern w:val="21"/>
                <w:sz w:val="21"/>
                <w:szCs w:val="21"/>
              </w:rPr>
              <w:t>t/a</w:t>
            </w:r>
          </w:p>
        </w:tc>
        <w:tc>
          <w:tcPr>
            <w:tcW w:w="494" w:type="pct"/>
            <w:shd w:val="clear" w:color="auto" w:fill="auto"/>
            <w:vAlign w:val="center"/>
          </w:tcPr>
          <w:p w14:paraId="5D72131C">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3AAD62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2D8B23F7">
            <w:pPr>
              <w:pStyle w:val="36"/>
              <w:spacing w:beforeLines="0" w:afterLines="0" w:line="240" w:lineRule="auto"/>
              <w:jc w:val="center"/>
              <w:rPr>
                <w:rFonts w:hint="default" w:ascii="Times New Roman" w:hAnsi="Times New Roman" w:cs="Times New Roman"/>
                <w:snapToGrid w:val="0"/>
                <w:color w:val="auto"/>
                <w:kern w:val="21"/>
                <w:sz w:val="21"/>
                <w:szCs w:val="21"/>
              </w:rPr>
            </w:pPr>
          </w:p>
        </w:tc>
        <w:tc>
          <w:tcPr>
            <w:tcW w:w="823" w:type="pct"/>
            <w:vAlign w:val="center"/>
          </w:tcPr>
          <w:p w14:paraId="7FCC9010">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p>
        </w:tc>
        <w:tc>
          <w:tcPr>
            <w:tcW w:w="500" w:type="pct"/>
            <w:shd w:val="clear" w:color="auto" w:fill="auto"/>
            <w:vAlign w:val="center"/>
          </w:tcPr>
          <w:p w14:paraId="4734518F">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13318842">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393F4B04">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4D2FD2CF">
            <w:pPr>
              <w:pStyle w:val="69"/>
              <w:jc w:val="center"/>
              <w:rPr>
                <w:rFonts w:hint="default" w:ascii="Times New Roman" w:hAnsi="Times New Roman" w:cs="Times New Roman"/>
                <w:snapToGrid w:val="0"/>
                <w:color w:val="auto"/>
                <w:kern w:val="21"/>
                <w:sz w:val="21"/>
                <w:szCs w:val="21"/>
              </w:rPr>
            </w:pPr>
            <w:r>
              <w:rPr>
                <w:rFonts w:hint="default" w:ascii="Times New Roman" w:hAnsi="Times New Roman" w:cs="Times New Roman"/>
                <w:color w:val="auto"/>
                <w:sz w:val="21"/>
                <w:szCs w:val="21"/>
                <w:lang w:val="en-US" w:eastAsia="zh-CN"/>
              </w:rPr>
              <w:t>0.19</w:t>
            </w:r>
            <w:r>
              <w:rPr>
                <w:rFonts w:hint="eastAsia" w:cs="Times New Roman"/>
                <w:color w:val="auto"/>
                <w:sz w:val="21"/>
                <w:szCs w:val="21"/>
                <w:lang w:val="en-US" w:eastAsia="zh-CN"/>
              </w:rPr>
              <w:t>1</w:t>
            </w:r>
            <w:r>
              <w:rPr>
                <w:rFonts w:hint="default" w:ascii="Times New Roman" w:hAnsi="Times New Roman" w:cs="Times New Roman"/>
                <w:snapToGrid w:val="0"/>
                <w:color w:val="auto"/>
                <w:kern w:val="21"/>
                <w:sz w:val="21"/>
                <w:szCs w:val="21"/>
              </w:rPr>
              <w:t>t/a</w:t>
            </w:r>
          </w:p>
        </w:tc>
        <w:tc>
          <w:tcPr>
            <w:tcW w:w="562" w:type="pct"/>
            <w:shd w:val="clear" w:color="auto" w:fill="auto"/>
            <w:vAlign w:val="center"/>
          </w:tcPr>
          <w:p w14:paraId="724C912C">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2F74D940">
            <w:pPr>
              <w:pStyle w:val="69"/>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color w:val="auto"/>
                <w:sz w:val="21"/>
                <w:szCs w:val="21"/>
                <w:lang w:val="en-US" w:eastAsia="zh-CN"/>
              </w:rPr>
              <w:t>0.19</w:t>
            </w:r>
            <w:r>
              <w:rPr>
                <w:rFonts w:hint="eastAsia" w:cs="Times New Roman"/>
                <w:color w:val="auto"/>
                <w:sz w:val="21"/>
                <w:szCs w:val="21"/>
                <w:lang w:val="en-US" w:eastAsia="zh-CN"/>
              </w:rPr>
              <w:t>1</w:t>
            </w:r>
            <w:r>
              <w:rPr>
                <w:rFonts w:hint="default" w:ascii="Times New Roman" w:hAnsi="Times New Roman" w:cs="Times New Roman"/>
                <w:snapToGrid w:val="0"/>
                <w:color w:val="auto"/>
                <w:kern w:val="21"/>
                <w:sz w:val="21"/>
                <w:szCs w:val="21"/>
              </w:rPr>
              <w:t>t/a</w:t>
            </w:r>
          </w:p>
        </w:tc>
        <w:tc>
          <w:tcPr>
            <w:tcW w:w="494" w:type="pct"/>
            <w:shd w:val="clear" w:color="auto" w:fill="auto"/>
            <w:vAlign w:val="center"/>
          </w:tcPr>
          <w:p w14:paraId="76DD7D98">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208BF4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3240982B">
            <w:pPr>
              <w:pStyle w:val="36"/>
              <w:spacing w:beforeLines="0" w:afterLines="0" w:line="240" w:lineRule="auto"/>
              <w:jc w:val="center"/>
              <w:rPr>
                <w:rFonts w:hint="default" w:ascii="Times New Roman" w:hAnsi="Times New Roman" w:cs="Times New Roman"/>
                <w:snapToGrid w:val="0"/>
                <w:color w:val="auto"/>
                <w:kern w:val="21"/>
                <w:sz w:val="21"/>
                <w:szCs w:val="21"/>
              </w:rPr>
            </w:pPr>
          </w:p>
        </w:tc>
        <w:tc>
          <w:tcPr>
            <w:tcW w:w="823" w:type="pct"/>
            <w:vAlign w:val="center"/>
          </w:tcPr>
          <w:p w14:paraId="2F439DCB">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BOD</w:t>
            </w:r>
            <w:r>
              <w:rPr>
                <w:rFonts w:hint="default" w:ascii="Times New Roman" w:hAnsi="Times New Roman" w:cs="Times New Roman"/>
                <w:color w:val="auto"/>
                <w:sz w:val="21"/>
                <w:szCs w:val="21"/>
                <w:vertAlign w:val="subscript"/>
              </w:rPr>
              <w:t>5</w:t>
            </w:r>
          </w:p>
        </w:tc>
        <w:tc>
          <w:tcPr>
            <w:tcW w:w="500" w:type="pct"/>
            <w:shd w:val="clear" w:color="auto" w:fill="auto"/>
            <w:vAlign w:val="center"/>
          </w:tcPr>
          <w:p w14:paraId="2959A299">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01BA3AB7">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35C0FC70">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0A4A2A2C">
            <w:pPr>
              <w:keepNext w:val="0"/>
              <w:keepLines w:val="0"/>
              <w:widowControl/>
              <w:suppressLineNumbers w:val="0"/>
              <w:jc w:val="center"/>
              <w:textAlignment w:val="center"/>
              <w:rPr>
                <w:rFonts w:hint="default" w:ascii="Times New Roman" w:hAnsi="Times New Roman" w:cs="Times New Roman"/>
                <w:snapToGrid w:val="0"/>
                <w:color w:val="auto"/>
                <w:kern w:val="21"/>
                <w:sz w:val="21"/>
                <w:szCs w:val="21"/>
              </w:rPr>
            </w:pPr>
            <w:r>
              <w:rPr>
                <w:rFonts w:hint="default" w:ascii="Times New Roman" w:hAnsi="Times New Roman" w:eastAsia="宋体" w:cs="Times New Roman"/>
                <w:color w:val="auto"/>
                <w:kern w:val="0"/>
                <w:sz w:val="21"/>
                <w:szCs w:val="21"/>
                <w:lang w:val="en-US" w:eastAsia="zh-CN" w:bidi="ar-SA"/>
              </w:rPr>
              <w:t>0.120</w:t>
            </w:r>
            <w:r>
              <w:rPr>
                <w:rFonts w:hint="default" w:ascii="Times New Roman" w:hAnsi="Times New Roman" w:cs="Times New Roman"/>
                <w:snapToGrid w:val="0"/>
                <w:color w:val="auto"/>
                <w:kern w:val="21"/>
                <w:sz w:val="21"/>
                <w:szCs w:val="21"/>
              </w:rPr>
              <w:t>t/a</w:t>
            </w:r>
          </w:p>
        </w:tc>
        <w:tc>
          <w:tcPr>
            <w:tcW w:w="562" w:type="pct"/>
            <w:shd w:val="clear" w:color="auto" w:fill="auto"/>
            <w:vAlign w:val="center"/>
          </w:tcPr>
          <w:p w14:paraId="53F28948">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2816B0AF">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0.120</w:t>
            </w:r>
            <w:r>
              <w:rPr>
                <w:rFonts w:hint="default" w:ascii="Times New Roman" w:hAnsi="Times New Roman" w:cs="Times New Roman"/>
                <w:snapToGrid w:val="0"/>
                <w:color w:val="auto"/>
                <w:kern w:val="21"/>
                <w:sz w:val="21"/>
                <w:szCs w:val="21"/>
              </w:rPr>
              <w:t>t/a</w:t>
            </w:r>
          </w:p>
        </w:tc>
        <w:tc>
          <w:tcPr>
            <w:tcW w:w="494" w:type="pct"/>
            <w:shd w:val="clear" w:color="auto" w:fill="auto"/>
            <w:vAlign w:val="center"/>
          </w:tcPr>
          <w:p w14:paraId="22C4646A">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0BA71B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314ED3D7">
            <w:pPr>
              <w:pStyle w:val="36"/>
              <w:spacing w:beforeLines="0" w:afterLines="0" w:line="240" w:lineRule="auto"/>
              <w:jc w:val="center"/>
              <w:rPr>
                <w:rFonts w:hint="default" w:ascii="Times New Roman" w:hAnsi="Times New Roman" w:cs="Times New Roman"/>
                <w:snapToGrid w:val="0"/>
                <w:color w:val="auto"/>
                <w:kern w:val="21"/>
                <w:sz w:val="21"/>
                <w:szCs w:val="21"/>
              </w:rPr>
            </w:pPr>
          </w:p>
        </w:tc>
        <w:tc>
          <w:tcPr>
            <w:tcW w:w="823" w:type="pct"/>
            <w:vAlign w:val="center"/>
          </w:tcPr>
          <w:p w14:paraId="7D6CEDE4">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t>
            </w:r>
          </w:p>
        </w:tc>
        <w:tc>
          <w:tcPr>
            <w:tcW w:w="500" w:type="pct"/>
            <w:shd w:val="clear" w:color="auto" w:fill="auto"/>
            <w:vAlign w:val="center"/>
          </w:tcPr>
          <w:p w14:paraId="4DFB1BA0">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4FD06C9D">
            <w:pPr>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1F7C4C56">
            <w:pPr>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30B2C4B9">
            <w:pPr>
              <w:pStyle w:val="69"/>
              <w:jc w:val="center"/>
              <w:rPr>
                <w:rFonts w:hint="default" w:ascii="Times New Roman" w:hAnsi="Times New Roman" w:cs="Times New Roman"/>
                <w:snapToGrid w:val="0"/>
                <w:color w:val="auto"/>
                <w:kern w:val="21"/>
                <w:sz w:val="21"/>
                <w:szCs w:val="21"/>
              </w:rPr>
            </w:pPr>
            <w:r>
              <w:rPr>
                <w:rFonts w:hint="default" w:ascii="Times New Roman" w:hAnsi="Times New Roman" w:cs="Times New Roman"/>
                <w:color w:val="auto"/>
                <w:sz w:val="21"/>
                <w:szCs w:val="21"/>
                <w:lang w:val="en-US" w:eastAsia="zh-CN"/>
              </w:rPr>
              <w:t>0.18</w:t>
            </w:r>
            <w:r>
              <w:rPr>
                <w:rFonts w:hint="eastAsia" w:cs="Times New Roman"/>
                <w:color w:val="auto"/>
                <w:sz w:val="21"/>
                <w:szCs w:val="21"/>
                <w:lang w:val="en-US" w:eastAsia="zh-CN"/>
              </w:rPr>
              <w:t>7</w:t>
            </w:r>
            <w:r>
              <w:rPr>
                <w:rFonts w:hint="default" w:ascii="Times New Roman" w:hAnsi="Times New Roman" w:cs="Times New Roman"/>
                <w:snapToGrid w:val="0"/>
                <w:color w:val="auto"/>
                <w:kern w:val="21"/>
                <w:sz w:val="21"/>
                <w:szCs w:val="21"/>
              </w:rPr>
              <w:t>t/a</w:t>
            </w:r>
          </w:p>
        </w:tc>
        <w:tc>
          <w:tcPr>
            <w:tcW w:w="562" w:type="pct"/>
            <w:shd w:val="clear" w:color="auto" w:fill="auto"/>
            <w:vAlign w:val="center"/>
          </w:tcPr>
          <w:p w14:paraId="5698B8CB">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5CC6F428">
            <w:pPr>
              <w:pStyle w:val="69"/>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color w:val="auto"/>
                <w:sz w:val="21"/>
                <w:szCs w:val="21"/>
                <w:lang w:val="en-US" w:eastAsia="zh-CN"/>
              </w:rPr>
              <w:t>0.18</w:t>
            </w:r>
            <w:r>
              <w:rPr>
                <w:rFonts w:hint="eastAsia" w:cs="Times New Roman"/>
                <w:color w:val="auto"/>
                <w:sz w:val="21"/>
                <w:szCs w:val="21"/>
                <w:lang w:val="en-US" w:eastAsia="zh-CN"/>
              </w:rPr>
              <w:t>7</w:t>
            </w:r>
            <w:r>
              <w:rPr>
                <w:rFonts w:hint="default" w:ascii="Times New Roman" w:hAnsi="Times New Roman" w:cs="Times New Roman"/>
                <w:snapToGrid w:val="0"/>
                <w:color w:val="auto"/>
                <w:kern w:val="21"/>
                <w:sz w:val="21"/>
                <w:szCs w:val="21"/>
              </w:rPr>
              <w:t>t/a</w:t>
            </w:r>
          </w:p>
        </w:tc>
        <w:tc>
          <w:tcPr>
            <w:tcW w:w="494" w:type="pct"/>
            <w:shd w:val="clear" w:color="auto" w:fill="auto"/>
            <w:vAlign w:val="center"/>
          </w:tcPr>
          <w:p w14:paraId="0BBA1E3F">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477A60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77767FB9">
            <w:pPr>
              <w:pStyle w:val="36"/>
              <w:spacing w:beforeLines="0" w:afterLines="0" w:line="240" w:lineRule="auto"/>
              <w:jc w:val="center"/>
              <w:rPr>
                <w:rFonts w:hint="default" w:ascii="Times New Roman" w:hAnsi="Times New Roman" w:cs="Times New Roman"/>
                <w:snapToGrid w:val="0"/>
                <w:color w:val="auto"/>
                <w:kern w:val="21"/>
                <w:sz w:val="21"/>
                <w:szCs w:val="21"/>
              </w:rPr>
            </w:pPr>
          </w:p>
        </w:tc>
        <w:tc>
          <w:tcPr>
            <w:tcW w:w="823" w:type="pct"/>
            <w:vAlign w:val="center"/>
          </w:tcPr>
          <w:p w14:paraId="220A7D86">
            <w:pPr>
              <w:pStyle w:val="69"/>
              <w:jc w:val="center"/>
              <w:rPr>
                <w:rFonts w:hint="default" w:ascii="Times New Roman" w:hAnsi="Times New Roman" w:cs="Times New Roman"/>
                <w:snapToGrid w:val="0"/>
                <w:color w:val="auto"/>
                <w:kern w:val="21"/>
                <w:sz w:val="21"/>
                <w:szCs w:val="21"/>
              </w:rPr>
            </w:pP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p>
        </w:tc>
        <w:tc>
          <w:tcPr>
            <w:tcW w:w="500" w:type="pct"/>
            <w:shd w:val="clear" w:color="auto" w:fill="auto"/>
            <w:vAlign w:val="center"/>
          </w:tcPr>
          <w:p w14:paraId="45653FCC">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08EC180E">
            <w:pPr>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781E63C8">
            <w:pPr>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0C7E9496">
            <w:pPr>
              <w:keepNext w:val="0"/>
              <w:keepLines w:val="0"/>
              <w:widowControl/>
              <w:suppressLineNumbers w:val="0"/>
              <w:jc w:val="center"/>
              <w:textAlignment w:val="center"/>
              <w:rPr>
                <w:rFonts w:hint="default" w:ascii="Times New Roman" w:hAnsi="Times New Roman" w:cs="Times New Roman"/>
                <w:snapToGrid w:val="0"/>
                <w:color w:val="auto"/>
                <w:kern w:val="21"/>
                <w:sz w:val="21"/>
                <w:szCs w:val="21"/>
              </w:rPr>
            </w:pPr>
            <w:r>
              <w:rPr>
                <w:rFonts w:hint="default" w:ascii="Times New Roman" w:hAnsi="Times New Roman" w:eastAsia="宋体" w:cs="Times New Roman"/>
                <w:color w:val="auto"/>
                <w:kern w:val="0"/>
                <w:sz w:val="21"/>
                <w:szCs w:val="21"/>
                <w:lang w:val="en-US" w:eastAsia="zh-CN" w:bidi="ar-SA"/>
              </w:rPr>
              <w:t>0.024</w:t>
            </w:r>
            <w:r>
              <w:rPr>
                <w:rFonts w:hint="default" w:ascii="Times New Roman" w:hAnsi="Times New Roman" w:cs="Times New Roman"/>
                <w:snapToGrid w:val="0"/>
                <w:color w:val="auto"/>
                <w:kern w:val="21"/>
                <w:sz w:val="21"/>
                <w:szCs w:val="21"/>
              </w:rPr>
              <w:t>t/a</w:t>
            </w:r>
          </w:p>
        </w:tc>
        <w:tc>
          <w:tcPr>
            <w:tcW w:w="562" w:type="pct"/>
            <w:shd w:val="clear" w:color="auto" w:fill="auto"/>
            <w:vAlign w:val="center"/>
          </w:tcPr>
          <w:p w14:paraId="7841DB7F">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6699DCD7">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0.024</w:t>
            </w:r>
            <w:r>
              <w:rPr>
                <w:rFonts w:hint="default" w:ascii="Times New Roman" w:hAnsi="Times New Roman" w:cs="Times New Roman"/>
                <w:snapToGrid w:val="0"/>
                <w:color w:val="auto"/>
                <w:kern w:val="21"/>
                <w:sz w:val="21"/>
                <w:szCs w:val="21"/>
              </w:rPr>
              <w:t>t/a</w:t>
            </w:r>
          </w:p>
        </w:tc>
        <w:tc>
          <w:tcPr>
            <w:tcW w:w="494" w:type="pct"/>
            <w:shd w:val="clear" w:color="auto" w:fill="auto"/>
            <w:vAlign w:val="center"/>
          </w:tcPr>
          <w:p w14:paraId="357AC564">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0D141C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0BA7504C">
            <w:pPr>
              <w:pStyle w:val="36"/>
              <w:spacing w:beforeLines="0" w:afterLines="0" w:line="240" w:lineRule="auto"/>
              <w:jc w:val="center"/>
              <w:rPr>
                <w:rFonts w:hint="default" w:ascii="Times New Roman" w:hAnsi="Times New Roman" w:cs="Times New Roman"/>
                <w:snapToGrid w:val="0"/>
                <w:color w:val="auto"/>
                <w:kern w:val="21"/>
                <w:sz w:val="21"/>
                <w:szCs w:val="21"/>
              </w:rPr>
            </w:pPr>
          </w:p>
        </w:tc>
        <w:tc>
          <w:tcPr>
            <w:tcW w:w="823" w:type="pct"/>
            <w:vAlign w:val="center"/>
          </w:tcPr>
          <w:p w14:paraId="69AF9C57">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TN</w:t>
            </w:r>
          </w:p>
        </w:tc>
        <w:tc>
          <w:tcPr>
            <w:tcW w:w="500" w:type="pct"/>
            <w:shd w:val="clear" w:color="auto" w:fill="auto"/>
            <w:vAlign w:val="center"/>
          </w:tcPr>
          <w:p w14:paraId="23E94285">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3A48423F">
            <w:pPr>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6C1204EB">
            <w:pPr>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0D2982FC">
            <w:pPr>
              <w:keepNext w:val="0"/>
              <w:keepLines w:val="0"/>
              <w:widowControl/>
              <w:suppressLineNumbers w:val="0"/>
              <w:jc w:val="center"/>
              <w:textAlignment w:val="center"/>
              <w:rPr>
                <w:rFonts w:hint="default" w:ascii="Times New Roman" w:hAnsi="Times New Roman" w:cs="Times New Roman"/>
                <w:snapToGrid w:val="0"/>
                <w:color w:val="auto"/>
                <w:kern w:val="21"/>
                <w:sz w:val="21"/>
                <w:szCs w:val="21"/>
              </w:rPr>
            </w:pPr>
            <w:r>
              <w:rPr>
                <w:rFonts w:hint="default" w:ascii="Times New Roman" w:hAnsi="Times New Roman" w:eastAsia="宋体" w:cs="Times New Roman"/>
                <w:color w:val="auto"/>
                <w:kern w:val="0"/>
                <w:sz w:val="21"/>
                <w:szCs w:val="21"/>
                <w:lang w:val="en-US" w:eastAsia="zh-CN" w:bidi="ar-SA"/>
              </w:rPr>
              <w:t>0.034</w:t>
            </w:r>
            <w:r>
              <w:rPr>
                <w:rFonts w:hint="default" w:ascii="Times New Roman" w:hAnsi="Times New Roman" w:cs="Times New Roman"/>
                <w:snapToGrid w:val="0"/>
                <w:color w:val="auto"/>
                <w:kern w:val="21"/>
                <w:sz w:val="21"/>
                <w:szCs w:val="21"/>
              </w:rPr>
              <w:t>t/a</w:t>
            </w:r>
          </w:p>
        </w:tc>
        <w:tc>
          <w:tcPr>
            <w:tcW w:w="562" w:type="pct"/>
            <w:shd w:val="clear" w:color="auto" w:fill="auto"/>
            <w:vAlign w:val="center"/>
          </w:tcPr>
          <w:p w14:paraId="3143D213">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53A90D6A">
            <w:pPr>
              <w:keepNext w:val="0"/>
              <w:keepLines w:val="0"/>
              <w:widowControl/>
              <w:suppressLineNumbers w:val="0"/>
              <w:jc w:val="center"/>
              <w:textAlignment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0.034</w:t>
            </w:r>
            <w:r>
              <w:rPr>
                <w:rFonts w:hint="default" w:ascii="Times New Roman" w:hAnsi="Times New Roman" w:cs="Times New Roman"/>
                <w:snapToGrid w:val="0"/>
                <w:color w:val="auto"/>
                <w:kern w:val="21"/>
                <w:sz w:val="21"/>
                <w:szCs w:val="21"/>
              </w:rPr>
              <w:t>t/a</w:t>
            </w:r>
          </w:p>
        </w:tc>
        <w:tc>
          <w:tcPr>
            <w:tcW w:w="494" w:type="pct"/>
            <w:shd w:val="clear" w:color="auto" w:fill="auto"/>
            <w:vAlign w:val="center"/>
          </w:tcPr>
          <w:p w14:paraId="7712B64E">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2A825A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vAlign w:val="center"/>
          </w:tcPr>
          <w:p w14:paraId="4F46E4C6">
            <w:pPr>
              <w:pStyle w:val="36"/>
              <w:spacing w:beforeLines="0" w:afterLines="0" w:line="240" w:lineRule="auto"/>
              <w:jc w:val="center"/>
              <w:rPr>
                <w:rFonts w:hint="default" w:ascii="Times New Roman" w:hAnsi="Times New Roman" w:cs="Times New Roman"/>
                <w:snapToGrid w:val="0"/>
                <w:color w:val="auto"/>
                <w:kern w:val="21"/>
                <w:sz w:val="21"/>
                <w:szCs w:val="21"/>
              </w:rPr>
            </w:pPr>
          </w:p>
        </w:tc>
        <w:tc>
          <w:tcPr>
            <w:tcW w:w="823" w:type="pct"/>
            <w:vAlign w:val="center"/>
          </w:tcPr>
          <w:p w14:paraId="63A7CA05">
            <w:pPr>
              <w:pStyle w:val="6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TP</w:t>
            </w:r>
          </w:p>
        </w:tc>
        <w:tc>
          <w:tcPr>
            <w:tcW w:w="500" w:type="pct"/>
            <w:shd w:val="clear" w:color="auto" w:fill="auto"/>
            <w:vAlign w:val="center"/>
          </w:tcPr>
          <w:p w14:paraId="36ADEB2B">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265B3D90">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7275E4B2">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743C5D1C">
            <w:pPr>
              <w:pStyle w:val="69"/>
              <w:jc w:val="center"/>
              <w:rPr>
                <w:rFonts w:hint="default" w:ascii="Times New Roman" w:hAnsi="Times New Roman" w:cs="Times New Roman"/>
                <w:snapToGrid w:val="0"/>
                <w:color w:val="auto"/>
                <w:kern w:val="21"/>
                <w:sz w:val="21"/>
                <w:szCs w:val="21"/>
              </w:rPr>
            </w:pPr>
            <w:r>
              <w:rPr>
                <w:rFonts w:hint="default" w:ascii="Times New Roman" w:hAnsi="Times New Roman" w:eastAsia="宋体" w:cs="Times New Roman"/>
                <w:color w:val="auto"/>
                <w:kern w:val="0"/>
                <w:sz w:val="21"/>
                <w:szCs w:val="21"/>
                <w:lang w:val="en-US" w:eastAsia="zh-CN" w:bidi="ar-SA"/>
              </w:rPr>
              <w:t>0.0034</w:t>
            </w:r>
            <w:r>
              <w:rPr>
                <w:rFonts w:hint="default" w:ascii="Times New Roman" w:hAnsi="Times New Roman" w:cs="Times New Roman"/>
                <w:snapToGrid w:val="0"/>
                <w:color w:val="auto"/>
                <w:kern w:val="21"/>
                <w:sz w:val="21"/>
                <w:szCs w:val="21"/>
              </w:rPr>
              <w:t>t/a</w:t>
            </w:r>
          </w:p>
        </w:tc>
        <w:tc>
          <w:tcPr>
            <w:tcW w:w="562" w:type="pct"/>
            <w:shd w:val="clear" w:color="auto" w:fill="auto"/>
            <w:vAlign w:val="center"/>
          </w:tcPr>
          <w:p w14:paraId="231F7097">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45F1FB3D">
            <w:pPr>
              <w:pStyle w:val="69"/>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0.0034</w:t>
            </w:r>
            <w:r>
              <w:rPr>
                <w:rFonts w:hint="default" w:ascii="Times New Roman" w:hAnsi="Times New Roman" w:cs="Times New Roman"/>
                <w:snapToGrid w:val="0"/>
                <w:color w:val="auto"/>
                <w:kern w:val="21"/>
                <w:sz w:val="21"/>
                <w:szCs w:val="21"/>
              </w:rPr>
              <w:t>t/a</w:t>
            </w:r>
          </w:p>
        </w:tc>
        <w:tc>
          <w:tcPr>
            <w:tcW w:w="494" w:type="pct"/>
            <w:shd w:val="clear" w:color="auto" w:fill="auto"/>
            <w:vAlign w:val="center"/>
          </w:tcPr>
          <w:p w14:paraId="5C72AC55">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00D89E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vAlign w:val="center"/>
          </w:tcPr>
          <w:p w14:paraId="09673D53">
            <w:pPr>
              <w:pStyle w:val="36"/>
              <w:spacing w:beforeLines="0" w:afterLines="0" w:line="240" w:lineRule="auto"/>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一般工业</w:t>
            </w:r>
          </w:p>
          <w:p w14:paraId="03433BDA">
            <w:pPr>
              <w:pStyle w:val="36"/>
              <w:spacing w:beforeLines="0" w:afterLines="0" w:line="240" w:lineRule="auto"/>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固体废物</w:t>
            </w:r>
          </w:p>
        </w:tc>
        <w:tc>
          <w:tcPr>
            <w:tcW w:w="823" w:type="pct"/>
            <w:vAlign w:val="center"/>
          </w:tcPr>
          <w:p w14:paraId="038B076D">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w:t>
            </w:r>
          </w:p>
        </w:tc>
        <w:tc>
          <w:tcPr>
            <w:tcW w:w="500" w:type="pct"/>
            <w:shd w:val="clear" w:color="auto" w:fill="auto"/>
            <w:vAlign w:val="center"/>
          </w:tcPr>
          <w:p w14:paraId="0C028C5F">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47FD343E">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3FF11459">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7B02C4F1">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lang w:val="en-US" w:eastAsia="zh-CN"/>
              </w:rPr>
              <w:t>4.25</w:t>
            </w:r>
            <w:r>
              <w:rPr>
                <w:rFonts w:hint="default" w:ascii="Times New Roman" w:hAnsi="Times New Roman" w:cs="Times New Roman"/>
                <w:snapToGrid w:val="0"/>
                <w:color w:val="auto"/>
                <w:kern w:val="21"/>
                <w:sz w:val="21"/>
                <w:szCs w:val="21"/>
              </w:rPr>
              <w:t>t/a</w:t>
            </w:r>
          </w:p>
        </w:tc>
        <w:tc>
          <w:tcPr>
            <w:tcW w:w="562" w:type="pct"/>
            <w:shd w:val="clear" w:color="auto" w:fill="auto"/>
            <w:vAlign w:val="center"/>
          </w:tcPr>
          <w:p w14:paraId="7C1E627D">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347A1A20">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4.25</w:t>
            </w:r>
            <w:r>
              <w:rPr>
                <w:rFonts w:hint="default" w:ascii="Times New Roman" w:hAnsi="Times New Roman" w:cs="Times New Roman"/>
                <w:snapToGrid w:val="0"/>
                <w:color w:val="auto"/>
                <w:kern w:val="21"/>
                <w:sz w:val="21"/>
                <w:szCs w:val="21"/>
              </w:rPr>
              <w:t>t/a</w:t>
            </w:r>
          </w:p>
        </w:tc>
        <w:tc>
          <w:tcPr>
            <w:tcW w:w="494" w:type="pct"/>
            <w:shd w:val="clear" w:color="auto" w:fill="auto"/>
            <w:vAlign w:val="center"/>
          </w:tcPr>
          <w:p w14:paraId="2BF906AE">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68D1A6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0CF0C0B6">
            <w:pPr>
              <w:pStyle w:val="36"/>
              <w:spacing w:beforeLines="0" w:afterLines="0" w:line="240" w:lineRule="auto"/>
              <w:jc w:val="center"/>
              <w:rPr>
                <w:rFonts w:hint="default" w:ascii="Times New Roman" w:hAnsi="Times New Roman" w:cs="Times New Roman"/>
                <w:snapToGrid w:val="0"/>
                <w:color w:val="auto"/>
                <w:kern w:val="21"/>
                <w:sz w:val="21"/>
                <w:szCs w:val="21"/>
              </w:rPr>
            </w:pPr>
          </w:p>
        </w:tc>
        <w:tc>
          <w:tcPr>
            <w:tcW w:w="823" w:type="pct"/>
            <w:vAlign w:val="center"/>
          </w:tcPr>
          <w:p w14:paraId="5CB349CD">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废包装材料</w:t>
            </w:r>
          </w:p>
        </w:tc>
        <w:tc>
          <w:tcPr>
            <w:tcW w:w="500" w:type="pct"/>
            <w:shd w:val="clear" w:color="auto" w:fill="auto"/>
            <w:vAlign w:val="center"/>
          </w:tcPr>
          <w:p w14:paraId="0545BC20">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shd w:val="clear" w:color="auto" w:fill="auto"/>
            <w:vAlign w:val="center"/>
          </w:tcPr>
          <w:p w14:paraId="76B99CF8">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shd w:val="clear" w:color="auto" w:fill="auto"/>
            <w:vAlign w:val="center"/>
          </w:tcPr>
          <w:p w14:paraId="7DE0E8DF">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vAlign w:val="center"/>
          </w:tcPr>
          <w:p w14:paraId="0B1FE5CD">
            <w:pPr>
              <w:adjustRightInd w:val="0"/>
              <w:snapToGrid w:val="0"/>
              <w:jc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cs="Times New Roman"/>
                <w:snapToGrid w:val="0"/>
                <w:color w:val="auto"/>
                <w:kern w:val="21"/>
                <w:sz w:val="21"/>
                <w:szCs w:val="21"/>
                <w:lang w:val="en-US" w:eastAsia="zh-CN"/>
              </w:rPr>
              <w:t>0.05</w:t>
            </w:r>
            <w:r>
              <w:rPr>
                <w:rFonts w:hint="default" w:ascii="Times New Roman" w:hAnsi="Times New Roman" w:cs="Times New Roman"/>
                <w:snapToGrid w:val="0"/>
                <w:color w:val="auto"/>
                <w:kern w:val="21"/>
                <w:sz w:val="21"/>
                <w:szCs w:val="21"/>
              </w:rPr>
              <w:t>t/a</w:t>
            </w:r>
          </w:p>
        </w:tc>
        <w:tc>
          <w:tcPr>
            <w:tcW w:w="562" w:type="pct"/>
            <w:shd w:val="clear" w:color="auto" w:fill="auto"/>
            <w:vAlign w:val="center"/>
          </w:tcPr>
          <w:p w14:paraId="61B3F854">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6CDE1657">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lang w:val="en-US" w:eastAsia="zh-CN"/>
              </w:rPr>
              <w:t>0.05</w:t>
            </w:r>
            <w:r>
              <w:rPr>
                <w:rFonts w:hint="default" w:ascii="Times New Roman" w:hAnsi="Times New Roman" w:cs="Times New Roman"/>
                <w:snapToGrid w:val="0"/>
                <w:color w:val="auto"/>
                <w:kern w:val="21"/>
                <w:sz w:val="21"/>
                <w:szCs w:val="21"/>
              </w:rPr>
              <w:t>t/a</w:t>
            </w:r>
          </w:p>
        </w:tc>
        <w:tc>
          <w:tcPr>
            <w:tcW w:w="494" w:type="pct"/>
            <w:shd w:val="clear" w:color="auto" w:fill="auto"/>
            <w:vAlign w:val="center"/>
          </w:tcPr>
          <w:p w14:paraId="309F9FA4">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r>
      <w:tr w14:paraId="4511FF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vAlign w:val="center"/>
          </w:tcPr>
          <w:p w14:paraId="549AE620">
            <w:pPr>
              <w:pStyle w:val="36"/>
              <w:spacing w:beforeLines="0" w:afterLines="0" w:line="240" w:lineRule="auto"/>
              <w:jc w:val="center"/>
              <w:rPr>
                <w:rFonts w:hint="default" w:ascii="Times New Roman" w:hAnsi="Times New Roman" w:cs="Times New Roman"/>
                <w:snapToGrid w:val="0"/>
                <w:color w:val="auto"/>
                <w:kern w:val="21"/>
                <w:sz w:val="21"/>
                <w:szCs w:val="21"/>
              </w:rPr>
            </w:pPr>
          </w:p>
        </w:tc>
        <w:tc>
          <w:tcPr>
            <w:tcW w:w="823" w:type="pct"/>
            <w:vAlign w:val="center"/>
          </w:tcPr>
          <w:p w14:paraId="654C7817">
            <w:pPr>
              <w:jc w:val="center"/>
              <w:rPr>
                <w:rFonts w:hint="eastAsia" w:ascii="Times New Roman" w:hAnsi="Times New Roman" w:eastAsia="宋体" w:cs="Times New Roman"/>
                <w:color w:val="auto"/>
                <w:sz w:val="21"/>
                <w:szCs w:val="21"/>
                <w:lang w:eastAsia="zh-CN"/>
              </w:rPr>
            </w:pPr>
            <w:r>
              <w:rPr>
                <w:rFonts w:hint="eastAsia" w:cs="Times New Roman"/>
                <w:color w:val="auto"/>
                <w:sz w:val="21"/>
                <w:szCs w:val="21"/>
                <w:highlight w:val="none"/>
                <w:lang w:val="en-US" w:eastAsia="zh-CN"/>
              </w:rPr>
              <w:t>试验废样</w:t>
            </w:r>
          </w:p>
        </w:tc>
        <w:tc>
          <w:tcPr>
            <w:tcW w:w="500" w:type="pct"/>
            <w:shd w:val="clear" w:color="auto" w:fill="auto"/>
            <w:vAlign w:val="center"/>
          </w:tcPr>
          <w:p w14:paraId="15CCAB7A">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733CE1AF">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67D9029D">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5C972BBB">
            <w:pPr>
              <w:adjustRightInd w:val="0"/>
              <w:snapToGrid w:val="0"/>
              <w:jc w:val="center"/>
              <w:rPr>
                <w:rFonts w:hint="default" w:ascii="Times New Roman" w:hAnsi="Times New Roman" w:cs="Times New Roman"/>
                <w:color w:val="auto"/>
                <w:sz w:val="21"/>
                <w:szCs w:val="21"/>
              </w:rPr>
            </w:pPr>
            <w:r>
              <w:rPr>
                <w:rFonts w:hint="default" w:ascii="Times New Roman" w:hAnsi="Times New Roman" w:cs="Times New Roman"/>
                <w:snapToGrid w:val="0"/>
                <w:color w:val="auto"/>
                <w:kern w:val="21"/>
                <w:sz w:val="21"/>
                <w:szCs w:val="21"/>
                <w:lang w:val="en-US" w:eastAsia="zh-CN"/>
              </w:rPr>
              <w:t>1</w:t>
            </w:r>
            <w:r>
              <w:rPr>
                <w:rFonts w:hint="default" w:ascii="Times New Roman" w:hAnsi="Times New Roman" w:cs="Times New Roman"/>
                <w:snapToGrid w:val="0"/>
                <w:color w:val="auto"/>
                <w:kern w:val="21"/>
                <w:sz w:val="21"/>
                <w:szCs w:val="21"/>
              </w:rPr>
              <w:t>0</w:t>
            </w:r>
            <w:r>
              <w:rPr>
                <w:rFonts w:hint="default" w:ascii="Times New Roman" w:hAnsi="Times New Roman" w:cs="Times New Roman"/>
                <w:bCs/>
                <w:color w:val="auto"/>
                <w:sz w:val="21"/>
                <w:szCs w:val="21"/>
              </w:rPr>
              <w:t>t/a</w:t>
            </w:r>
          </w:p>
        </w:tc>
        <w:tc>
          <w:tcPr>
            <w:tcW w:w="562" w:type="pct"/>
            <w:shd w:val="clear" w:color="auto" w:fill="auto"/>
            <w:vAlign w:val="center"/>
          </w:tcPr>
          <w:p w14:paraId="62E71FFE">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4C91FC3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snapToGrid w:val="0"/>
                <w:color w:val="auto"/>
                <w:kern w:val="21"/>
                <w:sz w:val="21"/>
                <w:szCs w:val="21"/>
                <w:lang w:val="en-US" w:eastAsia="zh-CN"/>
              </w:rPr>
              <w:t>1</w:t>
            </w:r>
            <w:r>
              <w:rPr>
                <w:rFonts w:hint="default" w:ascii="Times New Roman" w:hAnsi="Times New Roman" w:cs="Times New Roman"/>
                <w:snapToGrid w:val="0"/>
                <w:color w:val="auto"/>
                <w:kern w:val="21"/>
                <w:sz w:val="21"/>
                <w:szCs w:val="21"/>
              </w:rPr>
              <w:t>0</w:t>
            </w:r>
            <w:r>
              <w:rPr>
                <w:rFonts w:hint="default" w:ascii="Times New Roman" w:hAnsi="Times New Roman" w:cs="Times New Roman"/>
                <w:bCs/>
                <w:color w:val="auto"/>
                <w:sz w:val="21"/>
                <w:szCs w:val="21"/>
              </w:rPr>
              <w:t>t/a</w:t>
            </w:r>
          </w:p>
        </w:tc>
        <w:tc>
          <w:tcPr>
            <w:tcW w:w="494" w:type="pct"/>
            <w:shd w:val="clear" w:color="auto" w:fill="auto"/>
            <w:vAlign w:val="center"/>
          </w:tcPr>
          <w:p w14:paraId="3F856B70">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4533D7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vAlign w:val="center"/>
          </w:tcPr>
          <w:p w14:paraId="20683FAF">
            <w:pPr>
              <w:pStyle w:val="36"/>
              <w:spacing w:beforeLines="0" w:afterLines="0" w:line="240" w:lineRule="auto"/>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危险废物</w:t>
            </w:r>
          </w:p>
        </w:tc>
        <w:tc>
          <w:tcPr>
            <w:tcW w:w="823" w:type="pct"/>
            <w:vAlign w:val="center"/>
          </w:tcPr>
          <w:p w14:paraId="5DF25A97">
            <w:pPr>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highlight w:val="none"/>
              </w:rPr>
              <w:t>废</w:t>
            </w:r>
            <w:r>
              <w:rPr>
                <w:rFonts w:hint="eastAsia" w:cs="Times New Roman"/>
                <w:color w:val="auto"/>
                <w:sz w:val="21"/>
                <w:szCs w:val="21"/>
                <w:highlight w:val="none"/>
                <w:lang w:eastAsia="zh-CN"/>
              </w:rPr>
              <w:t>活性炭</w:t>
            </w:r>
          </w:p>
        </w:tc>
        <w:tc>
          <w:tcPr>
            <w:tcW w:w="500" w:type="pct"/>
            <w:shd w:val="clear" w:color="auto" w:fill="auto"/>
            <w:vAlign w:val="center"/>
          </w:tcPr>
          <w:p w14:paraId="2BF94108">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7EAA4EE5">
            <w:pPr>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4BB216C2">
            <w:pPr>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6D3C0989">
            <w:pPr>
              <w:pStyle w:val="78"/>
              <w:ind w:left="43" w:leftChars="0" w:right="35" w:rightChars="0"/>
              <w:jc w:val="center"/>
              <w:rPr>
                <w:rFonts w:hint="default" w:ascii="Times New Roman" w:hAnsi="Times New Roman" w:cs="Times New Roman"/>
                <w:color w:val="auto"/>
                <w:sz w:val="21"/>
                <w:szCs w:val="21"/>
              </w:rPr>
            </w:pPr>
            <w:r>
              <w:rPr>
                <w:rFonts w:hint="default" w:ascii="Times New Roman" w:hAnsi="Times New Roman" w:cs="Times New Roman"/>
                <w:bCs/>
                <w:color w:val="auto"/>
                <w:sz w:val="21"/>
                <w:szCs w:val="21"/>
                <w:lang w:val="en-US" w:eastAsia="zh-CN"/>
              </w:rPr>
              <w:t>0.5000</w:t>
            </w:r>
            <w:r>
              <w:rPr>
                <w:rFonts w:hint="eastAsia" w:ascii="Times New Roman" w:hAnsi="Times New Roman" w:cs="Times New Roman"/>
                <w:bCs/>
                <w:color w:val="auto"/>
                <w:sz w:val="21"/>
                <w:szCs w:val="21"/>
                <w:lang w:val="en-US" w:eastAsia="zh-CN"/>
              </w:rPr>
              <w:t>293</w:t>
            </w:r>
            <w:r>
              <w:rPr>
                <w:rFonts w:hint="default" w:ascii="Times New Roman" w:hAnsi="Times New Roman" w:cs="Times New Roman"/>
                <w:bCs/>
                <w:color w:val="auto"/>
                <w:sz w:val="21"/>
                <w:szCs w:val="21"/>
              </w:rPr>
              <w:t>t/a</w:t>
            </w:r>
          </w:p>
        </w:tc>
        <w:tc>
          <w:tcPr>
            <w:tcW w:w="562" w:type="pct"/>
            <w:shd w:val="clear" w:color="auto" w:fill="auto"/>
            <w:vAlign w:val="center"/>
          </w:tcPr>
          <w:p w14:paraId="0034F15A">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6375ABD3">
            <w:pPr>
              <w:pStyle w:val="78"/>
              <w:ind w:left="43" w:leftChars="0" w:right="35"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bCs/>
                <w:color w:val="auto"/>
                <w:sz w:val="21"/>
                <w:szCs w:val="21"/>
                <w:lang w:val="en-US" w:eastAsia="zh-CN"/>
              </w:rPr>
              <w:t>0.5000</w:t>
            </w:r>
            <w:r>
              <w:rPr>
                <w:rFonts w:hint="eastAsia" w:ascii="Times New Roman" w:hAnsi="Times New Roman" w:cs="Times New Roman"/>
                <w:bCs/>
                <w:color w:val="auto"/>
                <w:sz w:val="21"/>
                <w:szCs w:val="21"/>
                <w:lang w:val="en-US" w:eastAsia="zh-CN"/>
              </w:rPr>
              <w:t>293</w:t>
            </w:r>
            <w:r>
              <w:rPr>
                <w:rFonts w:hint="default" w:ascii="Times New Roman" w:hAnsi="Times New Roman" w:cs="Times New Roman"/>
                <w:bCs/>
                <w:color w:val="auto"/>
                <w:sz w:val="21"/>
                <w:szCs w:val="21"/>
              </w:rPr>
              <w:t>t/a</w:t>
            </w:r>
          </w:p>
        </w:tc>
        <w:tc>
          <w:tcPr>
            <w:tcW w:w="494" w:type="pct"/>
            <w:shd w:val="clear" w:color="auto" w:fill="auto"/>
            <w:vAlign w:val="center"/>
          </w:tcPr>
          <w:p w14:paraId="174CF23C">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46EB2E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vAlign w:val="center"/>
          </w:tcPr>
          <w:p w14:paraId="7FBCED8A">
            <w:pPr>
              <w:pStyle w:val="36"/>
              <w:spacing w:beforeLines="0" w:afterLines="0" w:line="240" w:lineRule="auto"/>
              <w:jc w:val="center"/>
              <w:rPr>
                <w:rFonts w:hint="default" w:ascii="Times New Roman" w:hAnsi="Times New Roman" w:cs="Times New Roman"/>
                <w:snapToGrid w:val="0"/>
                <w:color w:val="auto"/>
                <w:kern w:val="21"/>
                <w:sz w:val="21"/>
                <w:szCs w:val="21"/>
              </w:rPr>
            </w:pPr>
          </w:p>
        </w:tc>
        <w:tc>
          <w:tcPr>
            <w:tcW w:w="823" w:type="pct"/>
            <w:vAlign w:val="center"/>
          </w:tcPr>
          <w:p w14:paraId="44C4E984">
            <w:pPr>
              <w:pStyle w:val="78"/>
              <w:ind w:right="35"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highlight w:val="none"/>
                <w:lang w:val="en-US"/>
              </w:rPr>
              <w:t>试验室废液</w:t>
            </w:r>
          </w:p>
        </w:tc>
        <w:tc>
          <w:tcPr>
            <w:tcW w:w="500" w:type="pct"/>
            <w:shd w:val="clear" w:color="auto" w:fill="auto"/>
            <w:vAlign w:val="center"/>
          </w:tcPr>
          <w:p w14:paraId="4D148846">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4A28D51D">
            <w:pPr>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7EC53CF4">
            <w:pPr>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5A334184">
            <w:pPr>
              <w:pStyle w:val="78"/>
              <w:ind w:left="43" w:leftChars="0" w:right="35" w:rightChars="0"/>
              <w:jc w:val="center"/>
              <w:rPr>
                <w:rFonts w:hint="default" w:ascii="Times New Roman" w:hAnsi="Times New Roman" w:cs="Times New Roman"/>
                <w:bCs/>
                <w:color w:val="auto"/>
                <w:sz w:val="21"/>
                <w:szCs w:val="21"/>
              </w:rPr>
            </w:pPr>
            <w:r>
              <w:rPr>
                <w:rFonts w:hint="default" w:ascii="Times New Roman" w:hAnsi="Times New Roman" w:cs="Times New Roman"/>
                <w:color w:val="auto"/>
                <w:sz w:val="21"/>
                <w:szCs w:val="21"/>
                <w:highlight w:val="none"/>
                <w:lang w:val="en-US" w:eastAsia="zh-CN"/>
              </w:rPr>
              <w:t>0.</w:t>
            </w:r>
            <w:r>
              <w:rPr>
                <w:rFonts w:hint="eastAsia" w:ascii="Times New Roman" w:hAnsi="Times New Roman" w:cs="Times New Roman"/>
                <w:color w:val="auto"/>
                <w:sz w:val="21"/>
                <w:szCs w:val="21"/>
                <w:highlight w:val="none"/>
                <w:lang w:val="en-US" w:eastAsia="zh-CN"/>
              </w:rPr>
              <w:t>8</w:t>
            </w:r>
            <w:r>
              <w:rPr>
                <w:rFonts w:hint="default" w:ascii="Times New Roman" w:hAnsi="Times New Roman" w:cs="Times New Roman"/>
                <w:bCs/>
                <w:color w:val="auto"/>
                <w:sz w:val="21"/>
                <w:szCs w:val="21"/>
              </w:rPr>
              <w:t>t/a</w:t>
            </w:r>
          </w:p>
        </w:tc>
        <w:tc>
          <w:tcPr>
            <w:tcW w:w="562" w:type="pct"/>
            <w:shd w:val="clear" w:color="auto" w:fill="auto"/>
            <w:vAlign w:val="center"/>
          </w:tcPr>
          <w:p w14:paraId="71B30428">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1E93893A">
            <w:pPr>
              <w:pStyle w:val="78"/>
              <w:ind w:left="43" w:leftChars="0" w:right="35" w:rightChars="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color w:val="auto"/>
                <w:sz w:val="21"/>
                <w:szCs w:val="21"/>
                <w:highlight w:val="none"/>
                <w:lang w:val="en-US" w:eastAsia="zh-CN"/>
              </w:rPr>
              <w:t>0.</w:t>
            </w:r>
            <w:r>
              <w:rPr>
                <w:rFonts w:hint="eastAsia" w:ascii="Times New Roman" w:hAnsi="Times New Roman" w:cs="Times New Roman"/>
                <w:color w:val="auto"/>
                <w:sz w:val="21"/>
                <w:szCs w:val="21"/>
                <w:highlight w:val="none"/>
                <w:lang w:val="en-US" w:eastAsia="zh-CN"/>
              </w:rPr>
              <w:t>8</w:t>
            </w:r>
            <w:r>
              <w:rPr>
                <w:rFonts w:hint="default" w:ascii="Times New Roman" w:hAnsi="Times New Roman" w:cs="Times New Roman"/>
                <w:bCs/>
                <w:color w:val="auto"/>
                <w:sz w:val="21"/>
                <w:szCs w:val="21"/>
              </w:rPr>
              <w:t>t/a</w:t>
            </w:r>
          </w:p>
        </w:tc>
        <w:tc>
          <w:tcPr>
            <w:tcW w:w="494" w:type="pct"/>
            <w:shd w:val="clear" w:color="auto" w:fill="auto"/>
            <w:vAlign w:val="center"/>
          </w:tcPr>
          <w:p w14:paraId="41B681F7">
            <w:pPr>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r w14:paraId="05463B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vAlign w:val="center"/>
          </w:tcPr>
          <w:p w14:paraId="511A8306">
            <w:pPr>
              <w:pStyle w:val="36"/>
              <w:spacing w:beforeLines="0" w:afterLines="0" w:line="240" w:lineRule="auto"/>
              <w:jc w:val="center"/>
              <w:rPr>
                <w:rFonts w:hint="default" w:ascii="Times New Roman" w:hAnsi="Times New Roman" w:cs="Times New Roman"/>
                <w:snapToGrid w:val="0"/>
                <w:color w:val="auto"/>
                <w:kern w:val="21"/>
                <w:sz w:val="21"/>
                <w:szCs w:val="21"/>
              </w:rPr>
            </w:pPr>
          </w:p>
        </w:tc>
        <w:tc>
          <w:tcPr>
            <w:tcW w:w="823" w:type="pct"/>
            <w:vAlign w:val="center"/>
          </w:tcPr>
          <w:p w14:paraId="7D4FFEE7">
            <w:pPr>
              <w:pStyle w:val="78"/>
              <w:ind w:right="35"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highlight w:val="none"/>
                <w:lang w:val="en-US" w:eastAsia="zh-CN"/>
              </w:rPr>
              <w:t>废试剂瓶</w:t>
            </w:r>
          </w:p>
        </w:tc>
        <w:tc>
          <w:tcPr>
            <w:tcW w:w="500" w:type="pct"/>
            <w:shd w:val="clear" w:color="auto" w:fill="auto"/>
            <w:vAlign w:val="center"/>
          </w:tcPr>
          <w:p w14:paraId="64362878">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468" w:type="pct"/>
            <w:vAlign w:val="center"/>
          </w:tcPr>
          <w:p w14:paraId="784E64A6">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vAlign w:val="center"/>
          </w:tcPr>
          <w:p w14:paraId="48A984E9">
            <w:pPr>
              <w:adjustRightInd w:val="0"/>
              <w:snapToGrid w:val="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vAlign w:val="center"/>
          </w:tcPr>
          <w:p w14:paraId="339DC57F">
            <w:pPr>
              <w:pStyle w:val="78"/>
              <w:ind w:left="43" w:leftChars="0" w:right="35" w:rightChars="0"/>
              <w:jc w:val="center"/>
              <w:rPr>
                <w:rFonts w:hint="default" w:ascii="Times New Roman" w:hAnsi="Times New Roman" w:cs="Times New Roman"/>
                <w:bCs/>
                <w:color w:val="auto"/>
                <w:sz w:val="21"/>
                <w:szCs w:val="21"/>
              </w:rPr>
            </w:pPr>
            <w:r>
              <w:rPr>
                <w:rFonts w:hint="default" w:ascii="Times New Roman" w:hAnsi="Times New Roman" w:cs="Times New Roman"/>
                <w:color w:val="auto"/>
                <w:sz w:val="21"/>
                <w:szCs w:val="21"/>
                <w:highlight w:val="none"/>
                <w:lang w:val="en-US" w:eastAsia="zh-CN"/>
              </w:rPr>
              <w:t>0.02</w:t>
            </w:r>
            <w:r>
              <w:rPr>
                <w:rFonts w:hint="default" w:ascii="Times New Roman" w:hAnsi="Times New Roman" w:cs="Times New Roman"/>
                <w:bCs/>
                <w:color w:val="auto"/>
                <w:sz w:val="21"/>
                <w:szCs w:val="21"/>
              </w:rPr>
              <w:t>t/a</w:t>
            </w:r>
          </w:p>
        </w:tc>
        <w:tc>
          <w:tcPr>
            <w:tcW w:w="562" w:type="pct"/>
            <w:shd w:val="clear" w:color="auto" w:fill="auto"/>
            <w:vAlign w:val="center"/>
          </w:tcPr>
          <w:p w14:paraId="4B6C2A37">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41" w:type="pct"/>
            <w:shd w:val="clear" w:color="auto" w:fill="auto"/>
            <w:vAlign w:val="center"/>
          </w:tcPr>
          <w:p w14:paraId="2D8F245E">
            <w:pPr>
              <w:pStyle w:val="78"/>
              <w:ind w:left="43" w:leftChars="0" w:right="35" w:rightChars="0"/>
              <w:jc w:val="center"/>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cs="Times New Roman"/>
                <w:color w:val="auto"/>
                <w:sz w:val="21"/>
                <w:szCs w:val="21"/>
                <w:highlight w:val="none"/>
                <w:lang w:val="en-US" w:eastAsia="zh-CN"/>
              </w:rPr>
              <w:t>0.02</w:t>
            </w:r>
            <w:r>
              <w:rPr>
                <w:rFonts w:hint="default" w:ascii="Times New Roman" w:hAnsi="Times New Roman" w:cs="Times New Roman"/>
                <w:bCs/>
                <w:color w:val="auto"/>
                <w:sz w:val="21"/>
                <w:szCs w:val="21"/>
              </w:rPr>
              <w:t>t/a</w:t>
            </w:r>
          </w:p>
        </w:tc>
        <w:tc>
          <w:tcPr>
            <w:tcW w:w="494" w:type="pct"/>
            <w:shd w:val="clear" w:color="auto" w:fill="auto"/>
            <w:vAlign w:val="center"/>
          </w:tcPr>
          <w:p w14:paraId="4089DB98">
            <w:pPr>
              <w:adjustRightInd w:val="0"/>
              <w:snapToGrid w:val="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r>
    </w:tbl>
    <w:p w14:paraId="6D086EAB">
      <w:pPr>
        <w:pStyle w:val="36"/>
        <w:spacing w:beforeLines="0" w:afterLines="0"/>
        <w:jc w:val="left"/>
        <w:rPr>
          <w:color w:val="000000" w:themeColor="text1"/>
          <w14:textFill>
            <w14:solidFill>
              <w14:schemeClr w14:val="tx1"/>
            </w14:solidFill>
          </w14:textFill>
        </w:rPr>
      </w:pPr>
      <w:r>
        <w:rPr>
          <w:rFonts w:hAnsi="宋体"/>
          <w:snapToGrid w:val="0"/>
          <w:color w:val="000000" w:themeColor="text1"/>
          <w:kern w:val="21"/>
          <w:szCs w:val="21"/>
          <w14:textFill>
            <w14:solidFill>
              <w14:schemeClr w14:val="tx1"/>
            </w14:solidFill>
          </w14:textFill>
        </w:rPr>
        <w:t>注：</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3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③</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4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④</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5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⑤</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7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⑦</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p>
    <w:sectPr>
      <w:footerReference r:id="rId6" w:type="default"/>
      <w:pgSz w:w="16838" w:h="11906" w:orient="landscape"/>
      <w:pgMar w:top="1531" w:right="1701" w:bottom="1531" w:left="1701" w:header="851" w:footer="850"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29178">
    <w:pPr>
      <w:pStyle w:val="18"/>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F3483">
    <w:pPr>
      <w:pStyle w:val="18"/>
      <w:framePr w:wrap="around" w:vAnchor="text" w:hAnchor="margin" w:xAlign="center" w:y="1"/>
      <w:rPr>
        <w:rStyle w:val="32"/>
      </w:rPr>
    </w:pPr>
    <w:r>
      <w:fldChar w:fldCharType="begin"/>
    </w:r>
    <w:r>
      <w:rPr>
        <w:rStyle w:val="32"/>
      </w:rPr>
      <w:instrText xml:space="preserve">PAGE  </w:instrText>
    </w:r>
    <w:r>
      <w:fldChar w:fldCharType="end"/>
    </w:r>
  </w:p>
  <w:p w14:paraId="5E583C64">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315">
    <w:pPr>
      <w:pStyle w:val="18"/>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28DF07">
                          <w:pPr>
                            <w:pStyle w:val="1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44</w:t>
                          </w:r>
                          <w:r>
                            <w:rPr>
                              <w:sz w:val="24"/>
                              <w:szCs w:val="24"/>
                            </w:rPr>
                            <w:fldChar w:fldCharType="end"/>
                          </w:r>
                          <w:r>
                            <w:rPr>
                              <w:sz w:val="24"/>
                              <w:szCs w:val="24"/>
                            </w:rPr>
                            <w:t xml:space="preserve"> —</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mt+atYBAACyAwAADgAAAAAAAAABACAAAAAe&#10;AQAAZHJzL2Uyb0RvYy54bWxQSwUGAAAAAAYABgBZAQAAZgUAAAAA&#10;">
              <v:fill on="f" focussize="0,0"/>
              <v:stroke on="f"/>
              <v:imagedata o:title=""/>
              <o:lock v:ext="edit" aspectratio="f"/>
              <v:textbox inset="0mm,0mm,0mm,0mm" style="mso-fit-shape-to-text:t;">
                <w:txbxContent>
                  <w:p w14:paraId="3C28DF07">
                    <w:pPr>
                      <w:pStyle w:val="18"/>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44</w:t>
                    </w:r>
                    <w:r>
                      <w:rPr>
                        <w:sz w:val="24"/>
                        <w:szCs w:val="24"/>
                      </w:rPr>
                      <w:fldChar w:fldCharType="end"/>
                    </w:r>
                    <w:r>
                      <w:rPr>
                        <w:sz w:val="24"/>
                        <w:szCs w:val="24"/>
                      </w:rPr>
                      <w:t xml:space="preserve"> —</w:t>
                    </w:r>
                  </w:p>
                </w:txbxContent>
              </v:textbox>
            </v:shape>
          </w:pict>
        </mc:Fallback>
      </mc:AlternateConten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A852D">
    <w:pPr>
      <w:pStyle w:val="18"/>
      <w:ind w:right="360" w:firstLine="360"/>
      <w:jc w:val="cente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567418">
                          <w:pPr>
                            <w:pStyle w:val="18"/>
                          </w:pPr>
                          <w:r>
                            <w:t xml:space="preserve">— </w:t>
                          </w:r>
                          <w:r>
                            <w:fldChar w:fldCharType="begin"/>
                          </w:r>
                          <w:r>
                            <w:instrText xml:space="preserve"> PAGE  \* MERGEFORMAT </w:instrText>
                          </w:r>
                          <w:r>
                            <w:fldChar w:fldCharType="separate"/>
                          </w:r>
                          <w:r>
                            <w:t>72</w:t>
                          </w:r>
                          <w:r>
                            <w:fldChar w:fldCharType="end"/>
                          </w:r>
                          <w:r>
                            <w:t xml:space="preserve"> —</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U4fMbXAQAAsgMAAA4AAAAAAAAAAQAgAAAA&#10;HgEAAGRycy9lMm9Eb2MueG1sUEsFBgAAAAAGAAYAWQEAAGcFAAAAAA==&#10;">
              <v:fill on="f" focussize="0,0"/>
              <v:stroke on="f"/>
              <v:imagedata o:title=""/>
              <o:lock v:ext="edit" aspectratio="f"/>
              <v:textbox inset="0mm,0mm,0mm,0mm" style="mso-fit-shape-to-text:t;">
                <w:txbxContent>
                  <w:p w14:paraId="3E567418">
                    <w:pPr>
                      <w:pStyle w:val="18"/>
                    </w:pPr>
                    <w:r>
                      <w:t xml:space="preserve">— </w:t>
                    </w:r>
                    <w:r>
                      <w:fldChar w:fldCharType="begin"/>
                    </w:r>
                    <w:r>
                      <w:instrText xml:space="preserve"> PAGE  \* MERGEFORMAT </w:instrText>
                    </w:r>
                    <w:r>
                      <w:fldChar w:fldCharType="separate"/>
                    </w:r>
                    <w:r>
                      <w:t>72</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5A85F3"/>
    <w:multiLevelType w:val="singleLevel"/>
    <w:tmpl w:val="845A85F3"/>
    <w:lvl w:ilvl="0" w:tentative="0">
      <w:start w:val="1"/>
      <w:numFmt w:val="decimal"/>
      <w:suff w:val="space"/>
      <w:lvlText w:val="%1"/>
      <w:lvlJc w:val="left"/>
      <w:pPr>
        <w:ind w:left="425" w:leftChars="0" w:hanging="425" w:firstLineChars="0"/>
      </w:pPr>
      <w:rPr>
        <w:rFonts w:hint="default"/>
      </w:rPr>
    </w:lvl>
  </w:abstractNum>
  <w:abstractNum w:abstractNumId="1">
    <w:nsid w:val="AB9ED123"/>
    <w:multiLevelType w:val="singleLevel"/>
    <w:tmpl w:val="AB9ED123"/>
    <w:lvl w:ilvl="0" w:tentative="0">
      <w:start w:val="1"/>
      <w:numFmt w:val="bullet"/>
      <w:pStyle w:val="15"/>
      <w:lvlText w:val=""/>
      <w:lvlJc w:val="left"/>
      <w:pPr>
        <w:tabs>
          <w:tab w:val="left" w:pos="2040"/>
        </w:tabs>
        <w:ind w:left="2040" w:hanging="360"/>
      </w:pPr>
      <w:rPr>
        <w:rFonts w:hint="default" w:ascii="Wingdings" w:hAnsi="Wingdings"/>
      </w:rPr>
    </w:lvl>
  </w:abstractNum>
  <w:abstractNum w:abstractNumId="2">
    <w:nsid w:val="B142385A"/>
    <w:multiLevelType w:val="singleLevel"/>
    <w:tmpl w:val="B142385A"/>
    <w:lvl w:ilvl="0" w:tentative="0">
      <w:start w:val="1"/>
      <w:numFmt w:val="decimal"/>
      <w:lvlText w:val="%1."/>
      <w:lvlJc w:val="left"/>
      <w:pPr>
        <w:tabs>
          <w:tab w:val="left" w:pos="312"/>
        </w:tabs>
      </w:pPr>
    </w:lvl>
  </w:abstractNum>
  <w:abstractNum w:abstractNumId="3">
    <w:nsid w:val="C2FABB96"/>
    <w:multiLevelType w:val="singleLevel"/>
    <w:tmpl w:val="C2FABB96"/>
    <w:lvl w:ilvl="0" w:tentative="0">
      <w:start w:val="8"/>
      <w:numFmt w:val="decimal"/>
      <w:suff w:val="nothing"/>
      <w:lvlText w:val="%1、"/>
      <w:lvlJc w:val="left"/>
    </w:lvl>
  </w:abstractNum>
  <w:abstractNum w:abstractNumId="4">
    <w:nsid w:val="FBA5D9D7"/>
    <w:multiLevelType w:val="singleLevel"/>
    <w:tmpl w:val="FBA5D9D7"/>
    <w:lvl w:ilvl="0" w:tentative="0">
      <w:start w:val="1"/>
      <w:numFmt w:val="chineseCounting"/>
      <w:suff w:val="nothing"/>
      <w:lvlText w:val="%1、"/>
      <w:lvlJc w:val="left"/>
      <w:rPr>
        <w:rFonts w:hint="eastAsia"/>
      </w:rPr>
    </w:lvl>
  </w:abstractNum>
  <w:abstractNum w:abstractNumId="5">
    <w:nsid w:val="040B72BB"/>
    <w:multiLevelType w:val="singleLevel"/>
    <w:tmpl w:val="040B72BB"/>
    <w:lvl w:ilvl="0" w:tentative="0">
      <w:start w:val="1"/>
      <w:numFmt w:val="decimal"/>
      <w:lvlText w:val="%1."/>
      <w:lvlJc w:val="left"/>
      <w:pPr>
        <w:tabs>
          <w:tab w:val="left" w:pos="312"/>
        </w:tabs>
      </w:pPr>
    </w:lvl>
  </w:abstractNum>
  <w:abstractNum w:abstractNumId="6">
    <w:nsid w:val="0BF6E37C"/>
    <w:multiLevelType w:val="singleLevel"/>
    <w:tmpl w:val="0BF6E37C"/>
    <w:lvl w:ilvl="0" w:tentative="0">
      <w:start w:val="1"/>
      <w:numFmt w:val="decimal"/>
      <w:suff w:val="space"/>
      <w:lvlText w:val="%1."/>
      <w:lvlJc w:val="left"/>
    </w:lvl>
  </w:abstractNum>
  <w:abstractNum w:abstractNumId="7">
    <w:nsid w:val="1D3DF431"/>
    <w:multiLevelType w:val="singleLevel"/>
    <w:tmpl w:val="1D3DF431"/>
    <w:lvl w:ilvl="0" w:tentative="0">
      <w:start w:val="1"/>
      <w:numFmt w:val="decimal"/>
      <w:lvlText w:val="%1."/>
      <w:lvlJc w:val="left"/>
      <w:pPr>
        <w:tabs>
          <w:tab w:val="left" w:pos="312"/>
        </w:tabs>
      </w:pPr>
    </w:lvl>
  </w:abstractNum>
  <w:abstractNum w:abstractNumId="8">
    <w:nsid w:val="27174DB0"/>
    <w:multiLevelType w:val="singleLevel"/>
    <w:tmpl w:val="27174DB0"/>
    <w:lvl w:ilvl="0" w:tentative="0">
      <w:start w:val="2"/>
      <w:numFmt w:val="decimal"/>
      <w:suff w:val="nothing"/>
      <w:lvlText w:val="%1、"/>
      <w:lvlJc w:val="left"/>
    </w:lvl>
  </w:abstractNum>
  <w:abstractNum w:abstractNumId="9">
    <w:nsid w:val="3CBC3ECE"/>
    <w:multiLevelType w:val="singleLevel"/>
    <w:tmpl w:val="3CBC3ECE"/>
    <w:lvl w:ilvl="0" w:tentative="0">
      <w:start w:val="1"/>
      <w:numFmt w:val="decimal"/>
      <w:suff w:val="nothing"/>
      <w:lvlText w:val="%1、"/>
      <w:lvlJc w:val="left"/>
    </w:lvl>
  </w:abstractNum>
  <w:abstractNum w:abstractNumId="10">
    <w:nsid w:val="79236B49"/>
    <w:multiLevelType w:val="singleLevel"/>
    <w:tmpl w:val="79236B49"/>
    <w:lvl w:ilvl="0" w:tentative="0">
      <w:start w:val="1"/>
      <w:numFmt w:val="decimal"/>
      <w:pStyle w:val="92"/>
      <w:suff w:val="nothing"/>
      <w:lvlText w:val="%1）"/>
      <w:lvlJc w:val="left"/>
    </w:lvl>
  </w:abstractNum>
  <w:num w:numId="1">
    <w:abstractNumId w:val="1"/>
  </w:num>
  <w:num w:numId="2">
    <w:abstractNumId w:val="10"/>
  </w:num>
  <w:num w:numId="3">
    <w:abstractNumId w:val="6"/>
  </w:num>
  <w:num w:numId="4">
    <w:abstractNumId w:val="2"/>
  </w:num>
  <w:num w:numId="5">
    <w:abstractNumId w:val="7"/>
  </w:num>
  <w:num w:numId="6">
    <w:abstractNumId w:val="5"/>
  </w:num>
  <w:num w:numId="7">
    <w:abstractNumId w:val="0"/>
  </w:num>
  <w:num w:numId="8">
    <w:abstractNumId w:val="3"/>
  </w:num>
  <w:num w:numId="9">
    <w:abstractNumId w:val="4"/>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4Yjc1M2JiNjBjMjdhMzI3N2MwY2IzYWM4NDBiMGIifQ=="/>
  </w:docVars>
  <w:rsids>
    <w:rsidRoot w:val="00172A27"/>
    <w:rsid w:val="000060B3"/>
    <w:rsid w:val="0002117A"/>
    <w:rsid w:val="0004364B"/>
    <w:rsid w:val="0004388A"/>
    <w:rsid w:val="00044EF2"/>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208B3"/>
    <w:rsid w:val="00131F42"/>
    <w:rsid w:val="0013399F"/>
    <w:rsid w:val="001357F1"/>
    <w:rsid w:val="00136AE5"/>
    <w:rsid w:val="00140FA8"/>
    <w:rsid w:val="00142FEB"/>
    <w:rsid w:val="00143A2D"/>
    <w:rsid w:val="00145A41"/>
    <w:rsid w:val="00151675"/>
    <w:rsid w:val="00154BCF"/>
    <w:rsid w:val="00157435"/>
    <w:rsid w:val="00172A27"/>
    <w:rsid w:val="0017504D"/>
    <w:rsid w:val="0017671A"/>
    <w:rsid w:val="00177422"/>
    <w:rsid w:val="00177A21"/>
    <w:rsid w:val="00184590"/>
    <w:rsid w:val="001870D1"/>
    <w:rsid w:val="0018781E"/>
    <w:rsid w:val="0019262D"/>
    <w:rsid w:val="001A1B35"/>
    <w:rsid w:val="001A2968"/>
    <w:rsid w:val="001A48A2"/>
    <w:rsid w:val="001A6F61"/>
    <w:rsid w:val="001B72B8"/>
    <w:rsid w:val="001C69B3"/>
    <w:rsid w:val="001D5595"/>
    <w:rsid w:val="001D7874"/>
    <w:rsid w:val="001D7F22"/>
    <w:rsid w:val="001E2D8E"/>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2E4555"/>
    <w:rsid w:val="002E604C"/>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714FA"/>
    <w:rsid w:val="00381A72"/>
    <w:rsid w:val="00384676"/>
    <w:rsid w:val="00390857"/>
    <w:rsid w:val="003A4BF3"/>
    <w:rsid w:val="003B420D"/>
    <w:rsid w:val="003C53FE"/>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0700"/>
    <w:rsid w:val="00431E6C"/>
    <w:rsid w:val="004328EF"/>
    <w:rsid w:val="0043302A"/>
    <w:rsid w:val="00433CE7"/>
    <w:rsid w:val="00452738"/>
    <w:rsid w:val="00456091"/>
    <w:rsid w:val="00466321"/>
    <w:rsid w:val="00484B9B"/>
    <w:rsid w:val="004855F6"/>
    <w:rsid w:val="0048661E"/>
    <w:rsid w:val="00494670"/>
    <w:rsid w:val="004A3823"/>
    <w:rsid w:val="004C0647"/>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C2E19"/>
    <w:rsid w:val="005D36AB"/>
    <w:rsid w:val="00617CC3"/>
    <w:rsid w:val="006377A6"/>
    <w:rsid w:val="00637A3D"/>
    <w:rsid w:val="006411EF"/>
    <w:rsid w:val="006748B8"/>
    <w:rsid w:val="00675481"/>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6F48D7"/>
    <w:rsid w:val="00706C5D"/>
    <w:rsid w:val="007305B2"/>
    <w:rsid w:val="00732922"/>
    <w:rsid w:val="00733326"/>
    <w:rsid w:val="0075162E"/>
    <w:rsid w:val="00754034"/>
    <w:rsid w:val="00756556"/>
    <w:rsid w:val="007618C4"/>
    <w:rsid w:val="00765D05"/>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879CD"/>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D5A81"/>
    <w:rsid w:val="009E227D"/>
    <w:rsid w:val="009E5019"/>
    <w:rsid w:val="009F28DA"/>
    <w:rsid w:val="00A04F1B"/>
    <w:rsid w:val="00A0501B"/>
    <w:rsid w:val="00A145E0"/>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AF7D78"/>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E6DBF"/>
    <w:rsid w:val="00BF1C20"/>
    <w:rsid w:val="00C10578"/>
    <w:rsid w:val="00C135BC"/>
    <w:rsid w:val="00C15C95"/>
    <w:rsid w:val="00C15DAA"/>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B3FCB"/>
    <w:rsid w:val="00CC06E9"/>
    <w:rsid w:val="00CC489B"/>
    <w:rsid w:val="00CD2BCD"/>
    <w:rsid w:val="00CD3A4C"/>
    <w:rsid w:val="00CE10E9"/>
    <w:rsid w:val="00CE2910"/>
    <w:rsid w:val="00CE5393"/>
    <w:rsid w:val="00CF36BE"/>
    <w:rsid w:val="00CF6000"/>
    <w:rsid w:val="00D003F3"/>
    <w:rsid w:val="00D0364F"/>
    <w:rsid w:val="00D06834"/>
    <w:rsid w:val="00D207F7"/>
    <w:rsid w:val="00D308ED"/>
    <w:rsid w:val="00D36D86"/>
    <w:rsid w:val="00D428AA"/>
    <w:rsid w:val="00D50A34"/>
    <w:rsid w:val="00D53EFA"/>
    <w:rsid w:val="00D61B88"/>
    <w:rsid w:val="00D910C3"/>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15234"/>
    <w:rsid w:val="00E16FE2"/>
    <w:rsid w:val="00E2656A"/>
    <w:rsid w:val="00E412D0"/>
    <w:rsid w:val="00E45164"/>
    <w:rsid w:val="00E56322"/>
    <w:rsid w:val="00E60982"/>
    <w:rsid w:val="00E62C62"/>
    <w:rsid w:val="00E654C1"/>
    <w:rsid w:val="00E65D97"/>
    <w:rsid w:val="00E72A5A"/>
    <w:rsid w:val="00E73354"/>
    <w:rsid w:val="00E91CC7"/>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064C9A"/>
    <w:rsid w:val="010E16A7"/>
    <w:rsid w:val="01113D6B"/>
    <w:rsid w:val="011E1FE4"/>
    <w:rsid w:val="01290F7E"/>
    <w:rsid w:val="012F47D6"/>
    <w:rsid w:val="01415CD2"/>
    <w:rsid w:val="01430E25"/>
    <w:rsid w:val="01473770"/>
    <w:rsid w:val="015937D7"/>
    <w:rsid w:val="015D1E09"/>
    <w:rsid w:val="018A1427"/>
    <w:rsid w:val="019B1AE2"/>
    <w:rsid w:val="01B34E22"/>
    <w:rsid w:val="01BE57DD"/>
    <w:rsid w:val="01BF53CD"/>
    <w:rsid w:val="01C20BC1"/>
    <w:rsid w:val="01C2314D"/>
    <w:rsid w:val="01E55EBE"/>
    <w:rsid w:val="01F1594A"/>
    <w:rsid w:val="020E02AA"/>
    <w:rsid w:val="021F2822"/>
    <w:rsid w:val="0224362A"/>
    <w:rsid w:val="023C5C3C"/>
    <w:rsid w:val="023F0464"/>
    <w:rsid w:val="02565B96"/>
    <w:rsid w:val="025E1D27"/>
    <w:rsid w:val="02606FB7"/>
    <w:rsid w:val="02697903"/>
    <w:rsid w:val="02843A2D"/>
    <w:rsid w:val="02873BB9"/>
    <w:rsid w:val="02CE77DD"/>
    <w:rsid w:val="02DB6532"/>
    <w:rsid w:val="02E1776D"/>
    <w:rsid w:val="02F96569"/>
    <w:rsid w:val="02FB4EAF"/>
    <w:rsid w:val="02FF0983"/>
    <w:rsid w:val="03191A60"/>
    <w:rsid w:val="033D14FE"/>
    <w:rsid w:val="03422811"/>
    <w:rsid w:val="034F0B7A"/>
    <w:rsid w:val="035D3297"/>
    <w:rsid w:val="036D4334"/>
    <w:rsid w:val="037F3816"/>
    <w:rsid w:val="03950B15"/>
    <w:rsid w:val="03AD7684"/>
    <w:rsid w:val="03B8546A"/>
    <w:rsid w:val="03D3089B"/>
    <w:rsid w:val="03E272F9"/>
    <w:rsid w:val="03EA7B21"/>
    <w:rsid w:val="03F139E0"/>
    <w:rsid w:val="04041965"/>
    <w:rsid w:val="04071455"/>
    <w:rsid w:val="041B4E07"/>
    <w:rsid w:val="041F6588"/>
    <w:rsid w:val="042500F2"/>
    <w:rsid w:val="043230D4"/>
    <w:rsid w:val="04754611"/>
    <w:rsid w:val="04763EE5"/>
    <w:rsid w:val="049E4A3D"/>
    <w:rsid w:val="04C9495C"/>
    <w:rsid w:val="04E26763"/>
    <w:rsid w:val="05283431"/>
    <w:rsid w:val="055F4D6E"/>
    <w:rsid w:val="05627D51"/>
    <w:rsid w:val="056439D2"/>
    <w:rsid w:val="056C683D"/>
    <w:rsid w:val="059C797B"/>
    <w:rsid w:val="05AA323A"/>
    <w:rsid w:val="05D07D2F"/>
    <w:rsid w:val="05D90BCF"/>
    <w:rsid w:val="05E36A34"/>
    <w:rsid w:val="05F83EAE"/>
    <w:rsid w:val="05FB0B46"/>
    <w:rsid w:val="062C700B"/>
    <w:rsid w:val="063A3C2B"/>
    <w:rsid w:val="063E7D85"/>
    <w:rsid w:val="0650001B"/>
    <w:rsid w:val="06654211"/>
    <w:rsid w:val="067A4EE3"/>
    <w:rsid w:val="068E6BE0"/>
    <w:rsid w:val="06D50788"/>
    <w:rsid w:val="07027CB2"/>
    <w:rsid w:val="070752C8"/>
    <w:rsid w:val="07293586"/>
    <w:rsid w:val="07295285"/>
    <w:rsid w:val="074E116B"/>
    <w:rsid w:val="074E723E"/>
    <w:rsid w:val="07636392"/>
    <w:rsid w:val="07770C56"/>
    <w:rsid w:val="078E45D7"/>
    <w:rsid w:val="07D008F2"/>
    <w:rsid w:val="07DE24CD"/>
    <w:rsid w:val="07E61381"/>
    <w:rsid w:val="07E8334B"/>
    <w:rsid w:val="08205BD3"/>
    <w:rsid w:val="084538E8"/>
    <w:rsid w:val="086724C2"/>
    <w:rsid w:val="08686958"/>
    <w:rsid w:val="086D77A9"/>
    <w:rsid w:val="08743303"/>
    <w:rsid w:val="08931509"/>
    <w:rsid w:val="08990AE0"/>
    <w:rsid w:val="089B6610"/>
    <w:rsid w:val="08A2671D"/>
    <w:rsid w:val="08AC3608"/>
    <w:rsid w:val="08B963B3"/>
    <w:rsid w:val="09097FD2"/>
    <w:rsid w:val="092217DD"/>
    <w:rsid w:val="0923288D"/>
    <w:rsid w:val="09304C99"/>
    <w:rsid w:val="093A7294"/>
    <w:rsid w:val="095073FA"/>
    <w:rsid w:val="09723220"/>
    <w:rsid w:val="097A6225"/>
    <w:rsid w:val="09970B1D"/>
    <w:rsid w:val="09A06CC1"/>
    <w:rsid w:val="09A91DF6"/>
    <w:rsid w:val="09AE23B4"/>
    <w:rsid w:val="09B41187"/>
    <w:rsid w:val="09B864FF"/>
    <w:rsid w:val="09D516AE"/>
    <w:rsid w:val="09ED4C49"/>
    <w:rsid w:val="09F31ED9"/>
    <w:rsid w:val="09F76F1D"/>
    <w:rsid w:val="0A1D5F98"/>
    <w:rsid w:val="0A1F7DCE"/>
    <w:rsid w:val="0A263993"/>
    <w:rsid w:val="0A2D3AC2"/>
    <w:rsid w:val="0A5B7E05"/>
    <w:rsid w:val="0A5D5C5F"/>
    <w:rsid w:val="0A730BBA"/>
    <w:rsid w:val="0A8F3F52"/>
    <w:rsid w:val="0A9D666F"/>
    <w:rsid w:val="0AA755DF"/>
    <w:rsid w:val="0AAF1754"/>
    <w:rsid w:val="0AB85257"/>
    <w:rsid w:val="0ACE737D"/>
    <w:rsid w:val="0ADE623C"/>
    <w:rsid w:val="0AEA1280"/>
    <w:rsid w:val="0AEC0016"/>
    <w:rsid w:val="0AEE5964"/>
    <w:rsid w:val="0B064214"/>
    <w:rsid w:val="0B0B182B"/>
    <w:rsid w:val="0B114967"/>
    <w:rsid w:val="0B120D44"/>
    <w:rsid w:val="0B2930AC"/>
    <w:rsid w:val="0B41524D"/>
    <w:rsid w:val="0B4824BC"/>
    <w:rsid w:val="0B5E6057"/>
    <w:rsid w:val="0B725406"/>
    <w:rsid w:val="0B7D2C3D"/>
    <w:rsid w:val="0BAE0408"/>
    <w:rsid w:val="0BD27BF6"/>
    <w:rsid w:val="0BFA364D"/>
    <w:rsid w:val="0C106A32"/>
    <w:rsid w:val="0C152A04"/>
    <w:rsid w:val="0C1C6402"/>
    <w:rsid w:val="0C1E4963"/>
    <w:rsid w:val="0C3B3C7D"/>
    <w:rsid w:val="0C406275"/>
    <w:rsid w:val="0C5372E8"/>
    <w:rsid w:val="0C670CE3"/>
    <w:rsid w:val="0C6D0C00"/>
    <w:rsid w:val="0C6F7B97"/>
    <w:rsid w:val="0C9910B8"/>
    <w:rsid w:val="0CAB2EAE"/>
    <w:rsid w:val="0CAD05B9"/>
    <w:rsid w:val="0CB07E2C"/>
    <w:rsid w:val="0CB47CA0"/>
    <w:rsid w:val="0CC872A8"/>
    <w:rsid w:val="0CCC26A6"/>
    <w:rsid w:val="0CCD48BE"/>
    <w:rsid w:val="0CDB6D0A"/>
    <w:rsid w:val="0CEF4822"/>
    <w:rsid w:val="0CF62067"/>
    <w:rsid w:val="0D1150F2"/>
    <w:rsid w:val="0D2A3ABE"/>
    <w:rsid w:val="0D3E799F"/>
    <w:rsid w:val="0D4728C2"/>
    <w:rsid w:val="0D5B5405"/>
    <w:rsid w:val="0D5D3E94"/>
    <w:rsid w:val="0D621C7D"/>
    <w:rsid w:val="0D8B2461"/>
    <w:rsid w:val="0D90229C"/>
    <w:rsid w:val="0D951880"/>
    <w:rsid w:val="0DAE649D"/>
    <w:rsid w:val="0DB13287"/>
    <w:rsid w:val="0DC12675"/>
    <w:rsid w:val="0DE22CAF"/>
    <w:rsid w:val="0E211365"/>
    <w:rsid w:val="0E297BB1"/>
    <w:rsid w:val="0E2D3DBE"/>
    <w:rsid w:val="0E3E5A73"/>
    <w:rsid w:val="0E4E740F"/>
    <w:rsid w:val="0E5E4047"/>
    <w:rsid w:val="0E73034D"/>
    <w:rsid w:val="0E7F174D"/>
    <w:rsid w:val="0E9475C7"/>
    <w:rsid w:val="0E9C09EC"/>
    <w:rsid w:val="0E9E0CA2"/>
    <w:rsid w:val="0EC75A69"/>
    <w:rsid w:val="0ECB69C5"/>
    <w:rsid w:val="0ED0142C"/>
    <w:rsid w:val="0EDA4D25"/>
    <w:rsid w:val="0F000E93"/>
    <w:rsid w:val="0F130A0E"/>
    <w:rsid w:val="0F135A35"/>
    <w:rsid w:val="0F13775A"/>
    <w:rsid w:val="0F403A6D"/>
    <w:rsid w:val="0F52686D"/>
    <w:rsid w:val="0F5B2655"/>
    <w:rsid w:val="0F5F45FE"/>
    <w:rsid w:val="0F601A19"/>
    <w:rsid w:val="0F6132F6"/>
    <w:rsid w:val="0F7F00F1"/>
    <w:rsid w:val="0F8A3D0E"/>
    <w:rsid w:val="0F9A112B"/>
    <w:rsid w:val="0FA80874"/>
    <w:rsid w:val="0FBB36E8"/>
    <w:rsid w:val="0FD06B9F"/>
    <w:rsid w:val="0FDC03BC"/>
    <w:rsid w:val="0FDC2728"/>
    <w:rsid w:val="0FDD2E69"/>
    <w:rsid w:val="10173730"/>
    <w:rsid w:val="10195CA5"/>
    <w:rsid w:val="10523173"/>
    <w:rsid w:val="106D2F64"/>
    <w:rsid w:val="107233E8"/>
    <w:rsid w:val="109755DC"/>
    <w:rsid w:val="109C0CFF"/>
    <w:rsid w:val="109D580C"/>
    <w:rsid w:val="10A6156E"/>
    <w:rsid w:val="10B63710"/>
    <w:rsid w:val="10B67795"/>
    <w:rsid w:val="10E00D64"/>
    <w:rsid w:val="10F10820"/>
    <w:rsid w:val="10FA5065"/>
    <w:rsid w:val="110A3DFB"/>
    <w:rsid w:val="111C1CF8"/>
    <w:rsid w:val="111C2F7A"/>
    <w:rsid w:val="11270A41"/>
    <w:rsid w:val="114977A3"/>
    <w:rsid w:val="11665CA1"/>
    <w:rsid w:val="1170063A"/>
    <w:rsid w:val="119D29D4"/>
    <w:rsid w:val="11B147AE"/>
    <w:rsid w:val="11C75D80"/>
    <w:rsid w:val="11DB1509"/>
    <w:rsid w:val="11E93EB4"/>
    <w:rsid w:val="12062D4C"/>
    <w:rsid w:val="12154D3D"/>
    <w:rsid w:val="1218738A"/>
    <w:rsid w:val="123560E6"/>
    <w:rsid w:val="12437AFC"/>
    <w:rsid w:val="12493617"/>
    <w:rsid w:val="124F4D87"/>
    <w:rsid w:val="125A5CE7"/>
    <w:rsid w:val="129E7204"/>
    <w:rsid w:val="12B32FBE"/>
    <w:rsid w:val="12E110C3"/>
    <w:rsid w:val="1307640C"/>
    <w:rsid w:val="13097E33"/>
    <w:rsid w:val="130F5C30"/>
    <w:rsid w:val="13122F09"/>
    <w:rsid w:val="13143247"/>
    <w:rsid w:val="1367781A"/>
    <w:rsid w:val="13812877"/>
    <w:rsid w:val="13916645"/>
    <w:rsid w:val="13931596"/>
    <w:rsid w:val="13951726"/>
    <w:rsid w:val="13AC347F"/>
    <w:rsid w:val="13B50586"/>
    <w:rsid w:val="13E7095B"/>
    <w:rsid w:val="13EA2254"/>
    <w:rsid w:val="13F120CF"/>
    <w:rsid w:val="13FF33B7"/>
    <w:rsid w:val="14294C53"/>
    <w:rsid w:val="142C4440"/>
    <w:rsid w:val="14382ADC"/>
    <w:rsid w:val="14396509"/>
    <w:rsid w:val="143F42F3"/>
    <w:rsid w:val="149044A4"/>
    <w:rsid w:val="149311DD"/>
    <w:rsid w:val="14A14FAE"/>
    <w:rsid w:val="14A97E9E"/>
    <w:rsid w:val="14CB0766"/>
    <w:rsid w:val="14D709D0"/>
    <w:rsid w:val="14DD2C3C"/>
    <w:rsid w:val="14ED452F"/>
    <w:rsid w:val="150422D9"/>
    <w:rsid w:val="15087B4C"/>
    <w:rsid w:val="151614F8"/>
    <w:rsid w:val="153100E0"/>
    <w:rsid w:val="154A2F50"/>
    <w:rsid w:val="155618F4"/>
    <w:rsid w:val="15666686"/>
    <w:rsid w:val="158619E3"/>
    <w:rsid w:val="159A5C6B"/>
    <w:rsid w:val="15A84CC8"/>
    <w:rsid w:val="15A97D82"/>
    <w:rsid w:val="15AA1C40"/>
    <w:rsid w:val="15BD1BCA"/>
    <w:rsid w:val="16087E1D"/>
    <w:rsid w:val="162030D5"/>
    <w:rsid w:val="16401B89"/>
    <w:rsid w:val="16462439"/>
    <w:rsid w:val="164664B7"/>
    <w:rsid w:val="164976AB"/>
    <w:rsid w:val="16775FC6"/>
    <w:rsid w:val="16884460"/>
    <w:rsid w:val="16A44B2E"/>
    <w:rsid w:val="16A903CD"/>
    <w:rsid w:val="16CB1E6E"/>
    <w:rsid w:val="16D323CF"/>
    <w:rsid w:val="16DF3B6C"/>
    <w:rsid w:val="17017F86"/>
    <w:rsid w:val="171A77D1"/>
    <w:rsid w:val="172D20E4"/>
    <w:rsid w:val="17395CA1"/>
    <w:rsid w:val="17437ACD"/>
    <w:rsid w:val="175240E1"/>
    <w:rsid w:val="17675381"/>
    <w:rsid w:val="176946F7"/>
    <w:rsid w:val="17701D14"/>
    <w:rsid w:val="17735226"/>
    <w:rsid w:val="179075FD"/>
    <w:rsid w:val="17A70B2D"/>
    <w:rsid w:val="17B65684"/>
    <w:rsid w:val="17D022BB"/>
    <w:rsid w:val="17E86A50"/>
    <w:rsid w:val="17EC02EE"/>
    <w:rsid w:val="17FC3FB9"/>
    <w:rsid w:val="17FD3A51"/>
    <w:rsid w:val="180A2E6A"/>
    <w:rsid w:val="181A2116"/>
    <w:rsid w:val="181D20C5"/>
    <w:rsid w:val="18334FF9"/>
    <w:rsid w:val="183771C0"/>
    <w:rsid w:val="18610CDC"/>
    <w:rsid w:val="1868492E"/>
    <w:rsid w:val="18724E0B"/>
    <w:rsid w:val="18860743"/>
    <w:rsid w:val="18884B74"/>
    <w:rsid w:val="189F624C"/>
    <w:rsid w:val="18AD5046"/>
    <w:rsid w:val="18E94E6B"/>
    <w:rsid w:val="18EE5FC2"/>
    <w:rsid w:val="18F54CC8"/>
    <w:rsid w:val="1912263B"/>
    <w:rsid w:val="19222D40"/>
    <w:rsid w:val="192F2A82"/>
    <w:rsid w:val="1943320A"/>
    <w:rsid w:val="1963014B"/>
    <w:rsid w:val="19923117"/>
    <w:rsid w:val="19953677"/>
    <w:rsid w:val="1996351B"/>
    <w:rsid w:val="19BB0E06"/>
    <w:rsid w:val="19BF6413"/>
    <w:rsid w:val="19C72DC1"/>
    <w:rsid w:val="19EE47F1"/>
    <w:rsid w:val="19FF247C"/>
    <w:rsid w:val="1A023DF9"/>
    <w:rsid w:val="1A1B7FF8"/>
    <w:rsid w:val="1A1C66C0"/>
    <w:rsid w:val="1A274E8C"/>
    <w:rsid w:val="1A3908A8"/>
    <w:rsid w:val="1A4047B3"/>
    <w:rsid w:val="1A42393B"/>
    <w:rsid w:val="1A472952"/>
    <w:rsid w:val="1A4F55F9"/>
    <w:rsid w:val="1A6B20EE"/>
    <w:rsid w:val="1A6F3681"/>
    <w:rsid w:val="1A732F49"/>
    <w:rsid w:val="1A7867B1"/>
    <w:rsid w:val="1A872550"/>
    <w:rsid w:val="1A924173"/>
    <w:rsid w:val="1A9F5AEC"/>
    <w:rsid w:val="1AAD45DE"/>
    <w:rsid w:val="1AAF2000"/>
    <w:rsid w:val="1AE3334B"/>
    <w:rsid w:val="1B0146D0"/>
    <w:rsid w:val="1B046F80"/>
    <w:rsid w:val="1B3059FE"/>
    <w:rsid w:val="1B3267B5"/>
    <w:rsid w:val="1B3C729B"/>
    <w:rsid w:val="1B40161D"/>
    <w:rsid w:val="1B410951"/>
    <w:rsid w:val="1B4205C7"/>
    <w:rsid w:val="1B441859"/>
    <w:rsid w:val="1B4C2CD0"/>
    <w:rsid w:val="1B5B57CB"/>
    <w:rsid w:val="1B6606B1"/>
    <w:rsid w:val="1B76726A"/>
    <w:rsid w:val="1B787A2E"/>
    <w:rsid w:val="1B8912BC"/>
    <w:rsid w:val="1B993993"/>
    <w:rsid w:val="1B9E2247"/>
    <w:rsid w:val="1BA47D8A"/>
    <w:rsid w:val="1BCB45CC"/>
    <w:rsid w:val="1BCC4C5E"/>
    <w:rsid w:val="1BD21EF1"/>
    <w:rsid w:val="1BD2365C"/>
    <w:rsid w:val="1BE15B5D"/>
    <w:rsid w:val="1BF956CF"/>
    <w:rsid w:val="1C1461AC"/>
    <w:rsid w:val="1C1D60A7"/>
    <w:rsid w:val="1C250273"/>
    <w:rsid w:val="1C27223D"/>
    <w:rsid w:val="1C281B11"/>
    <w:rsid w:val="1C4A7CD9"/>
    <w:rsid w:val="1C5E7925"/>
    <w:rsid w:val="1C746B04"/>
    <w:rsid w:val="1C7879D5"/>
    <w:rsid w:val="1C8D76F3"/>
    <w:rsid w:val="1C8E5869"/>
    <w:rsid w:val="1CA53641"/>
    <w:rsid w:val="1CA97F07"/>
    <w:rsid w:val="1CB74E16"/>
    <w:rsid w:val="1CBC4E85"/>
    <w:rsid w:val="1CC636AD"/>
    <w:rsid w:val="1CC708DC"/>
    <w:rsid w:val="1CCD29FA"/>
    <w:rsid w:val="1CCE0005"/>
    <w:rsid w:val="1CE9533F"/>
    <w:rsid w:val="1CFD070F"/>
    <w:rsid w:val="1D061502"/>
    <w:rsid w:val="1D0E6F59"/>
    <w:rsid w:val="1D1D719C"/>
    <w:rsid w:val="1D1F1166"/>
    <w:rsid w:val="1D281406"/>
    <w:rsid w:val="1D434E54"/>
    <w:rsid w:val="1D5F6196"/>
    <w:rsid w:val="1D6132A5"/>
    <w:rsid w:val="1D6628F1"/>
    <w:rsid w:val="1D8E56D5"/>
    <w:rsid w:val="1DAE5E7E"/>
    <w:rsid w:val="1DF82708"/>
    <w:rsid w:val="1DFB1EE3"/>
    <w:rsid w:val="1E1467F1"/>
    <w:rsid w:val="1E4F7829"/>
    <w:rsid w:val="1E501177"/>
    <w:rsid w:val="1E573C73"/>
    <w:rsid w:val="1E7461DD"/>
    <w:rsid w:val="1E7A43DA"/>
    <w:rsid w:val="1E897E41"/>
    <w:rsid w:val="1E951AA0"/>
    <w:rsid w:val="1E9D0594"/>
    <w:rsid w:val="1E9E02F4"/>
    <w:rsid w:val="1EA01E32"/>
    <w:rsid w:val="1F053CF4"/>
    <w:rsid w:val="1F0D4466"/>
    <w:rsid w:val="1F334CEE"/>
    <w:rsid w:val="1F502B79"/>
    <w:rsid w:val="1F5942E3"/>
    <w:rsid w:val="1F7927CF"/>
    <w:rsid w:val="1F805949"/>
    <w:rsid w:val="1F841754"/>
    <w:rsid w:val="1FA801E0"/>
    <w:rsid w:val="1FB137BC"/>
    <w:rsid w:val="1FB97650"/>
    <w:rsid w:val="1FC55FF4"/>
    <w:rsid w:val="1FC8473F"/>
    <w:rsid w:val="1FDE4E0F"/>
    <w:rsid w:val="1FE7539E"/>
    <w:rsid w:val="1FEA1B2A"/>
    <w:rsid w:val="1FEA659C"/>
    <w:rsid w:val="20030255"/>
    <w:rsid w:val="20087C8F"/>
    <w:rsid w:val="20146634"/>
    <w:rsid w:val="202D5948"/>
    <w:rsid w:val="2037665B"/>
    <w:rsid w:val="204131A1"/>
    <w:rsid w:val="20671BE0"/>
    <w:rsid w:val="206B52B2"/>
    <w:rsid w:val="206D7342"/>
    <w:rsid w:val="20743577"/>
    <w:rsid w:val="207545BF"/>
    <w:rsid w:val="20963CB8"/>
    <w:rsid w:val="20997459"/>
    <w:rsid w:val="20A81A1B"/>
    <w:rsid w:val="20A83220"/>
    <w:rsid w:val="20B07FB6"/>
    <w:rsid w:val="20B646FB"/>
    <w:rsid w:val="20CF7BED"/>
    <w:rsid w:val="20DA2DB5"/>
    <w:rsid w:val="20EF0E4F"/>
    <w:rsid w:val="20F021EA"/>
    <w:rsid w:val="21007FCB"/>
    <w:rsid w:val="212A1E87"/>
    <w:rsid w:val="212D74D2"/>
    <w:rsid w:val="21374CD0"/>
    <w:rsid w:val="213B74B1"/>
    <w:rsid w:val="21577648"/>
    <w:rsid w:val="215A2310"/>
    <w:rsid w:val="216830DB"/>
    <w:rsid w:val="21696E53"/>
    <w:rsid w:val="219843C9"/>
    <w:rsid w:val="21BD5459"/>
    <w:rsid w:val="21DE318A"/>
    <w:rsid w:val="21E14C3C"/>
    <w:rsid w:val="21ED1832"/>
    <w:rsid w:val="21EF5B80"/>
    <w:rsid w:val="2216544B"/>
    <w:rsid w:val="221B003E"/>
    <w:rsid w:val="223B7AD6"/>
    <w:rsid w:val="224403D4"/>
    <w:rsid w:val="22576990"/>
    <w:rsid w:val="225C1C80"/>
    <w:rsid w:val="2265580C"/>
    <w:rsid w:val="227C2F3E"/>
    <w:rsid w:val="229E507D"/>
    <w:rsid w:val="22A30143"/>
    <w:rsid w:val="22A5210D"/>
    <w:rsid w:val="22A53FD5"/>
    <w:rsid w:val="22C17957"/>
    <w:rsid w:val="22F47480"/>
    <w:rsid w:val="22F83AA2"/>
    <w:rsid w:val="23176A1F"/>
    <w:rsid w:val="23645B24"/>
    <w:rsid w:val="23706277"/>
    <w:rsid w:val="23957A8C"/>
    <w:rsid w:val="23B720F8"/>
    <w:rsid w:val="23D26F32"/>
    <w:rsid w:val="23DE1C48"/>
    <w:rsid w:val="24003A9F"/>
    <w:rsid w:val="240210CD"/>
    <w:rsid w:val="24066BDB"/>
    <w:rsid w:val="2419216E"/>
    <w:rsid w:val="24491152"/>
    <w:rsid w:val="2454396E"/>
    <w:rsid w:val="24591B8E"/>
    <w:rsid w:val="245A38EA"/>
    <w:rsid w:val="24840143"/>
    <w:rsid w:val="24854856"/>
    <w:rsid w:val="24B50383"/>
    <w:rsid w:val="24BF09F7"/>
    <w:rsid w:val="250D49FE"/>
    <w:rsid w:val="25186BC6"/>
    <w:rsid w:val="251B66B7"/>
    <w:rsid w:val="252D53FE"/>
    <w:rsid w:val="25341A0A"/>
    <w:rsid w:val="25382DC5"/>
    <w:rsid w:val="253D487F"/>
    <w:rsid w:val="25480F3F"/>
    <w:rsid w:val="254E25E8"/>
    <w:rsid w:val="25504D90"/>
    <w:rsid w:val="25695674"/>
    <w:rsid w:val="257F27A2"/>
    <w:rsid w:val="258C23D0"/>
    <w:rsid w:val="25B04809"/>
    <w:rsid w:val="25B71670"/>
    <w:rsid w:val="25EC2D81"/>
    <w:rsid w:val="25F34F3E"/>
    <w:rsid w:val="25FE26B3"/>
    <w:rsid w:val="261A071C"/>
    <w:rsid w:val="261D548C"/>
    <w:rsid w:val="264F6561"/>
    <w:rsid w:val="265224C7"/>
    <w:rsid w:val="26656DEF"/>
    <w:rsid w:val="26914E82"/>
    <w:rsid w:val="2692022C"/>
    <w:rsid w:val="26931839"/>
    <w:rsid w:val="26BC332C"/>
    <w:rsid w:val="26CB52ED"/>
    <w:rsid w:val="26DC45B9"/>
    <w:rsid w:val="26DD05A4"/>
    <w:rsid w:val="26F3643F"/>
    <w:rsid w:val="26F401FA"/>
    <w:rsid w:val="270A267F"/>
    <w:rsid w:val="27100E33"/>
    <w:rsid w:val="277057A2"/>
    <w:rsid w:val="278C73F8"/>
    <w:rsid w:val="27AB215B"/>
    <w:rsid w:val="27AC15FA"/>
    <w:rsid w:val="280B656E"/>
    <w:rsid w:val="28195EE2"/>
    <w:rsid w:val="282B4FF9"/>
    <w:rsid w:val="2838482E"/>
    <w:rsid w:val="283A32F8"/>
    <w:rsid w:val="285507C5"/>
    <w:rsid w:val="285A19E3"/>
    <w:rsid w:val="28640A1C"/>
    <w:rsid w:val="286B56A9"/>
    <w:rsid w:val="2874680A"/>
    <w:rsid w:val="288B2A44"/>
    <w:rsid w:val="288D0AD8"/>
    <w:rsid w:val="28A013AD"/>
    <w:rsid w:val="28AA645A"/>
    <w:rsid w:val="28AD5878"/>
    <w:rsid w:val="28B906C0"/>
    <w:rsid w:val="28BE7A85"/>
    <w:rsid w:val="28C11F57"/>
    <w:rsid w:val="28E05C4D"/>
    <w:rsid w:val="28FC05AD"/>
    <w:rsid w:val="29030993"/>
    <w:rsid w:val="29046169"/>
    <w:rsid w:val="290D7264"/>
    <w:rsid w:val="29206EB8"/>
    <w:rsid w:val="2927387C"/>
    <w:rsid w:val="294457E3"/>
    <w:rsid w:val="294D0764"/>
    <w:rsid w:val="29595666"/>
    <w:rsid w:val="297B7724"/>
    <w:rsid w:val="29824F56"/>
    <w:rsid w:val="29874881"/>
    <w:rsid w:val="299949BA"/>
    <w:rsid w:val="299E7401"/>
    <w:rsid w:val="299F1BE7"/>
    <w:rsid w:val="29AB2164"/>
    <w:rsid w:val="29B55DCA"/>
    <w:rsid w:val="29C65134"/>
    <w:rsid w:val="29E325E0"/>
    <w:rsid w:val="29EE6148"/>
    <w:rsid w:val="29FA3201"/>
    <w:rsid w:val="2A1060BE"/>
    <w:rsid w:val="2A452503"/>
    <w:rsid w:val="2A544E3B"/>
    <w:rsid w:val="2A6C653F"/>
    <w:rsid w:val="2A870E0B"/>
    <w:rsid w:val="2A91303E"/>
    <w:rsid w:val="2ACB21DF"/>
    <w:rsid w:val="2ADA0352"/>
    <w:rsid w:val="2B117E06"/>
    <w:rsid w:val="2B1E5CB3"/>
    <w:rsid w:val="2B312862"/>
    <w:rsid w:val="2B367CA0"/>
    <w:rsid w:val="2B3E4EAD"/>
    <w:rsid w:val="2B595843"/>
    <w:rsid w:val="2B6974E6"/>
    <w:rsid w:val="2B780C7E"/>
    <w:rsid w:val="2B7D08BC"/>
    <w:rsid w:val="2B9250EC"/>
    <w:rsid w:val="2BA936A8"/>
    <w:rsid w:val="2BBD04C8"/>
    <w:rsid w:val="2BCB46B9"/>
    <w:rsid w:val="2BDF0FF1"/>
    <w:rsid w:val="2C0D23B6"/>
    <w:rsid w:val="2C315A5A"/>
    <w:rsid w:val="2C4402A1"/>
    <w:rsid w:val="2C4B1C25"/>
    <w:rsid w:val="2C76157C"/>
    <w:rsid w:val="2C9B7ED5"/>
    <w:rsid w:val="2C9E6272"/>
    <w:rsid w:val="2C9F5E1F"/>
    <w:rsid w:val="2CA25CA3"/>
    <w:rsid w:val="2CA75156"/>
    <w:rsid w:val="2CD37914"/>
    <w:rsid w:val="2CE33F5E"/>
    <w:rsid w:val="2CE61358"/>
    <w:rsid w:val="2D12089C"/>
    <w:rsid w:val="2D311ABC"/>
    <w:rsid w:val="2D632D02"/>
    <w:rsid w:val="2D635F72"/>
    <w:rsid w:val="2D9B0C9F"/>
    <w:rsid w:val="2D9E56F5"/>
    <w:rsid w:val="2DA10637"/>
    <w:rsid w:val="2DA76AAC"/>
    <w:rsid w:val="2DB939BB"/>
    <w:rsid w:val="2DBE000D"/>
    <w:rsid w:val="2DF83A39"/>
    <w:rsid w:val="2E276865"/>
    <w:rsid w:val="2E487A19"/>
    <w:rsid w:val="2E667F96"/>
    <w:rsid w:val="2E770112"/>
    <w:rsid w:val="2E813A2E"/>
    <w:rsid w:val="2E8226AB"/>
    <w:rsid w:val="2E8B0409"/>
    <w:rsid w:val="2EAF37BB"/>
    <w:rsid w:val="2EC05537"/>
    <w:rsid w:val="2ED87DE1"/>
    <w:rsid w:val="2EDD678B"/>
    <w:rsid w:val="2EF04710"/>
    <w:rsid w:val="2EFB41BF"/>
    <w:rsid w:val="2EFF6701"/>
    <w:rsid w:val="2F320995"/>
    <w:rsid w:val="2F4800A8"/>
    <w:rsid w:val="2F5D6240"/>
    <w:rsid w:val="2F822456"/>
    <w:rsid w:val="2F901AB8"/>
    <w:rsid w:val="2F9B0B20"/>
    <w:rsid w:val="2F9F50DC"/>
    <w:rsid w:val="2FA43472"/>
    <w:rsid w:val="2FB9033C"/>
    <w:rsid w:val="2FBC2844"/>
    <w:rsid w:val="2FC71915"/>
    <w:rsid w:val="2FD065E6"/>
    <w:rsid w:val="2FD96870"/>
    <w:rsid w:val="30037365"/>
    <w:rsid w:val="30161F54"/>
    <w:rsid w:val="302428C3"/>
    <w:rsid w:val="30424851"/>
    <w:rsid w:val="30451BBC"/>
    <w:rsid w:val="304C67C6"/>
    <w:rsid w:val="30526A6B"/>
    <w:rsid w:val="30580BC9"/>
    <w:rsid w:val="3069415C"/>
    <w:rsid w:val="306D27C7"/>
    <w:rsid w:val="307764BA"/>
    <w:rsid w:val="309D4424"/>
    <w:rsid w:val="309F1C17"/>
    <w:rsid w:val="30AD6667"/>
    <w:rsid w:val="30BD5A5B"/>
    <w:rsid w:val="30C65728"/>
    <w:rsid w:val="30CF15BF"/>
    <w:rsid w:val="30D53BBD"/>
    <w:rsid w:val="30DE09A0"/>
    <w:rsid w:val="30F83C8F"/>
    <w:rsid w:val="30F92970"/>
    <w:rsid w:val="3106021B"/>
    <w:rsid w:val="311E2ED7"/>
    <w:rsid w:val="31304E28"/>
    <w:rsid w:val="31496359"/>
    <w:rsid w:val="3155560E"/>
    <w:rsid w:val="315619EE"/>
    <w:rsid w:val="315C449C"/>
    <w:rsid w:val="316F4478"/>
    <w:rsid w:val="31813D45"/>
    <w:rsid w:val="31860EE9"/>
    <w:rsid w:val="3186135C"/>
    <w:rsid w:val="31885988"/>
    <w:rsid w:val="319108A7"/>
    <w:rsid w:val="31B82709"/>
    <w:rsid w:val="31D05482"/>
    <w:rsid w:val="31D10829"/>
    <w:rsid w:val="31E5120A"/>
    <w:rsid w:val="31EB1D38"/>
    <w:rsid w:val="31EC5542"/>
    <w:rsid w:val="320A7897"/>
    <w:rsid w:val="32197378"/>
    <w:rsid w:val="322C1F03"/>
    <w:rsid w:val="3233357D"/>
    <w:rsid w:val="323A2CC6"/>
    <w:rsid w:val="32400B34"/>
    <w:rsid w:val="32456B21"/>
    <w:rsid w:val="324E03D4"/>
    <w:rsid w:val="326722BD"/>
    <w:rsid w:val="329655CE"/>
    <w:rsid w:val="329E6876"/>
    <w:rsid w:val="32A93554"/>
    <w:rsid w:val="32AC3044"/>
    <w:rsid w:val="32B9045F"/>
    <w:rsid w:val="32C043F9"/>
    <w:rsid w:val="32F01183"/>
    <w:rsid w:val="3311371E"/>
    <w:rsid w:val="333015F2"/>
    <w:rsid w:val="334B6320"/>
    <w:rsid w:val="334E68C0"/>
    <w:rsid w:val="33572FB0"/>
    <w:rsid w:val="33723946"/>
    <w:rsid w:val="33813D35"/>
    <w:rsid w:val="338A5133"/>
    <w:rsid w:val="338F56F3"/>
    <w:rsid w:val="33D26ADA"/>
    <w:rsid w:val="33D934D4"/>
    <w:rsid w:val="33ED56C2"/>
    <w:rsid w:val="33F95E15"/>
    <w:rsid w:val="33FE2F6A"/>
    <w:rsid w:val="340E07E5"/>
    <w:rsid w:val="341B1AAB"/>
    <w:rsid w:val="34235BF7"/>
    <w:rsid w:val="3431306B"/>
    <w:rsid w:val="34563E84"/>
    <w:rsid w:val="34967E3C"/>
    <w:rsid w:val="349B3370"/>
    <w:rsid w:val="34BA57F5"/>
    <w:rsid w:val="34C74165"/>
    <w:rsid w:val="34E27123"/>
    <w:rsid w:val="34E56399"/>
    <w:rsid w:val="34EC65B9"/>
    <w:rsid w:val="353F4B20"/>
    <w:rsid w:val="35434919"/>
    <w:rsid w:val="357276A3"/>
    <w:rsid w:val="35753BC1"/>
    <w:rsid w:val="358C5FA8"/>
    <w:rsid w:val="35A52E1A"/>
    <w:rsid w:val="35A96A55"/>
    <w:rsid w:val="35AD087B"/>
    <w:rsid w:val="35C15DF1"/>
    <w:rsid w:val="35C331CE"/>
    <w:rsid w:val="36074A7F"/>
    <w:rsid w:val="36100339"/>
    <w:rsid w:val="361C403D"/>
    <w:rsid w:val="362F4ADC"/>
    <w:rsid w:val="364E5A31"/>
    <w:rsid w:val="36526F88"/>
    <w:rsid w:val="36610694"/>
    <w:rsid w:val="36923549"/>
    <w:rsid w:val="36B75FBF"/>
    <w:rsid w:val="36BD0C45"/>
    <w:rsid w:val="36BF424D"/>
    <w:rsid w:val="36FC1AF8"/>
    <w:rsid w:val="371A67CE"/>
    <w:rsid w:val="372E04CB"/>
    <w:rsid w:val="37335523"/>
    <w:rsid w:val="374C2700"/>
    <w:rsid w:val="377C674A"/>
    <w:rsid w:val="37942267"/>
    <w:rsid w:val="37BF2ED1"/>
    <w:rsid w:val="37E00298"/>
    <w:rsid w:val="37EC2A71"/>
    <w:rsid w:val="37F323CA"/>
    <w:rsid w:val="383276D1"/>
    <w:rsid w:val="387074E6"/>
    <w:rsid w:val="388F6A33"/>
    <w:rsid w:val="38927B5B"/>
    <w:rsid w:val="38A147D3"/>
    <w:rsid w:val="38A50319"/>
    <w:rsid w:val="38B302F9"/>
    <w:rsid w:val="38CF0E06"/>
    <w:rsid w:val="38DB3D3B"/>
    <w:rsid w:val="38E2156D"/>
    <w:rsid w:val="38E30E07"/>
    <w:rsid w:val="38E6379C"/>
    <w:rsid w:val="38F12CD3"/>
    <w:rsid w:val="38F92413"/>
    <w:rsid w:val="38F94775"/>
    <w:rsid w:val="39025AD6"/>
    <w:rsid w:val="392971ED"/>
    <w:rsid w:val="39325651"/>
    <w:rsid w:val="3949339B"/>
    <w:rsid w:val="39495149"/>
    <w:rsid w:val="394B53CF"/>
    <w:rsid w:val="396C3072"/>
    <w:rsid w:val="398443D3"/>
    <w:rsid w:val="39902D77"/>
    <w:rsid w:val="39903869"/>
    <w:rsid w:val="39B32A28"/>
    <w:rsid w:val="39C41618"/>
    <w:rsid w:val="39DA3F44"/>
    <w:rsid w:val="39E91191"/>
    <w:rsid w:val="3A0B2CF9"/>
    <w:rsid w:val="3A173499"/>
    <w:rsid w:val="3A1E0383"/>
    <w:rsid w:val="3A5E7CBC"/>
    <w:rsid w:val="3A69196C"/>
    <w:rsid w:val="3A863748"/>
    <w:rsid w:val="3A872856"/>
    <w:rsid w:val="3A972DD2"/>
    <w:rsid w:val="3AA54601"/>
    <w:rsid w:val="3ABF5C61"/>
    <w:rsid w:val="3ACF7098"/>
    <w:rsid w:val="3ADE2FAA"/>
    <w:rsid w:val="3AE55345"/>
    <w:rsid w:val="3AEA4709"/>
    <w:rsid w:val="3B0C0B24"/>
    <w:rsid w:val="3B253993"/>
    <w:rsid w:val="3B2767FC"/>
    <w:rsid w:val="3B3763D1"/>
    <w:rsid w:val="3B3B4F65"/>
    <w:rsid w:val="3B473D94"/>
    <w:rsid w:val="3B63409B"/>
    <w:rsid w:val="3B6B37DA"/>
    <w:rsid w:val="3B6D132B"/>
    <w:rsid w:val="3B732261"/>
    <w:rsid w:val="3B741A56"/>
    <w:rsid w:val="3B85018E"/>
    <w:rsid w:val="3B8B3748"/>
    <w:rsid w:val="3BC7317B"/>
    <w:rsid w:val="3BD038FF"/>
    <w:rsid w:val="3BD6396C"/>
    <w:rsid w:val="3BED44B1"/>
    <w:rsid w:val="3BF350F4"/>
    <w:rsid w:val="3BFD0102"/>
    <w:rsid w:val="3C0D06AF"/>
    <w:rsid w:val="3C2F6E1E"/>
    <w:rsid w:val="3C326368"/>
    <w:rsid w:val="3C371BD0"/>
    <w:rsid w:val="3C4F64BA"/>
    <w:rsid w:val="3C5A24B7"/>
    <w:rsid w:val="3C6B1A78"/>
    <w:rsid w:val="3C6B3628"/>
    <w:rsid w:val="3C786EC3"/>
    <w:rsid w:val="3C804C2E"/>
    <w:rsid w:val="3C9E7EBE"/>
    <w:rsid w:val="3CBA0813"/>
    <w:rsid w:val="3CBB0907"/>
    <w:rsid w:val="3CC75E4F"/>
    <w:rsid w:val="3CD63197"/>
    <w:rsid w:val="3CDA245A"/>
    <w:rsid w:val="3CE139AC"/>
    <w:rsid w:val="3CE93461"/>
    <w:rsid w:val="3D0C2143"/>
    <w:rsid w:val="3D103344"/>
    <w:rsid w:val="3D193084"/>
    <w:rsid w:val="3D1B504E"/>
    <w:rsid w:val="3D1E06B7"/>
    <w:rsid w:val="3D4D2D2E"/>
    <w:rsid w:val="3D5373E0"/>
    <w:rsid w:val="3D930A30"/>
    <w:rsid w:val="3DBF3C2B"/>
    <w:rsid w:val="3DDB2F06"/>
    <w:rsid w:val="3DE206D0"/>
    <w:rsid w:val="3DF31B27"/>
    <w:rsid w:val="3DFF49A8"/>
    <w:rsid w:val="3E111FAD"/>
    <w:rsid w:val="3E350391"/>
    <w:rsid w:val="3E4D15B0"/>
    <w:rsid w:val="3E5E3444"/>
    <w:rsid w:val="3E5F3BF8"/>
    <w:rsid w:val="3E6B5B61"/>
    <w:rsid w:val="3E7C3164"/>
    <w:rsid w:val="3E90168C"/>
    <w:rsid w:val="3E920094"/>
    <w:rsid w:val="3EDA0523"/>
    <w:rsid w:val="3EEA117C"/>
    <w:rsid w:val="3F1B4E33"/>
    <w:rsid w:val="3F2A148C"/>
    <w:rsid w:val="3F366C36"/>
    <w:rsid w:val="3F391F17"/>
    <w:rsid w:val="3F3A2A51"/>
    <w:rsid w:val="3F3C12AC"/>
    <w:rsid w:val="3F4D1DA7"/>
    <w:rsid w:val="3F6C0686"/>
    <w:rsid w:val="3F6C7EC6"/>
    <w:rsid w:val="3F6F25EF"/>
    <w:rsid w:val="3F840B09"/>
    <w:rsid w:val="3F9E2A4D"/>
    <w:rsid w:val="3FB80C5D"/>
    <w:rsid w:val="3FCE1A84"/>
    <w:rsid w:val="3FDF05B5"/>
    <w:rsid w:val="3FED0F2A"/>
    <w:rsid w:val="40034533"/>
    <w:rsid w:val="40086724"/>
    <w:rsid w:val="40093884"/>
    <w:rsid w:val="400B2868"/>
    <w:rsid w:val="40295CD4"/>
    <w:rsid w:val="405F34A4"/>
    <w:rsid w:val="40623AEA"/>
    <w:rsid w:val="40630593"/>
    <w:rsid w:val="406B3BF6"/>
    <w:rsid w:val="407A6407"/>
    <w:rsid w:val="40BC1CAC"/>
    <w:rsid w:val="40CA7B2F"/>
    <w:rsid w:val="40EE76A4"/>
    <w:rsid w:val="40EF2A79"/>
    <w:rsid w:val="41045AF3"/>
    <w:rsid w:val="4110479E"/>
    <w:rsid w:val="411918A4"/>
    <w:rsid w:val="413E7B51"/>
    <w:rsid w:val="41577F58"/>
    <w:rsid w:val="415C52D1"/>
    <w:rsid w:val="416A0352"/>
    <w:rsid w:val="417A278B"/>
    <w:rsid w:val="418F5D0F"/>
    <w:rsid w:val="41B63597"/>
    <w:rsid w:val="41C94B7F"/>
    <w:rsid w:val="41D81490"/>
    <w:rsid w:val="41E376E1"/>
    <w:rsid w:val="41FF6288"/>
    <w:rsid w:val="4200449D"/>
    <w:rsid w:val="4205007B"/>
    <w:rsid w:val="42170990"/>
    <w:rsid w:val="42266404"/>
    <w:rsid w:val="42353226"/>
    <w:rsid w:val="42380450"/>
    <w:rsid w:val="423A3BCC"/>
    <w:rsid w:val="424E57D2"/>
    <w:rsid w:val="42784CF1"/>
    <w:rsid w:val="42892A5A"/>
    <w:rsid w:val="428D254A"/>
    <w:rsid w:val="42937D85"/>
    <w:rsid w:val="429C14DB"/>
    <w:rsid w:val="42AC04F6"/>
    <w:rsid w:val="42B26C49"/>
    <w:rsid w:val="42F55E4F"/>
    <w:rsid w:val="42F8373B"/>
    <w:rsid w:val="430345BA"/>
    <w:rsid w:val="43095100"/>
    <w:rsid w:val="432A382B"/>
    <w:rsid w:val="432F3601"/>
    <w:rsid w:val="433A6FE6"/>
    <w:rsid w:val="43432C09"/>
    <w:rsid w:val="43480868"/>
    <w:rsid w:val="4350713C"/>
    <w:rsid w:val="436653E0"/>
    <w:rsid w:val="43671FE0"/>
    <w:rsid w:val="436F1C50"/>
    <w:rsid w:val="438C2802"/>
    <w:rsid w:val="43C4431A"/>
    <w:rsid w:val="43CB374F"/>
    <w:rsid w:val="43D210A9"/>
    <w:rsid w:val="43E91A02"/>
    <w:rsid w:val="440C55CC"/>
    <w:rsid w:val="443639BB"/>
    <w:rsid w:val="444035EC"/>
    <w:rsid w:val="44492AC9"/>
    <w:rsid w:val="445E5CB0"/>
    <w:rsid w:val="44610641"/>
    <w:rsid w:val="447353BD"/>
    <w:rsid w:val="44811E49"/>
    <w:rsid w:val="448B4217"/>
    <w:rsid w:val="44935825"/>
    <w:rsid w:val="449F6565"/>
    <w:rsid w:val="44A616A1"/>
    <w:rsid w:val="44B951CC"/>
    <w:rsid w:val="44C32D1F"/>
    <w:rsid w:val="44C37EA1"/>
    <w:rsid w:val="44CD14E0"/>
    <w:rsid w:val="44D97CC8"/>
    <w:rsid w:val="44DE708D"/>
    <w:rsid w:val="44F20B0B"/>
    <w:rsid w:val="450B1E4C"/>
    <w:rsid w:val="452151CC"/>
    <w:rsid w:val="452E5F4C"/>
    <w:rsid w:val="453523FD"/>
    <w:rsid w:val="4540264A"/>
    <w:rsid w:val="455A248C"/>
    <w:rsid w:val="45612018"/>
    <w:rsid w:val="45701CAF"/>
    <w:rsid w:val="45790035"/>
    <w:rsid w:val="457D462B"/>
    <w:rsid w:val="45885EA9"/>
    <w:rsid w:val="458946E9"/>
    <w:rsid w:val="459070D4"/>
    <w:rsid w:val="459736E0"/>
    <w:rsid w:val="45973D1D"/>
    <w:rsid w:val="45A47C0E"/>
    <w:rsid w:val="45FA2909"/>
    <w:rsid w:val="46146ADE"/>
    <w:rsid w:val="46226F8A"/>
    <w:rsid w:val="46380A1F"/>
    <w:rsid w:val="46420213"/>
    <w:rsid w:val="464A2500"/>
    <w:rsid w:val="465655A4"/>
    <w:rsid w:val="46577FD6"/>
    <w:rsid w:val="46731A57"/>
    <w:rsid w:val="469639C3"/>
    <w:rsid w:val="46B053A1"/>
    <w:rsid w:val="46B06807"/>
    <w:rsid w:val="46BC7362"/>
    <w:rsid w:val="46D955A7"/>
    <w:rsid w:val="46DC3AA0"/>
    <w:rsid w:val="47133957"/>
    <w:rsid w:val="4723347D"/>
    <w:rsid w:val="47236A32"/>
    <w:rsid w:val="47401E7A"/>
    <w:rsid w:val="474C38CF"/>
    <w:rsid w:val="47573126"/>
    <w:rsid w:val="478362F0"/>
    <w:rsid w:val="4794108C"/>
    <w:rsid w:val="47A0687C"/>
    <w:rsid w:val="47A07E0C"/>
    <w:rsid w:val="47AA612A"/>
    <w:rsid w:val="47AB5150"/>
    <w:rsid w:val="47B265AF"/>
    <w:rsid w:val="47BF6F89"/>
    <w:rsid w:val="480062AA"/>
    <w:rsid w:val="48307997"/>
    <w:rsid w:val="48382F58"/>
    <w:rsid w:val="483A5DB3"/>
    <w:rsid w:val="48631243"/>
    <w:rsid w:val="4870272E"/>
    <w:rsid w:val="488E6683"/>
    <w:rsid w:val="48B76BC7"/>
    <w:rsid w:val="48C36F0E"/>
    <w:rsid w:val="48CE1A9E"/>
    <w:rsid w:val="48DF2604"/>
    <w:rsid w:val="48F0738F"/>
    <w:rsid w:val="4904108C"/>
    <w:rsid w:val="490E1F0B"/>
    <w:rsid w:val="49180694"/>
    <w:rsid w:val="493C188A"/>
    <w:rsid w:val="49505EAD"/>
    <w:rsid w:val="49695393"/>
    <w:rsid w:val="49763189"/>
    <w:rsid w:val="49793828"/>
    <w:rsid w:val="49807EB7"/>
    <w:rsid w:val="49A33B13"/>
    <w:rsid w:val="49C54500"/>
    <w:rsid w:val="49DC7715"/>
    <w:rsid w:val="49F12379"/>
    <w:rsid w:val="49F66C27"/>
    <w:rsid w:val="4A023139"/>
    <w:rsid w:val="4A032B06"/>
    <w:rsid w:val="4A1F5241"/>
    <w:rsid w:val="4A317C5F"/>
    <w:rsid w:val="4A4A0D21"/>
    <w:rsid w:val="4A4C5C0D"/>
    <w:rsid w:val="4A7144FF"/>
    <w:rsid w:val="4A7B576F"/>
    <w:rsid w:val="4A7E09CA"/>
    <w:rsid w:val="4A83540F"/>
    <w:rsid w:val="4A8835F7"/>
    <w:rsid w:val="4A9621B8"/>
    <w:rsid w:val="4AB24D04"/>
    <w:rsid w:val="4AB31279"/>
    <w:rsid w:val="4AB83EDC"/>
    <w:rsid w:val="4AC26B09"/>
    <w:rsid w:val="4ACE588D"/>
    <w:rsid w:val="4AE36C07"/>
    <w:rsid w:val="4AF561A9"/>
    <w:rsid w:val="4B223A4B"/>
    <w:rsid w:val="4B2E0642"/>
    <w:rsid w:val="4B3C56F2"/>
    <w:rsid w:val="4B481704"/>
    <w:rsid w:val="4B506A63"/>
    <w:rsid w:val="4B6D116B"/>
    <w:rsid w:val="4B703E8A"/>
    <w:rsid w:val="4B736055"/>
    <w:rsid w:val="4B83273C"/>
    <w:rsid w:val="4B8E31F1"/>
    <w:rsid w:val="4BBD5522"/>
    <w:rsid w:val="4BCC547D"/>
    <w:rsid w:val="4BFE70B6"/>
    <w:rsid w:val="4C2537F3"/>
    <w:rsid w:val="4C4A0649"/>
    <w:rsid w:val="4C4D2740"/>
    <w:rsid w:val="4C513462"/>
    <w:rsid w:val="4C5414AB"/>
    <w:rsid w:val="4C7E5ECA"/>
    <w:rsid w:val="4C876AA5"/>
    <w:rsid w:val="4C8B005F"/>
    <w:rsid w:val="4C9B5863"/>
    <w:rsid w:val="4CAA0DD8"/>
    <w:rsid w:val="4CBD57DA"/>
    <w:rsid w:val="4CC052CA"/>
    <w:rsid w:val="4CC90623"/>
    <w:rsid w:val="4CE04FDB"/>
    <w:rsid w:val="4CE90CC5"/>
    <w:rsid w:val="4CF63610"/>
    <w:rsid w:val="4D0201D0"/>
    <w:rsid w:val="4D0E00FB"/>
    <w:rsid w:val="4D176606"/>
    <w:rsid w:val="4D1B0752"/>
    <w:rsid w:val="4D4055C0"/>
    <w:rsid w:val="4D5325E2"/>
    <w:rsid w:val="4D6614CB"/>
    <w:rsid w:val="4D6C0FAE"/>
    <w:rsid w:val="4D8220AC"/>
    <w:rsid w:val="4D9D07FF"/>
    <w:rsid w:val="4DBD11A7"/>
    <w:rsid w:val="4DCD5A37"/>
    <w:rsid w:val="4DD40DC6"/>
    <w:rsid w:val="4DE153CA"/>
    <w:rsid w:val="4DEC4FB0"/>
    <w:rsid w:val="4DFE254E"/>
    <w:rsid w:val="4E075D8A"/>
    <w:rsid w:val="4E502893"/>
    <w:rsid w:val="4E532D58"/>
    <w:rsid w:val="4E7531C7"/>
    <w:rsid w:val="4E7540BA"/>
    <w:rsid w:val="4E8D6F35"/>
    <w:rsid w:val="4E944C60"/>
    <w:rsid w:val="4E9A049C"/>
    <w:rsid w:val="4EA2737D"/>
    <w:rsid w:val="4EA36C37"/>
    <w:rsid w:val="4EB34E02"/>
    <w:rsid w:val="4EB54CA5"/>
    <w:rsid w:val="4EC00FAD"/>
    <w:rsid w:val="4ECA0301"/>
    <w:rsid w:val="4EE51018"/>
    <w:rsid w:val="4EE67C1A"/>
    <w:rsid w:val="4EE9281A"/>
    <w:rsid w:val="4EEF633A"/>
    <w:rsid w:val="4EF50FCB"/>
    <w:rsid w:val="4F112C81"/>
    <w:rsid w:val="4F1418FD"/>
    <w:rsid w:val="4F195A30"/>
    <w:rsid w:val="4F1A0CDA"/>
    <w:rsid w:val="4F436D2D"/>
    <w:rsid w:val="4F4C16EA"/>
    <w:rsid w:val="4F5412BD"/>
    <w:rsid w:val="4F7C5E20"/>
    <w:rsid w:val="4F8E345D"/>
    <w:rsid w:val="4F9843DC"/>
    <w:rsid w:val="4FA40ED3"/>
    <w:rsid w:val="4FAF53FC"/>
    <w:rsid w:val="4FC62A8C"/>
    <w:rsid w:val="4FCA260C"/>
    <w:rsid w:val="4FE20F0D"/>
    <w:rsid w:val="4FE51552"/>
    <w:rsid w:val="4FE80CC1"/>
    <w:rsid w:val="4FF44D7B"/>
    <w:rsid w:val="4FFA476D"/>
    <w:rsid w:val="50026012"/>
    <w:rsid w:val="500A4BF8"/>
    <w:rsid w:val="500B0F52"/>
    <w:rsid w:val="503D72F6"/>
    <w:rsid w:val="50504C4B"/>
    <w:rsid w:val="50552435"/>
    <w:rsid w:val="50593702"/>
    <w:rsid w:val="506566DA"/>
    <w:rsid w:val="507414FF"/>
    <w:rsid w:val="50812FC2"/>
    <w:rsid w:val="508C257C"/>
    <w:rsid w:val="50916518"/>
    <w:rsid w:val="50924AD3"/>
    <w:rsid w:val="509C6E7C"/>
    <w:rsid w:val="509E5922"/>
    <w:rsid w:val="50AB7913"/>
    <w:rsid w:val="50EB7394"/>
    <w:rsid w:val="50F934A0"/>
    <w:rsid w:val="51152D20"/>
    <w:rsid w:val="511F2F07"/>
    <w:rsid w:val="512849B4"/>
    <w:rsid w:val="51465A67"/>
    <w:rsid w:val="515A3067"/>
    <w:rsid w:val="5162104E"/>
    <w:rsid w:val="516375F5"/>
    <w:rsid w:val="517B4996"/>
    <w:rsid w:val="518014CC"/>
    <w:rsid w:val="51A76A58"/>
    <w:rsid w:val="51B178D7"/>
    <w:rsid w:val="51B573C7"/>
    <w:rsid w:val="51C82097"/>
    <w:rsid w:val="51CF58FB"/>
    <w:rsid w:val="51D610EC"/>
    <w:rsid w:val="51D634E3"/>
    <w:rsid w:val="51E30F31"/>
    <w:rsid w:val="520E3564"/>
    <w:rsid w:val="52141EBF"/>
    <w:rsid w:val="521B19DD"/>
    <w:rsid w:val="521D148B"/>
    <w:rsid w:val="523956D4"/>
    <w:rsid w:val="525564B4"/>
    <w:rsid w:val="52A51493"/>
    <w:rsid w:val="52A7153C"/>
    <w:rsid w:val="52B42627"/>
    <w:rsid w:val="52B57EEA"/>
    <w:rsid w:val="52F11D2A"/>
    <w:rsid w:val="52F61A70"/>
    <w:rsid w:val="53005A6E"/>
    <w:rsid w:val="531373E7"/>
    <w:rsid w:val="53233119"/>
    <w:rsid w:val="532D7F79"/>
    <w:rsid w:val="53883955"/>
    <w:rsid w:val="5399057C"/>
    <w:rsid w:val="539C7B01"/>
    <w:rsid w:val="53A039CC"/>
    <w:rsid w:val="53A1505A"/>
    <w:rsid w:val="53B26BD2"/>
    <w:rsid w:val="53BF452D"/>
    <w:rsid w:val="53D73EA5"/>
    <w:rsid w:val="53FA6733"/>
    <w:rsid w:val="54063E08"/>
    <w:rsid w:val="543437E8"/>
    <w:rsid w:val="54454859"/>
    <w:rsid w:val="54601828"/>
    <w:rsid w:val="54662BFB"/>
    <w:rsid w:val="54776BB6"/>
    <w:rsid w:val="548B7EB9"/>
    <w:rsid w:val="54B323D7"/>
    <w:rsid w:val="54B90FC5"/>
    <w:rsid w:val="54D97871"/>
    <w:rsid w:val="54F73313"/>
    <w:rsid w:val="54F80955"/>
    <w:rsid w:val="55027729"/>
    <w:rsid w:val="551C47BE"/>
    <w:rsid w:val="55393B44"/>
    <w:rsid w:val="553A5DBC"/>
    <w:rsid w:val="55406AE0"/>
    <w:rsid w:val="555170A7"/>
    <w:rsid w:val="55520B9F"/>
    <w:rsid w:val="555563F6"/>
    <w:rsid w:val="55585BCC"/>
    <w:rsid w:val="556233C2"/>
    <w:rsid w:val="5565384F"/>
    <w:rsid w:val="557430F6"/>
    <w:rsid w:val="55824C69"/>
    <w:rsid w:val="5587536D"/>
    <w:rsid w:val="559355FF"/>
    <w:rsid w:val="559B174B"/>
    <w:rsid w:val="55AF2A34"/>
    <w:rsid w:val="55B162AC"/>
    <w:rsid w:val="55CE0CF4"/>
    <w:rsid w:val="55D10548"/>
    <w:rsid w:val="55D63DB0"/>
    <w:rsid w:val="55EF09CE"/>
    <w:rsid w:val="55F61954"/>
    <w:rsid w:val="55FA7A9F"/>
    <w:rsid w:val="55FB55C5"/>
    <w:rsid w:val="56097C71"/>
    <w:rsid w:val="561A1EEF"/>
    <w:rsid w:val="561E5C2D"/>
    <w:rsid w:val="56220DA3"/>
    <w:rsid w:val="5637310B"/>
    <w:rsid w:val="564F0701"/>
    <w:rsid w:val="56584FC5"/>
    <w:rsid w:val="565A22EB"/>
    <w:rsid w:val="56610120"/>
    <w:rsid w:val="568C5381"/>
    <w:rsid w:val="569577C7"/>
    <w:rsid w:val="56A30136"/>
    <w:rsid w:val="56A65531"/>
    <w:rsid w:val="56B22A9C"/>
    <w:rsid w:val="56D52F08"/>
    <w:rsid w:val="56E04EE6"/>
    <w:rsid w:val="56E10C5F"/>
    <w:rsid w:val="56E36785"/>
    <w:rsid w:val="57153B2A"/>
    <w:rsid w:val="572719D3"/>
    <w:rsid w:val="572826FA"/>
    <w:rsid w:val="57381DBB"/>
    <w:rsid w:val="573C40E7"/>
    <w:rsid w:val="576B5351"/>
    <w:rsid w:val="578A490A"/>
    <w:rsid w:val="57A70387"/>
    <w:rsid w:val="57AC4455"/>
    <w:rsid w:val="57B72A76"/>
    <w:rsid w:val="57C3426C"/>
    <w:rsid w:val="57CD116A"/>
    <w:rsid w:val="57CE1F93"/>
    <w:rsid w:val="57EC0DA2"/>
    <w:rsid w:val="57F97FAD"/>
    <w:rsid w:val="583D1EC5"/>
    <w:rsid w:val="586F24D7"/>
    <w:rsid w:val="58732321"/>
    <w:rsid w:val="588743D1"/>
    <w:rsid w:val="5887701A"/>
    <w:rsid w:val="589715D5"/>
    <w:rsid w:val="58D63CE3"/>
    <w:rsid w:val="58F212EB"/>
    <w:rsid w:val="59142C25"/>
    <w:rsid w:val="591E34A5"/>
    <w:rsid w:val="591E6BCB"/>
    <w:rsid w:val="592065EC"/>
    <w:rsid w:val="59253085"/>
    <w:rsid w:val="5930648C"/>
    <w:rsid w:val="594A67BA"/>
    <w:rsid w:val="594B2A08"/>
    <w:rsid w:val="595F352B"/>
    <w:rsid w:val="59643B25"/>
    <w:rsid w:val="59722042"/>
    <w:rsid w:val="59796F2C"/>
    <w:rsid w:val="59833184"/>
    <w:rsid w:val="599427CE"/>
    <w:rsid w:val="59A246D5"/>
    <w:rsid w:val="59B27F8B"/>
    <w:rsid w:val="59B35EE3"/>
    <w:rsid w:val="59C0439F"/>
    <w:rsid w:val="59C83A10"/>
    <w:rsid w:val="59CE2FAA"/>
    <w:rsid w:val="5A020049"/>
    <w:rsid w:val="5A1D6A13"/>
    <w:rsid w:val="5A596DE6"/>
    <w:rsid w:val="5A673229"/>
    <w:rsid w:val="5A7317BD"/>
    <w:rsid w:val="5A834F08"/>
    <w:rsid w:val="5A86096D"/>
    <w:rsid w:val="5ABE2233"/>
    <w:rsid w:val="5AC02939"/>
    <w:rsid w:val="5AC759A3"/>
    <w:rsid w:val="5AD621EF"/>
    <w:rsid w:val="5AE707F0"/>
    <w:rsid w:val="5AFF52D9"/>
    <w:rsid w:val="5B022F52"/>
    <w:rsid w:val="5B3F7D02"/>
    <w:rsid w:val="5B4D241F"/>
    <w:rsid w:val="5B503CBD"/>
    <w:rsid w:val="5B877EDE"/>
    <w:rsid w:val="5B882EA1"/>
    <w:rsid w:val="5B90055D"/>
    <w:rsid w:val="5BA46CE2"/>
    <w:rsid w:val="5BA940E8"/>
    <w:rsid w:val="5BB66779"/>
    <w:rsid w:val="5BB95D06"/>
    <w:rsid w:val="5BCE2C90"/>
    <w:rsid w:val="5BDF5D95"/>
    <w:rsid w:val="5BEC298C"/>
    <w:rsid w:val="5BFE7528"/>
    <w:rsid w:val="5C020F61"/>
    <w:rsid w:val="5C0558B6"/>
    <w:rsid w:val="5C234E22"/>
    <w:rsid w:val="5C2A15C6"/>
    <w:rsid w:val="5C3D63E5"/>
    <w:rsid w:val="5C4E644E"/>
    <w:rsid w:val="5C5F5FDC"/>
    <w:rsid w:val="5C6323E1"/>
    <w:rsid w:val="5C757E7F"/>
    <w:rsid w:val="5C761E49"/>
    <w:rsid w:val="5C823448"/>
    <w:rsid w:val="5C8E7193"/>
    <w:rsid w:val="5C8F2147"/>
    <w:rsid w:val="5CAE553B"/>
    <w:rsid w:val="5CB201BD"/>
    <w:rsid w:val="5CCB5CF1"/>
    <w:rsid w:val="5CD831E3"/>
    <w:rsid w:val="5CE543D3"/>
    <w:rsid w:val="5CF74E63"/>
    <w:rsid w:val="5D0F623A"/>
    <w:rsid w:val="5D425180"/>
    <w:rsid w:val="5D8436A5"/>
    <w:rsid w:val="5D864346"/>
    <w:rsid w:val="5DCB29F3"/>
    <w:rsid w:val="5DDE524A"/>
    <w:rsid w:val="5DE91890"/>
    <w:rsid w:val="5DF272AD"/>
    <w:rsid w:val="5E0335A2"/>
    <w:rsid w:val="5E070CBD"/>
    <w:rsid w:val="5E2467F1"/>
    <w:rsid w:val="5E581797"/>
    <w:rsid w:val="5E705F61"/>
    <w:rsid w:val="5E737B68"/>
    <w:rsid w:val="5E8621BD"/>
    <w:rsid w:val="5EA93E10"/>
    <w:rsid w:val="5EC734A7"/>
    <w:rsid w:val="5EDD7F5D"/>
    <w:rsid w:val="5EE017FC"/>
    <w:rsid w:val="5EE35BEB"/>
    <w:rsid w:val="5EEC59BC"/>
    <w:rsid w:val="5EF5533C"/>
    <w:rsid w:val="5F05442F"/>
    <w:rsid w:val="5F1A2B43"/>
    <w:rsid w:val="5F1A2F60"/>
    <w:rsid w:val="5F27133B"/>
    <w:rsid w:val="5F443B39"/>
    <w:rsid w:val="5F6E0BB6"/>
    <w:rsid w:val="5F790873"/>
    <w:rsid w:val="5F824661"/>
    <w:rsid w:val="5F8D66F8"/>
    <w:rsid w:val="5F9268DB"/>
    <w:rsid w:val="5F9C5455"/>
    <w:rsid w:val="5FB837BB"/>
    <w:rsid w:val="5FB844E9"/>
    <w:rsid w:val="5FBF2B25"/>
    <w:rsid w:val="5FD53CDB"/>
    <w:rsid w:val="5FE62E42"/>
    <w:rsid w:val="6002014A"/>
    <w:rsid w:val="601B6F8F"/>
    <w:rsid w:val="606F72DB"/>
    <w:rsid w:val="60762543"/>
    <w:rsid w:val="608B5AEC"/>
    <w:rsid w:val="608E7761"/>
    <w:rsid w:val="60A52CFD"/>
    <w:rsid w:val="60A9459B"/>
    <w:rsid w:val="60C11A6A"/>
    <w:rsid w:val="60CC405A"/>
    <w:rsid w:val="60EC633F"/>
    <w:rsid w:val="61630BEE"/>
    <w:rsid w:val="616E53F6"/>
    <w:rsid w:val="61707F91"/>
    <w:rsid w:val="61882403"/>
    <w:rsid w:val="61AD0213"/>
    <w:rsid w:val="61C84EF5"/>
    <w:rsid w:val="61D30753"/>
    <w:rsid w:val="61D753A1"/>
    <w:rsid w:val="61DF12F2"/>
    <w:rsid w:val="61E215D8"/>
    <w:rsid w:val="61EA6C19"/>
    <w:rsid w:val="61ED1794"/>
    <w:rsid w:val="620F1AC6"/>
    <w:rsid w:val="621551CF"/>
    <w:rsid w:val="621B3775"/>
    <w:rsid w:val="622F2D2A"/>
    <w:rsid w:val="62364782"/>
    <w:rsid w:val="625427CD"/>
    <w:rsid w:val="625B63C5"/>
    <w:rsid w:val="625B6745"/>
    <w:rsid w:val="627E6541"/>
    <w:rsid w:val="629B758D"/>
    <w:rsid w:val="62B62BAD"/>
    <w:rsid w:val="62BB6808"/>
    <w:rsid w:val="62C02E96"/>
    <w:rsid w:val="62C45627"/>
    <w:rsid w:val="62D16199"/>
    <w:rsid w:val="62D6719E"/>
    <w:rsid w:val="62FC4477"/>
    <w:rsid w:val="630F3F38"/>
    <w:rsid w:val="63520F1A"/>
    <w:rsid w:val="63555F06"/>
    <w:rsid w:val="635D3329"/>
    <w:rsid w:val="635F3637"/>
    <w:rsid w:val="637871C7"/>
    <w:rsid w:val="6381535B"/>
    <w:rsid w:val="6384309D"/>
    <w:rsid w:val="638C3D00"/>
    <w:rsid w:val="639141AA"/>
    <w:rsid w:val="63940CAF"/>
    <w:rsid w:val="63942566"/>
    <w:rsid w:val="6394356A"/>
    <w:rsid w:val="63B57EF1"/>
    <w:rsid w:val="63C61B2C"/>
    <w:rsid w:val="63CC0713"/>
    <w:rsid w:val="63D24ECA"/>
    <w:rsid w:val="63D40BE9"/>
    <w:rsid w:val="63DF2082"/>
    <w:rsid w:val="63FC132D"/>
    <w:rsid w:val="64102431"/>
    <w:rsid w:val="642E3CB8"/>
    <w:rsid w:val="642E7722"/>
    <w:rsid w:val="642F67E7"/>
    <w:rsid w:val="644520EB"/>
    <w:rsid w:val="64461AB8"/>
    <w:rsid w:val="64513543"/>
    <w:rsid w:val="645C7B76"/>
    <w:rsid w:val="64632349"/>
    <w:rsid w:val="646C1136"/>
    <w:rsid w:val="64916833"/>
    <w:rsid w:val="64A5243A"/>
    <w:rsid w:val="64EF64F4"/>
    <w:rsid w:val="64F531DE"/>
    <w:rsid w:val="64F8164D"/>
    <w:rsid w:val="64FF3D1B"/>
    <w:rsid w:val="6502427A"/>
    <w:rsid w:val="650E7B4D"/>
    <w:rsid w:val="652778E1"/>
    <w:rsid w:val="65373578"/>
    <w:rsid w:val="653E6F19"/>
    <w:rsid w:val="653F12CB"/>
    <w:rsid w:val="6545060B"/>
    <w:rsid w:val="65605444"/>
    <w:rsid w:val="65622F6B"/>
    <w:rsid w:val="65794933"/>
    <w:rsid w:val="657C58B7"/>
    <w:rsid w:val="659D51CC"/>
    <w:rsid w:val="65BC08CD"/>
    <w:rsid w:val="65D06126"/>
    <w:rsid w:val="65EA0CC9"/>
    <w:rsid w:val="660202AA"/>
    <w:rsid w:val="660B53B0"/>
    <w:rsid w:val="661324B7"/>
    <w:rsid w:val="66235272"/>
    <w:rsid w:val="66464D7E"/>
    <w:rsid w:val="664A237C"/>
    <w:rsid w:val="664E0EA5"/>
    <w:rsid w:val="665C3E5E"/>
    <w:rsid w:val="666902A6"/>
    <w:rsid w:val="668533B4"/>
    <w:rsid w:val="66B6356E"/>
    <w:rsid w:val="66BA095E"/>
    <w:rsid w:val="66C946D9"/>
    <w:rsid w:val="66D02156"/>
    <w:rsid w:val="66DF7CB0"/>
    <w:rsid w:val="66EF5C92"/>
    <w:rsid w:val="66F8003A"/>
    <w:rsid w:val="66F95B50"/>
    <w:rsid w:val="67112E9A"/>
    <w:rsid w:val="671169F6"/>
    <w:rsid w:val="67135656"/>
    <w:rsid w:val="6716225F"/>
    <w:rsid w:val="67185FD7"/>
    <w:rsid w:val="671F124A"/>
    <w:rsid w:val="67271640"/>
    <w:rsid w:val="674A015A"/>
    <w:rsid w:val="67656D42"/>
    <w:rsid w:val="677A33C6"/>
    <w:rsid w:val="67A71109"/>
    <w:rsid w:val="67B46B65"/>
    <w:rsid w:val="67DC38A4"/>
    <w:rsid w:val="681A3FD0"/>
    <w:rsid w:val="681D7C60"/>
    <w:rsid w:val="681F6961"/>
    <w:rsid w:val="6828172D"/>
    <w:rsid w:val="684739A8"/>
    <w:rsid w:val="68582403"/>
    <w:rsid w:val="68610A2F"/>
    <w:rsid w:val="687A681D"/>
    <w:rsid w:val="68805514"/>
    <w:rsid w:val="68DE3D33"/>
    <w:rsid w:val="68ED228A"/>
    <w:rsid w:val="69017824"/>
    <w:rsid w:val="690B4CFB"/>
    <w:rsid w:val="690D143F"/>
    <w:rsid w:val="690F3409"/>
    <w:rsid w:val="691C7D63"/>
    <w:rsid w:val="69215CB8"/>
    <w:rsid w:val="69316E2F"/>
    <w:rsid w:val="693E77B0"/>
    <w:rsid w:val="694E2071"/>
    <w:rsid w:val="69531548"/>
    <w:rsid w:val="6957358A"/>
    <w:rsid w:val="696B5589"/>
    <w:rsid w:val="69766163"/>
    <w:rsid w:val="697A3B33"/>
    <w:rsid w:val="697C3B65"/>
    <w:rsid w:val="697E0274"/>
    <w:rsid w:val="6988406D"/>
    <w:rsid w:val="699F653B"/>
    <w:rsid w:val="69BD2E65"/>
    <w:rsid w:val="69C72F87"/>
    <w:rsid w:val="69D44760"/>
    <w:rsid w:val="69EB1780"/>
    <w:rsid w:val="69F72936"/>
    <w:rsid w:val="69F80BFC"/>
    <w:rsid w:val="6A0746BF"/>
    <w:rsid w:val="6A2922A9"/>
    <w:rsid w:val="6A3F7D1E"/>
    <w:rsid w:val="6A4913B5"/>
    <w:rsid w:val="6A520EC7"/>
    <w:rsid w:val="6AA67D9D"/>
    <w:rsid w:val="6AA70E28"/>
    <w:rsid w:val="6AA875F7"/>
    <w:rsid w:val="6AAD2DB2"/>
    <w:rsid w:val="6AAE27AE"/>
    <w:rsid w:val="6ABE3B1C"/>
    <w:rsid w:val="6AD06466"/>
    <w:rsid w:val="6AD918C3"/>
    <w:rsid w:val="6AF87E20"/>
    <w:rsid w:val="6B014FD4"/>
    <w:rsid w:val="6B1765E4"/>
    <w:rsid w:val="6B1C774A"/>
    <w:rsid w:val="6B27067A"/>
    <w:rsid w:val="6B322639"/>
    <w:rsid w:val="6B3F49C8"/>
    <w:rsid w:val="6B5477F9"/>
    <w:rsid w:val="6B5C220A"/>
    <w:rsid w:val="6B607066"/>
    <w:rsid w:val="6B7645C5"/>
    <w:rsid w:val="6B783627"/>
    <w:rsid w:val="6BA240C1"/>
    <w:rsid w:val="6BA738D4"/>
    <w:rsid w:val="6BA73E6E"/>
    <w:rsid w:val="6BC168B5"/>
    <w:rsid w:val="6BC77FCB"/>
    <w:rsid w:val="6BCA111F"/>
    <w:rsid w:val="6BDE3DB5"/>
    <w:rsid w:val="6C044D7B"/>
    <w:rsid w:val="6C184383"/>
    <w:rsid w:val="6C2247C7"/>
    <w:rsid w:val="6C5279B2"/>
    <w:rsid w:val="6C636C38"/>
    <w:rsid w:val="6C6C780A"/>
    <w:rsid w:val="6C700663"/>
    <w:rsid w:val="6C811FFD"/>
    <w:rsid w:val="6C8163CC"/>
    <w:rsid w:val="6CF15220"/>
    <w:rsid w:val="6D031B69"/>
    <w:rsid w:val="6D100720"/>
    <w:rsid w:val="6D2677FC"/>
    <w:rsid w:val="6D2D20B0"/>
    <w:rsid w:val="6D43230F"/>
    <w:rsid w:val="6D623811"/>
    <w:rsid w:val="6D656628"/>
    <w:rsid w:val="6D6E6B6B"/>
    <w:rsid w:val="6D714693"/>
    <w:rsid w:val="6D8617C0"/>
    <w:rsid w:val="6D8B6BE4"/>
    <w:rsid w:val="6D964144"/>
    <w:rsid w:val="6DAD4F9F"/>
    <w:rsid w:val="6DB34098"/>
    <w:rsid w:val="6DB52698"/>
    <w:rsid w:val="6DB545B6"/>
    <w:rsid w:val="6DCB33F1"/>
    <w:rsid w:val="6DD90715"/>
    <w:rsid w:val="6DE02FB4"/>
    <w:rsid w:val="6DE63302"/>
    <w:rsid w:val="6E012965"/>
    <w:rsid w:val="6E041063"/>
    <w:rsid w:val="6E0E2143"/>
    <w:rsid w:val="6E2378C1"/>
    <w:rsid w:val="6E257913"/>
    <w:rsid w:val="6E2A4841"/>
    <w:rsid w:val="6E2E7ECC"/>
    <w:rsid w:val="6E4C2FBA"/>
    <w:rsid w:val="6E514CED"/>
    <w:rsid w:val="6E5518BE"/>
    <w:rsid w:val="6E7C42C8"/>
    <w:rsid w:val="6E843F52"/>
    <w:rsid w:val="6E9B3D3E"/>
    <w:rsid w:val="6EB563D5"/>
    <w:rsid w:val="6EB94E6D"/>
    <w:rsid w:val="6ECE341F"/>
    <w:rsid w:val="6ED5421A"/>
    <w:rsid w:val="6ED749C9"/>
    <w:rsid w:val="6ED92677"/>
    <w:rsid w:val="6EF0248F"/>
    <w:rsid w:val="6F0A3AFB"/>
    <w:rsid w:val="6F225983"/>
    <w:rsid w:val="6F2A6F6F"/>
    <w:rsid w:val="6F566D49"/>
    <w:rsid w:val="6F5A2DFE"/>
    <w:rsid w:val="6F5F4A4D"/>
    <w:rsid w:val="6F6049BF"/>
    <w:rsid w:val="6F991C7F"/>
    <w:rsid w:val="6F9E212C"/>
    <w:rsid w:val="6FAA5C3A"/>
    <w:rsid w:val="6FD43436"/>
    <w:rsid w:val="6FD52F5C"/>
    <w:rsid w:val="6FE43808"/>
    <w:rsid w:val="6FF27736"/>
    <w:rsid w:val="6FF34176"/>
    <w:rsid w:val="6FFC5590"/>
    <w:rsid w:val="700023A5"/>
    <w:rsid w:val="70022B97"/>
    <w:rsid w:val="700A0487"/>
    <w:rsid w:val="701F501C"/>
    <w:rsid w:val="702E23C7"/>
    <w:rsid w:val="70540C83"/>
    <w:rsid w:val="70561CBC"/>
    <w:rsid w:val="70616401"/>
    <w:rsid w:val="70696A50"/>
    <w:rsid w:val="706D1DD0"/>
    <w:rsid w:val="70856B87"/>
    <w:rsid w:val="70AE52B6"/>
    <w:rsid w:val="70B9041F"/>
    <w:rsid w:val="70BD6212"/>
    <w:rsid w:val="70D527EE"/>
    <w:rsid w:val="70D90117"/>
    <w:rsid w:val="70E64A50"/>
    <w:rsid w:val="7104581E"/>
    <w:rsid w:val="713F014B"/>
    <w:rsid w:val="71587CD3"/>
    <w:rsid w:val="715B5300"/>
    <w:rsid w:val="715F2A54"/>
    <w:rsid w:val="719764F7"/>
    <w:rsid w:val="71B72890"/>
    <w:rsid w:val="71BF2CC8"/>
    <w:rsid w:val="71C46393"/>
    <w:rsid w:val="71C84F54"/>
    <w:rsid w:val="71CA611F"/>
    <w:rsid w:val="71CC77C2"/>
    <w:rsid w:val="71D27F8A"/>
    <w:rsid w:val="72134E62"/>
    <w:rsid w:val="72194E0E"/>
    <w:rsid w:val="722E5DA3"/>
    <w:rsid w:val="72553024"/>
    <w:rsid w:val="7265409A"/>
    <w:rsid w:val="72936E59"/>
    <w:rsid w:val="729E6109"/>
    <w:rsid w:val="72BD0483"/>
    <w:rsid w:val="72CB65F3"/>
    <w:rsid w:val="72FF0741"/>
    <w:rsid w:val="73122968"/>
    <w:rsid w:val="731F5D5E"/>
    <w:rsid w:val="732C4E8C"/>
    <w:rsid w:val="735164BE"/>
    <w:rsid w:val="735B35C6"/>
    <w:rsid w:val="738C041D"/>
    <w:rsid w:val="73A261DE"/>
    <w:rsid w:val="73B471FE"/>
    <w:rsid w:val="73B5320B"/>
    <w:rsid w:val="73C038AB"/>
    <w:rsid w:val="73C51AD5"/>
    <w:rsid w:val="73C53042"/>
    <w:rsid w:val="73DC213A"/>
    <w:rsid w:val="73E22C98"/>
    <w:rsid w:val="7410704F"/>
    <w:rsid w:val="74147B26"/>
    <w:rsid w:val="741E793C"/>
    <w:rsid w:val="74294AF6"/>
    <w:rsid w:val="74341F76"/>
    <w:rsid w:val="745E3944"/>
    <w:rsid w:val="74850A24"/>
    <w:rsid w:val="749B1FF5"/>
    <w:rsid w:val="74A4534E"/>
    <w:rsid w:val="74A92964"/>
    <w:rsid w:val="74AA5C83"/>
    <w:rsid w:val="74BC52A1"/>
    <w:rsid w:val="74E97D07"/>
    <w:rsid w:val="74F3598D"/>
    <w:rsid w:val="74FE2C3F"/>
    <w:rsid w:val="75027F24"/>
    <w:rsid w:val="7513394F"/>
    <w:rsid w:val="75377F70"/>
    <w:rsid w:val="754D6FE3"/>
    <w:rsid w:val="755651FF"/>
    <w:rsid w:val="7589772A"/>
    <w:rsid w:val="75AA6994"/>
    <w:rsid w:val="75B07F1D"/>
    <w:rsid w:val="75D91D6C"/>
    <w:rsid w:val="75E86171"/>
    <w:rsid w:val="75F2770C"/>
    <w:rsid w:val="76120095"/>
    <w:rsid w:val="7613018A"/>
    <w:rsid w:val="761D64FD"/>
    <w:rsid w:val="762B6E04"/>
    <w:rsid w:val="7635099D"/>
    <w:rsid w:val="765F1B8F"/>
    <w:rsid w:val="768C7E47"/>
    <w:rsid w:val="7690626B"/>
    <w:rsid w:val="76946CFC"/>
    <w:rsid w:val="769E2278"/>
    <w:rsid w:val="76A50F09"/>
    <w:rsid w:val="76AF6EA2"/>
    <w:rsid w:val="76B11D32"/>
    <w:rsid w:val="76BD0D38"/>
    <w:rsid w:val="76C45D1B"/>
    <w:rsid w:val="76D11659"/>
    <w:rsid w:val="76EF2B34"/>
    <w:rsid w:val="76F854DD"/>
    <w:rsid w:val="76FB3C64"/>
    <w:rsid w:val="77110F76"/>
    <w:rsid w:val="772207AC"/>
    <w:rsid w:val="77271B0C"/>
    <w:rsid w:val="77752FD1"/>
    <w:rsid w:val="77762421"/>
    <w:rsid w:val="777911B5"/>
    <w:rsid w:val="777B359A"/>
    <w:rsid w:val="777C1746"/>
    <w:rsid w:val="777D1E86"/>
    <w:rsid w:val="778D2B00"/>
    <w:rsid w:val="779C40BA"/>
    <w:rsid w:val="77B56B1F"/>
    <w:rsid w:val="77E53A25"/>
    <w:rsid w:val="780F09F4"/>
    <w:rsid w:val="78104AA8"/>
    <w:rsid w:val="781147CB"/>
    <w:rsid w:val="782F3180"/>
    <w:rsid w:val="783A38D3"/>
    <w:rsid w:val="783C3F1A"/>
    <w:rsid w:val="78462278"/>
    <w:rsid w:val="78826582"/>
    <w:rsid w:val="788C6DD5"/>
    <w:rsid w:val="788F5DDA"/>
    <w:rsid w:val="789E7F82"/>
    <w:rsid w:val="78A82F32"/>
    <w:rsid w:val="78A84B5B"/>
    <w:rsid w:val="78A90480"/>
    <w:rsid w:val="78A956BE"/>
    <w:rsid w:val="78AC1A52"/>
    <w:rsid w:val="78C93BB8"/>
    <w:rsid w:val="78EF295D"/>
    <w:rsid w:val="78F978E5"/>
    <w:rsid w:val="78FE33A1"/>
    <w:rsid w:val="79033EDA"/>
    <w:rsid w:val="79221ACD"/>
    <w:rsid w:val="79230AF6"/>
    <w:rsid w:val="793A229D"/>
    <w:rsid w:val="793B7903"/>
    <w:rsid w:val="795523FC"/>
    <w:rsid w:val="79764DDF"/>
    <w:rsid w:val="798E2128"/>
    <w:rsid w:val="799F60E4"/>
    <w:rsid w:val="79A33E26"/>
    <w:rsid w:val="79A454A8"/>
    <w:rsid w:val="79A9083B"/>
    <w:rsid w:val="79E903F0"/>
    <w:rsid w:val="7A036672"/>
    <w:rsid w:val="7A0D74F1"/>
    <w:rsid w:val="7A144135"/>
    <w:rsid w:val="7A2B3F6A"/>
    <w:rsid w:val="7A2B76DE"/>
    <w:rsid w:val="7A364017"/>
    <w:rsid w:val="7A4A24F3"/>
    <w:rsid w:val="7A552C46"/>
    <w:rsid w:val="7A770E0E"/>
    <w:rsid w:val="7A8265E1"/>
    <w:rsid w:val="7A862E00"/>
    <w:rsid w:val="7AA023F3"/>
    <w:rsid w:val="7AAC5F98"/>
    <w:rsid w:val="7AB71B55"/>
    <w:rsid w:val="7ACA7190"/>
    <w:rsid w:val="7ACC043A"/>
    <w:rsid w:val="7AD24297"/>
    <w:rsid w:val="7AD5601C"/>
    <w:rsid w:val="7AE55D78"/>
    <w:rsid w:val="7B1B5C3E"/>
    <w:rsid w:val="7B2D1C44"/>
    <w:rsid w:val="7B384BC8"/>
    <w:rsid w:val="7B566C76"/>
    <w:rsid w:val="7B684A03"/>
    <w:rsid w:val="7B686D42"/>
    <w:rsid w:val="7B841746"/>
    <w:rsid w:val="7B95154C"/>
    <w:rsid w:val="7BA45C33"/>
    <w:rsid w:val="7BBA1D07"/>
    <w:rsid w:val="7BC71071"/>
    <w:rsid w:val="7BE16FCA"/>
    <w:rsid w:val="7BE67FFA"/>
    <w:rsid w:val="7BF85F7F"/>
    <w:rsid w:val="7C1D7794"/>
    <w:rsid w:val="7C211032"/>
    <w:rsid w:val="7C2C1579"/>
    <w:rsid w:val="7C2D10C0"/>
    <w:rsid w:val="7C340E4C"/>
    <w:rsid w:val="7C442E67"/>
    <w:rsid w:val="7C4A0507"/>
    <w:rsid w:val="7C5C305D"/>
    <w:rsid w:val="7C6C5AC7"/>
    <w:rsid w:val="7C75137E"/>
    <w:rsid w:val="7CA9128F"/>
    <w:rsid w:val="7CB974BC"/>
    <w:rsid w:val="7CC40763"/>
    <w:rsid w:val="7CC6544B"/>
    <w:rsid w:val="7D0239FF"/>
    <w:rsid w:val="7D0C5225"/>
    <w:rsid w:val="7D0C7D89"/>
    <w:rsid w:val="7D24527D"/>
    <w:rsid w:val="7D5B2A8C"/>
    <w:rsid w:val="7D5E40CD"/>
    <w:rsid w:val="7D670B0E"/>
    <w:rsid w:val="7D8F646F"/>
    <w:rsid w:val="7D983576"/>
    <w:rsid w:val="7DA0242A"/>
    <w:rsid w:val="7DAA5CD3"/>
    <w:rsid w:val="7DB06B11"/>
    <w:rsid w:val="7DC12B60"/>
    <w:rsid w:val="7DC51FA1"/>
    <w:rsid w:val="7DCD56F2"/>
    <w:rsid w:val="7DD63DE7"/>
    <w:rsid w:val="7DE4195C"/>
    <w:rsid w:val="7E064983"/>
    <w:rsid w:val="7E28325F"/>
    <w:rsid w:val="7E3C65F7"/>
    <w:rsid w:val="7E7B3392"/>
    <w:rsid w:val="7E8B30DA"/>
    <w:rsid w:val="7E9401E1"/>
    <w:rsid w:val="7E9A5639"/>
    <w:rsid w:val="7EAA3560"/>
    <w:rsid w:val="7EAB4931"/>
    <w:rsid w:val="7EC16584"/>
    <w:rsid w:val="7EC357BF"/>
    <w:rsid w:val="7EDC7492"/>
    <w:rsid w:val="7EDE145C"/>
    <w:rsid w:val="7EE227C2"/>
    <w:rsid w:val="7EF425D4"/>
    <w:rsid w:val="7EFC18E2"/>
    <w:rsid w:val="7F001CE7"/>
    <w:rsid w:val="7F204B4A"/>
    <w:rsid w:val="7F3F3880"/>
    <w:rsid w:val="7F605CD2"/>
    <w:rsid w:val="7F7304EC"/>
    <w:rsid w:val="7F747428"/>
    <w:rsid w:val="7F7829FC"/>
    <w:rsid w:val="7F855D7C"/>
    <w:rsid w:val="7F9A0C15"/>
    <w:rsid w:val="7FBD72C3"/>
    <w:rsid w:val="7FE47E50"/>
    <w:rsid w:val="7FEE1B73"/>
    <w:rsid w:val="7FF41312"/>
    <w:rsid w:val="7FF72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99" w:semiHidden="0" w:name="Body Text Indent 2" w:locked="1"/>
    <w:lsdException w:qFormat="1"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1"/>
    <w:next w:val="1"/>
    <w:qFormat/>
    <w:locked/>
    <w:uiPriority w:val="99"/>
    <w:pPr>
      <w:keepNext/>
      <w:keepLines/>
      <w:spacing w:before="260" w:after="260" w:line="416" w:lineRule="auto"/>
      <w:jc w:val="center"/>
      <w:outlineLvl w:val="1"/>
    </w:pPr>
    <w:rPr>
      <w:rFonts w:ascii="Arial" w:hAnsi="Arial" w:eastAsia="黑体" w:cs="Arial"/>
      <w:sz w:val="32"/>
      <w:szCs w:val="32"/>
    </w:rPr>
  </w:style>
  <w:style w:type="paragraph" w:styleId="4">
    <w:name w:val="heading 3"/>
    <w:basedOn w:val="1"/>
    <w:next w:val="1"/>
    <w:qFormat/>
    <w:locked/>
    <w:uiPriority w:val="0"/>
    <w:pPr>
      <w:keepNext/>
      <w:keepLines/>
      <w:spacing w:before="260" w:after="260" w:line="416" w:lineRule="auto"/>
      <w:outlineLvl w:val="2"/>
    </w:pPr>
    <w:rPr>
      <w:b/>
      <w:bCs/>
      <w:kern w:val="0"/>
      <w:sz w:val="32"/>
      <w:szCs w:val="32"/>
    </w:rPr>
  </w:style>
  <w:style w:type="paragraph" w:styleId="5">
    <w:name w:val="heading 4"/>
    <w:basedOn w:val="1"/>
    <w:next w:val="1"/>
    <w:semiHidden/>
    <w:unhideWhenUsed/>
    <w:qFormat/>
    <w:locked/>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locked/>
    <w:uiPriority w:val="0"/>
    <w:pPr>
      <w:ind w:firstLine="420" w:firstLineChars="200"/>
    </w:pPr>
  </w:style>
  <w:style w:type="paragraph" w:styleId="7">
    <w:name w:val="caption"/>
    <w:basedOn w:val="1"/>
    <w:next w:val="1"/>
    <w:qFormat/>
    <w:locked/>
    <w:uiPriority w:val="35"/>
    <w:rPr>
      <w:rFonts w:ascii="Arial" w:hAnsi="Arial" w:eastAsia="黑体"/>
      <w:sz w:val="20"/>
    </w:rPr>
  </w:style>
  <w:style w:type="paragraph" w:styleId="8">
    <w:name w:val="annotation text"/>
    <w:basedOn w:val="1"/>
    <w:link w:val="42"/>
    <w:semiHidden/>
    <w:qFormat/>
    <w:uiPriority w:val="0"/>
    <w:pPr>
      <w:jc w:val="left"/>
    </w:pPr>
    <w:rPr>
      <w:kern w:val="0"/>
      <w:sz w:val="24"/>
      <w:szCs w:val="20"/>
    </w:rPr>
  </w:style>
  <w:style w:type="paragraph" w:styleId="9">
    <w:name w:val="Body Text"/>
    <w:basedOn w:val="1"/>
    <w:next w:val="1"/>
    <w:link w:val="43"/>
    <w:qFormat/>
    <w:uiPriority w:val="0"/>
    <w:pPr>
      <w:widowControl/>
      <w:snapToGrid w:val="0"/>
      <w:spacing w:before="60" w:after="160" w:line="259" w:lineRule="auto"/>
      <w:ind w:right="113"/>
    </w:pPr>
    <w:rPr>
      <w:kern w:val="0"/>
      <w:sz w:val="18"/>
      <w:szCs w:val="20"/>
    </w:rPr>
  </w:style>
  <w:style w:type="paragraph" w:styleId="10">
    <w:name w:val="Body Text Indent"/>
    <w:basedOn w:val="1"/>
    <w:next w:val="11"/>
    <w:link w:val="44"/>
    <w:qFormat/>
    <w:uiPriority w:val="0"/>
    <w:pPr>
      <w:spacing w:after="120"/>
      <w:ind w:left="420" w:leftChars="200"/>
    </w:pPr>
    <w:rPr>
      <w:kern w:val="0"/>
      <w:sz w:val="24"/>
      <w:szCs w:val="20"/>
    </w:rPr>
  </w:style>
  <w:style w:type="paragraph" w:styleId="11">
    <w:name w:val="Body Text Indent 2"/>
    <w:basedOn w:val="1"/>
    <w:next w:val="12"/>
    <w:qFormat/>
    <w:locked/>
    <w:uiPriority w:val="99"/>
    <w:pPr>
      <w:spacing w:line="360" w:lineRule="auto"/>
      <w:ind w:left="560"/>
    </w:pPr>
  </w:style>
  <w:style w:type="paragraph" w:styleId="12">
    <w:name w:val="Body Text First Indent 2"/>
    <w:basedOn w:val="10"/>
    <w:next w:val="1"/>
    <w:unhideWhenUsed/>
    <w:qFormat/>
    <w:locked/>
    <w:uiPriority w:val="0"/>
    <w:pPr>
      <w:ind w:firstLine="420" w:firstLineChars="200"/>
    </w:pPr>
    <w:rPr>
      <w:kern w:val="2"/>
      <w:sz w:val="28"/>
    </w:rPr>
  </w:style>
  <w:style w:type="paragraph" w:styleId="13">
    <w:name w:val="Block Text"/>
    <w:basedOn w:val="1"/>
    <w:qFormat/>
    <w:locked/>
    <w:uiPriority w:val="0"/>
    <w:pPr>
      <w:adjustRightInd w:val="0"/>
      <w:snapToGrid w:val="0"/>
      <w:spacing w:line="300" w:lineRule="atLeast"/>
      <w:ind w:left="420" w:leftChars="200" w:right="-336" w:rightChars="-160"/>
    </w:pPr>
  </w:style>
  <w:style w:type="paragraph" w:styleId="14">
    <w:name w:val="Plain Text"/>
    <w:basedOn w:val="1"/>
    <w:qFormat/>
    <w:locked/>
    <w:uiPriority w:val="0"/>
    <w:rPr>
      <w:rFonts w:ascii="宋体" w:hAnsi="Courier New" w:cs="Courier New"/>
      <w:szCs w:val="21"/>
    </w:rPr>
  </w:style>
  <w:style w:type="paragraph" w:styleId="15">
    <w:name w:val="List Bullet 5"/>
    <w:basedOn w:val="1"/>
    <w:qFormat/>
    <w:locked/>
    <w:uiPriority w:val="0"/>
    <w:pPr>
      <w:numPr>
        <w:ilvl w:val="0"/>
        <w:numId w:val="1"/>
      </w:numPr>
    </w:pPr>
  </w:style>
  <w:style w:type="paragraph" w:styleId="16">
    <w:name w:val="Date"/>
    <w:basedOn w:val="1"/>
    <w:next w:val="1"/>
    <w:link w:val="45"/>
    <w:qFormat/>
    <w:uiPriority w:val="0"/>
    <w:pPr>
      <w:ind w:left="100" w:leftChars="2500"/>
    </w:pPr>
    <w:rPr>
      <w:kern w:val="0"/>
      <w:sz w:val="24"/>
      <w:szCs w:val="20"/>
    </w:rPr>
  </w:style>
  <w:style w:type="paragraph" w:styleId="17">
    <w:name w:val="Balloon Text"/>
    <w:basedOn w:val="1"/>
    <w:link w:val="46"/>
    <w:semiHidden/>
    <w:qFormat/>
    <w:uiPriority w:val="0"/>
    <w:rPr>
      <w:kern w:val="0"/>
      <w:sz w:val="18"/>
      <w:szCs w:val="20"/>
    </w:rPr>
  </w:style>
  <w:style w:type="paragraph" w:styleId="18">
    <w:name w:val="footer"/>
    <w:basedOn w:val="1"/>
    <w:link w:val="47"/>
    <w:qFormat/>
    <w:uiPriority w:val="99"/>
    <w:pPr>
      <w:tabs>
        <w:tab w:val="center" w:pos="4153"/>
        <w:tab w:val="right" w:pos="8306"/>
      </w:tabs>
      <w:snapToGrid w:val="0"/>
      <w:jc w:val="left"/>
    </w:pPr>
    <w:rPr>
      <w:kern w:val="0"/>
      <w:sz w:val="18"/>
      <w:szCs w:val="20"/>
    </w:rPr>
  </w:style>
  <w:style w:type="paragraph" w:styleId="19">
    <w:name w:val="header"/>
    <w:basedOn w:val="1"/>
    <w:next w:val="20"/>
    <w:link w:val="48"/>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20">
    <w:name w:val="样式5"/>
    <w:basedOn w:val="21"/>
    <w:next w:val="1"/>
    <w:qFormat/>
    <w:uiPriority w:val="0"/>
    <w:pPr>
      <w:spacing w:before="120" w:after="120" w:line="400" w:lineRule="exact"/>
      <w:ind w:firstLine="480"/>
    </w:pPr>
    <w:rPr>
      <w:iCs/>
    </w:rPr>
  </w:style>
  <w:style w:type="paragraph" w:customStyle="1" w:styleId="21">
    <w:name w:val="样式3"/>
    <w:basedOn w:val="22"/>
    <w:qFormat/>
    <w:uiPriority w:val="0"/>
    <w:pPr>
      <w:keepNext/>
      <w:spacing w:after="60" w:line="600" w:lineRule="exact"/>
      <w:ind w:right="-193" w:firstLine="624"/>
      <w:jc w:val="center"/>
    </w:pPr>
    <w:rPr>
      <w:spacing w:val="10"/>
    </w:rPr>
  </w:style>
  <w:style w:type="paragraph" w:styleId="22">
    <w:name w:val="List"/>
    <w:basedOn w:val="1"/>
    <w:qFormat/>
    <w:locked/>
    <w:uiPriority w:val="0"/>
    <w:pPr>
      <w:spacing w:before="60" w:after="240" w:line="240" w:lineRule="atLeast"/>
      <w:ind w:left="360" w:hanging="360"/>
      <w:textAlignment w:val="baseline"/>
    </w:pPr>
    <w:rPr>
      <w:b/>
      <w:spacing w:val="20"/>
      <w:kern w:val="0"/>
      <w:sz w:val="28"/>
      <w:szCs w:val="20"/>
    </w:rPr>
  </w:style>
  <w:style w:type="paragraph" w:styleId="23">
    <w:name w:val="Body Text Indent 3"/>
    <w:basedOn w:val="1"/>
    <w:unhideWhenUsed/>
    <w:qFormat/>
    <w:locked/>
    <w:uiPriority w:val="0"/>
    <w:pPr>
      <w:spacing w:after="120"/>
      <w:ind w:left="420" w:leftChars="200"/>
    </w:pPr>
    <w:rPr>
      <w:sz w:val="16"/>
    </w:rPr>
  </w:style>
  <w:style w:type="paragraph" w:styleId="24">
    <w:name w:val="table of figures"/>
    <w:basedOn w:val="1"/>
    <w:next w:val="1"/>
    <w:qFormat/>
    <w:locked/>
    <w:uiPriority w:val="0"/>
    <w:pPr>
      <w:ind w:left="200" w:leftChars="200" w:hanging="200" w:hangingChars="200"/>
    </w:pPr>
  </w:style>
  <w:style w:type="paragraph" w:styleId="25">
    <w:name w:val="Normal (Web)"/>
    <w:basedOn w:val="1"/>
    <w:link w:val="49"/>
    <w:qFormat/>
    <w:uiPriority w:val="0"/>
    <w:pPr>
      <w:widowControl/>
      <w:spacing w:before="100" w:beforeAutospacing="1" w:after="100" w:afterAutospacing="1"/>
      <w:jc w:val="left"/>
    </w:pPr>
    <w:rPr>
      <w:rFonts w:ascii="宋体" w:hAnsi="宋体"/>
      <w:kern w:val="0"/>
      <w:sz w:val="24"/>
      <w:szCs w:val="20"/>
    </w:rPr>
  </w:style>
  <w:style w:type="paragraph" w:styleId="26">
    <w:name w:val="annotation subject"/>
    <w:basedOn w:val="8"/>
    <w:next w:val="8"/>
    <w:link w:val="50"/>
    <w:semiHidden/>
    <w:qFormat/>
    <w:uiPriority w:val="0"/>
    <w:rPr>
      <w:b/>
    </w:rPr>
  </w:style>
  <w:style w:type="paragraph" w:styleId="27">
    <w:name w:val="Body Text First Indent"/>
    <w:basedOn w:val="9"/>
    <w:next w:val="1"/>
    <w:qFormat/>
    <w:locked/>
    <w:uiPriority w:val="0"/>
    <w:pPr>
      <w:ind w:firstLine="420" w:firstLineChars="100"/>
    </w:pPr>
  </w:style>
  <w:style w:type="table" w:styleId="29">
    <w:name w:val="Table Grid"/>
    <w:basedOn w:val="2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qFormat/>
    <w:locked/>
    <w:uiPriority w:val="0"/>
    <w:rPr>
      <w:b/>
    </w:rPr>
  </w:style>
  <w:style w:type="character" w:styleId="32">
    <w:name w:val="page number"/>
    <w:qFormat/>
    <w:locked/>
    <w:uiPriority w:val="0"/>
  </w:style>
  <w:style w:type="character" w:styleId="33">
    <w:name w:val="Emphasis"/>
    <w:qFormat/>
    <w:locked/>
    <w:uiPriority w:val="0"/>
    <w:rPr>
      <w:i/>
    </w:rPr>
  </w:style>
  <w:style w:type="character" w:styleId="34">
    <w:name w:val="Hyperlink"/>
    <w:qFormat/>
    <w:locked/>
    <w:uiPriority w:val="0"/>
    <w:rPr>
      <w:color w:val="0000FF"/>
      <w:u w:val="single"/>
    </w:rPr>
  </w:style>
  <w:style w:type="character" w:styleId="35">
    <w:name w:val="annotation reference"/>
    <w:semiHidden/>
    <w:qFormat/>
    <w:uiPriority w:val="0"/>
    <w:rPr>
      <w:sz w:val="21"/>
    </w:rPr>
  </w:style>
  <w:style w:type="paragraph" w:customStyle="1" w:styleId="36">
    <w:name w:val="表格"/>
    <w:basedOn w:val="1"/>
    <w:next w:val="1"/>
    <w:link w:val="41"/>
    <w:qFormat/>
    <w:uiPriority w:val="0"/>
    <w:pPr>
      <w:adjustRightInd w:val="0"/>
      <w:snapToGrid w:val="0"/>
      <w:spacing w:beforeLines="10" w:afterLines="10" w:line="259" w:lineRule="auto"/>
      <w:jc w:val="center"/>
    </w:pPr>
    <w:rPr>
      <w:rFonts w:ascii="宋体"/>
      <w:kern w:val="0"/>
      <w:szCs w:val="20"/>
    </w:rPr>
  </w:style>
  <w:style w:type="paragraph" w:customStyle="1" w:styleId="37">
    <w:name w:val="Default"/>
    <w:basedOn w:val="38"/>
    <w:qFormat/>
    <w:uiPriority w:val="0"/>
    <w:rPr>
      <w:rFonts w:cs="宋体"/>
      <w:color w:val="000000"/>
      <w:sz w:val="24"/>
      <w:szCs w:val="24"/>
    </w:rPr>
  </w:style>
  <w:style w:type="paragraph" w:customStyle="1" w:styleId="38">
    <w:name w:val="纯文本1"/>
    <w:basedOn w:val="1"/>
    <w:qFormat/>
    <w:uiPriority w:val="99"/>
    <w:pPr>
      <w:autoSpaceDE w:val="0"/>
      <w:autoSpaceDN w:val="0"/>
      <w:adjustRightInd w:val="0"/>
      <w:textAlignment w:val="baseline"/>
    </w:pPr>
    <w:rPr>
      <w:rFonts w:ascii="宋体"/>
      <w:szCs w:val="20"/>
    </w:rPr>
  </w:style>
  <w:style w:type="paragraph" w:customStyle="1" w:styleId="39">
    <w:name w:val="样式1"/>
    <w:basedOn w:val="1"/>
    <w:qFormat/>
    <w:uiPriority w:val="0"/>
    <w:pPr>
      <w:spacing w:after="40" w:line="300" w:lineRule="atLeast"/>
      <w:jc w:val="center"/>
      <w:outlineLvl w:val="2"/>
    </w:pPr>
    <w:rPr>
      <w:rFonts w:eastAsia="楷体_GB2312"/>
    </w:rPr>
  </w:style>
  <w:style w:type="paragraph" w:customStyle="1" w:styleId="40">
    <w:name w:val="图表标题"/>
    <w:basedOn w:val="1"/>
    <w:qFormat/>
    <w:uiPriority w:val="0"/>
    <w:pPr>
      <w:spacing w:before="50" w:beforeLines="50" w:line="360" w:lineRule="auto"/>
      <w:jc w:val="center"/>
    </w:pPr>
    <w:rPr>
      <w:rFonts w:eastAsia="黑体"/>
      <w:sz w:val="24"/>
      <w:szCs w:val="22"/>
    </w:rPr>
  </w:style>
  <w:style w:type="character" w:customStyle="1" w:styleId="41">
    <w:name w:val="表格 Char"/>
    <w:link w:val="36"/>
    <w:qFormat/>
    <w:locked/>
    <w:uiPriority w:val="0"/>
    <w:rPr>
      <w:rFonts w:ascii="宋体"/>
      <w:sz w:val="21"/>
    </w:rPr>
  </w:style>
  <w:style w:type="character" w:customStyle="1" w:styleId="42">
    <w:name w:val="批注文字 Char"/>
    <w:link w:val="8"/>
    <w:qFormat/>
    <w:locked/>
    <w:uiPriority w:val="0"/>
    <w:rPr>
      <w:rFonts w:ascii="Times New Roman" w:hAnsi="Times New Roman" w:eastAsia="宋体"/>
      <w:sz w:val="24"/>
    </w:rPr>
  </w:style>
  <w:style w:type="character" w:customStyle="1" w:styleId="43">
    <w:name w:val="正文文本 Char"/>
    <w:link w:val="9"/>
    <w:qFormat/>
    <w:locked/>
    <w:uiPriority w:val="0"/>
    <w:rPr>
      <w:sz w:val="18"/>
    </w:rPr>
  </w:style>
  <w:style w:type="character" w:customStyle="1" w:styleId="44">
    <w:name w:val="正文文本缩进 Char"/>
    <w:link w:val="10"/>
    <w:semiHidden/>
    <w:qFormat/>
    <w:locked/>
    <w:uiPriority w:val="0"/>
    <w:rPr>
      <w:rFonts w:ascii="Times New Roman" w:hAnsi="Times New Roman" w:eastAsia="宋体"/>
      <w:sz w:val="24"/>
    </w:rPr>
  </w:style>
  <w:style w:type="character" w:customStyle="1" w:styleId="45">
    <w:name w:val="日期 Char"/>
    <w:link w:val="16"/>
    <w:qFormat/>
    <w:locked/>
    <w:uiPriority w:val="0"/>
    <w:rPr>
      <w:rFonts w:ascii="Times New Roman" w:hAnsi="Times New Roman" w:eastAsia="宋体"/>
      <w:sz w:val="24"/>
    </w:rPr>
  </w:style>
  <w:style w:type="character" w:customStyle="1" w:styleId="46">
    <w:name w:val="批注框文本 Char"/>
    <w:link w:val="17"/>
    <w:semiHidden/>
    <w:qFormat/>
    <w:locked/>
    <w:uiPriority w:val="0"/>
    <w:rPr>
      <w:rFonts w:ascii="Times New Roman" w:hAnsi="Times New Roman" w:eastAsia="宋体"/>
      <w:sz w:val="18"/>
    </w:rPr>
  </w:style>
  <w:style w:type="character" w:customStyle="1" w:styleId="47">
    <w:name w:val="页脚 Char"/>
    <w:link w:val="18"/>
    <w:qFormat/>
    <w:locked/>
    <w:uiPriority w:val="99"/>
    <w:rPr>
      <w:sz w:val="18"/>
    </w:rPr>
  </w:style>
  <w:style w:type="character" w:customStyle="1" w:styleId="48">
    <w:name w:val="页眉 Char"/>
    <w:link w:val="19"/>
    <w:qFormat/>
    <w:locked/>
    <w:uiPriority w:val="0"/>
    <w:rPr>
      <w:sz w:val="18"/>
    </w:rPr>
  </w:style>
  <w:style w:type="character" w:customStyle="1" w:styleId="49">
    <w:name w:val="普通(网站) Char"/>
    <w:link w:val="25"/>
    <w:qFormat/>
    <w:locked/>
    <w:uiPriority w:val="0"/>
    <w:rPr>
      <w:rFonts w:ascii="宋体" w:hAnsi="宋体" w:eastAsia="宋体"/>
      <w:sz w:val="24"/>
    </w:rPr>
  </w:style>
  <w:style w:type="character" w:customStyle="1" w:styleId="50">
    <w:name w:val="批注主题 Char"/>
    <w:link w:val="26"/>
    <w:semiHidden/>
    <w:qFormat/>
    <w:locked/>
    <w:uiPriority w:val="0"/>
    <w:rPr>
      <w:rFonts w:ascii="Times New Roman" w:hAnsi="Times New Roman" w:eastAsia="宋体"/>
      <w:b/>
      <w:kern w:val="2"/>
      <w:sz w:val="24"/>
    </w:rPr>
  </w:style>
  <w:style w:type="paragraph" w:customStyle="1" w:styleId="51">
    <w:name w:val="Default1"/>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2">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53">
    <w:name w:val="样式 标题 1一级标题 + 段前: 0.5 行 段后: 0.5 行"/>
    <w:basedOn w:val="3"/>
    <w:qFormat/>
    <w:uiPriority w:val="99"/>
    <w:pPr>
      <w:spacing w:line="320" w:lineRule="exact"/>
      <w:outlineLvl w:val="9"/>
    </w:pPr>
    <w:rPr>
      <w:spacing w:val="-6"/>
      <w:sz w:val="21"/>
      <w:szCs w:val="21"/>
    </w:rPr>
  </w:style>
  <w:style w:type="character" w:customStyle="1" w:styleId="54">
    <w:name w:val="批注文字 字符1"/>
    <w:semiHidden/>
    <w:qFormat/>
    <w:uiPriority w:val="0"/>
    <w:rPr>
      <w:rFonts w:ascii="Times New Roman" w:hAnsi="Times New Roman" w:eastAsia="宋体"/>
      <w:sz w:val="24"/>
    </w:rPr>
  </w:style>
  <w:style w:type="character" w:customStyle="1" w:styleId="55">
    <w:name w:val="页脚 字符"/>
    <w:qFormat/>
    <w:uiPriority w:val="99"/>
  </w:style>
  <w:style w:type="character" w:customStyle="1" w:styleId="56">
    <w:name w:val="正文文本 字符1"/>
    <w:semiHidden/>
    <w:qFormat/>
    <w:uiPriority w:val="0"/>
    <w:rPr>
      <w:rFonts w:ascii="Times New Roman" w:hAnsi="Times New Roman" w:eastAsia="宋体"/>
      <w:sz w:val="24"/>
    </w:rPr>
  </w:style>
  <w:style w:type="character" w:customStyle="1" w:styleId="57">
    <w:name w:val="日期 字符"/>
    <w:semiHidden/>
    <w:qFormat/>
    <w:uiPriority w:val="0"/>
    <w:rPr>
      <w:rFonts w:ascii="Times New Roman" w:hAnsi="Times New Roman" w:eastAsia="宋体"/>
      <w:sz w:val="24"/>
    </w:rPr>
  </w:style>
  <w:style w:type="paragraph" w:customStyle="1" w:styleId="58">
    <w:name w:val="表格文字"/>
    <w:basedOn w:val="1"/>
    <w:qFormat/>
    <w:uiPriority w:val="0"/>
    <w:pPr>
      <w:jc w:val="center"/>
    </w:pPr>
    <w:rPr>
      <w:rFonts w:ascii="仿宋_GB2312" w:hAnsi="Arial Black" w:eastAsia="仿宋_GB2312"/>
      <w:kern w:val="44"/>
      <w:sz w:val="24"/>
    </w:rPr>
  </w:style>
  <w:style w:type="paragraph" w:customStyle="1" w:styleId="59">
    <w:name w:val="正文缩进1"/>
    <w:basedOn w:val="1"/>
    <w:qFormat/>
    <w:uiPriority w:val="99"/>
    <w:pPr>
      <w:ind w:firstLine="200" w:firstLineChars="200"/>
    </w:pPr>
    <w:rPr>
      <w:rFonts w:eastAsia="楷体_GB2312"/>
    </w:rPr>
  </w:style>
  <w:style w:type="paragraph" w:customStyle="1" w:styleId="60">
    <w:name w:val="惠泽正文"/>
    <w:basedOn w:val="1"/>
    <w:qFormat/>
    <w:uiPriority w:val="0"/>
    <w:pPr>
      <w:spacing w:line="480" w:lineRule="exact"/>
      <w:ind w:firstLine="480" w:firstLineChars="200"/>
    </w:pPr>
    <w:rPr>
      <w:rFonts w:hAnsi="宋体" w:cs="宋体"/>
      <w:sz w:val="24"/>
      <w:szCs w:val="20"/>
    </w:rPr>
  </w:style>
  <w:style w:type="paragraph" w:customStyle="1" w:styleId="61">
    <w:name w:val="标准段落"/>
    <w:basedOn w:val="1"/>
    <w:next w:val="1"/>
    <w:qFormat/>
    <w:uiPriority w:val="0"/>
    <w:pPr>
      <w:spacing w:line="360" w:lineRule="auto"/>
      <w:ind w:firstLine="480" w:firstLineChars="200"/>
    </w:pPr>
    <w:rPr>
      <w:kern w:val="0"/>
      <w:sz w:val="24"/>
    </w:rPr>
  </w:style>
  <w:style w:type="paragraph" w:customStyle="1" w:styleId="62">
    <w:name w:val="报告表正文"/>
    <w:basedOn w:val="1"/>
    <w:qFormat/>
    <w:uiPriority w:val="99"/>
    <w:pPr>
      <w:adjustRightInd w:val="0"/>
      <w:spacing w:line="312" w:lineRule="auto"/>
      <w:ind w:left="113" w:right="113" w:firstLine="482"/>
      <w:jc w:val="left"/>
    </w:pPr>
    <w:rPr>
      <w:kern w:val="0"/>
      <w:sz w:val="24"/>
      <w:szCs w:val="21"/>
    </w:rPr>
  </w:style>
  <w:style w:type="paragraph" w:customStyle="1" w:styleId="63">
    <w:name w:val="应填表格"/>
    <w:basedOn w:val="1"/>
    <w:qFormat/>
    <w:uiPriority w:val="0"/>
    <w:pPr>
      <w:adjustRightInd w:val="0"/>
      <w:spacing w:before="40" w:after="40"/>
      <w:jc w:val="left"/>
      <w:textAlignment w:val="baseline"/>
    </w:pPr>
    <w:rPr>
      <w:kern w:val="0"/>
      <w:sz w:val="24"/>
      <w:szCs w:val="20"/>
    </w:rPr>
  </w:style>
  <w:style w:type="paragraph" w:customStyle="1" w:styleId="64">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5">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6">
    <w:name w:val="小四正文格式"/>
    <w:basedOn w:val="1"/>
    <w:qFormat/>
    <w:uiPriority w:val="0"/>
    <w:pPr>
      <w:spacing w:line="360" w:lineRule="auto"/>
      <w:ind w:firstLine="200" w:firstLineChars="200"/>
    </w:pPr>
    <w:rPr>
      <w:rFonts w:ascii="宋体" w:hAnsi="宋体"/>
      <w:sz w:val="24"/>
    </w:rPr>
  </w:style>
  <w:style w:type="paragraph" w:customStyle="1" w:styleId="67">
    <w:name w:val="图表文字"/>
    <w:qFormat/>
    <w:uiPriority w:val="0"/>
    <w:pPr>
      <w:adjustRightInd w:val="0"/>
      <w:snapToGrid w:val="0"/>
      <w:jc w:val="center"/>
    </w:pPr>
    <w:rPr>
      <w:rFonts w:ascii="Times New Roman" w:hAnsi="Times New Roman" w:eastAsia="宋体" w:cs="Times New Roman"/>
      <w:kern w:val="2"/>
      <w:sz w:val="21"/>
      <w:szCs w:val="21"/>
      <w:lang w:val="en-US" w:eastAsia="zh-CN" w:bidi="ar-SA"/>
    </w:rPr>
  </w:style>
  <w:style w:type="paragraph" w:customStyle="1" w:styleId="68">
    <w:name w:val="0正文"/>
    <w:basedOn w:val="1"/>
    <w:qFormat/>
    <w:uiPriority w:val="0"/>
    <w:pPr>
      <w:ind w:firstLine="480"/>
    </w:pPr>
    <w:rPr>
      <w:color w:val="0000FF"/>
      <w:kern w:val="0"/>
    </w:rPr>
  </w:style>
  <w:style w:type="paragraph" w:customStyle="1" w:styleId="69">
    <w:name w:val="报告表格"/>
    <w:qFormat/>
    <w:uiPriority w:val="0"/>
    <w:pPr>
      <w:autoSpaceDE w:val="0"/>
      <w:autoSpaceDN w:val="0"/>
      <w:adjustRightInd w:val="0"/>
      <w:jc w:val="center"/>
      <w:textAlignment w:val="bottom"/>
    </w:pPr>
    <w:rPr>
      <w:rFonts w:ascii="Times New Roman" w:hAnsi="Times New Roman" w:eastAsia="宋体" w:cs="Times New Roman"/>
      <w:sz w:val="21"/>
      <w:lang w:val="en-US" w:eastAsia="zh-CN" w:bidi="ar-SA"/>
    </w:rPr>
  </w:style>
  <w:style w:type="paragraph" w:customStyle="1" w:styleId="70">
    <w:name w:val="22222"/>
    <w:basedOn w:val="1"/>
    <w:qFormat/>
    <w:uiPriority w:val="0"/>
    <w:pPr>
      <w:spacing w:line="480" w:lineRule="exact"/>
      <w:ind w:firstLine="480" w:firstLineChars="200"/>
    </w:pPr>
    <w:rPr>
      <w:rFonts w:hAnsi="宋体"/>
      <w:sz w:val="24"/>
    </w:rPr>
  </w:style>
  <w:style w:type="paragraph" w:customStyle="1" w:styleId="71">
    <w:name w:val="Normal (Web)1"/>
    <w:basedOn w:val="1"/>
    <w:next w:val="72"/>
    <w:qFormat/>
    <w:uiPriority w:val="0"/>
    <w:pPr>
      <w:widowControl/>
      <w:kinsoku w:val="0"/>
      <w:autoSpaceDE w:val="0"/>
      <w:autoSpaceDN w:val="0"/>
      <w:adjustRightInd w:val="0"/>
      <w:snapToGrid w:val="0"/>
      <w:jc w:val="left"/>
      <w:textAlignment w:val="baseline"/>
    </w:pPr>
    <w:rPr>
      <w:rFonts w:hAnsi="Arial" w:cs="Arial"/>
      <w:snapToGrid w:val="0"/>
      <w:color w:val="000000"/>
      <w:kern w:val="0"/>
      <w:sz w:val="24"/>
      <w:szCs w:val="21"/>
    </w:rPr>
  </w:style>
  <w:style w:type="paragraph" w:customStyle="1" w:styleId="72">
    <w:name w:val="Date1"/>
    <w:basedOn w:val="1"/>
    <w:next w:val="1"/>
    <w:qFormat/>
    <w:uiPriority w:val="0"/>
    <w:pPr>
      <w:widowControl/>
      <w:kinsoku w:val="0"/>
      <w:autoSpaceDE w:val="0"/>
      <w:autoSpaceDN w:val="0"/>
      <w:adjustRightInd w:val="0"/>
      <w:snapToGrid w:val="0"/>
      <w:ind w:left="2500" w:leftChars="2500"/>
      <w:jc w:val="left"/>
      <w:textAlignment w:val="baseline"/>
    </w:pPr>
    <w:rPr>
      <w:rFonts w:ascii="Arial" w:hAnsi="Arial" w:eastAsia="Arial" w:cs="Arial"/>
      <w:snapToGrid w:val="0"/>
      <w:color w:val="000000"/>
      <w:kern w:val="0"/>
      <w:szCs w:val="21"/>
    </w:rPr>
  </w:style>
  <w:style w:type="paragraph" w:customStyle="1" w:styleId="73">
    <w:name w:val="Char"/>
    <w:basedOn w:val="1"/>
    <w:qFormat/>
    <w:uiPriority w:val="0"/>
  </w:style>
  <w:style w:type="paragraph" w:customStyle="1" w:styleId="74">
    <w:name w:val="样式 正文文本缩进 + 行距: 1.5 倍行距"/>
    <w:basedOn w:val="75"/>
    <w:next w:val="19"/>
    <w:qFormat/>
    <w:uiPriority w:val="0"/>
    <w:pPr>
      <w:spacing w:line="360" w:lineRule="auto"/>
      <w:ind w:left="90" w:leftChars="32" w:firstLine="560" w:firstLineChars="200"/>
    </w:pPr>
    <w:rPr>
      <w:rFonts w:cs="宋体"/>
    </w:rPr>
  </w:style>
  <w:style w:type="paragraph" w:customStyle="1" w:styleId="75">
    <w:name w:val="正文文本缩进1"/>
    <w:basedOn w:val="1"/>
    <w:next w:val="74"/>
    <w:qFormat/>
    <w:uiPriority w:val="0"/>
    <w:pPr>
      <w:spacing w:after="120"/>
      <w:ind w:left="420" w:leftChars="200"/>
    </w:pPr>
    <w:rPr>
      <w:sz w:val="24"/>
    </w:rPr>
  </w:style>
  <w:style w:type="paragraph" w:customStyle="1" w:styleId="76">
    <w:name w:val="p0"/>
    <w:basedOn w:val="1"/>
    <w:qFormat/>
    <w:uiPriority w:val="0"/>
    <w:pPr>
      <w:widowControl/>
    </w:pPr>
    <w:rPr>
      <w:kern w:val="0"/>
      <w:szCs w:val="21"/>
    </w:rPr>
  </w:style>
  <w:style w:type="paragraph" w:customStyle="1" w:styleId="77">
    <w:name w:val="君邦正文"/>
    <w:qFormat/>
    <w:uiPriority w:val="0"/>
    <w:pPr>
      <w:spacing w:after="60" w:line="360" w:lineRule="auto"/>
      <w:ind w:firstLine="480" w:firstLineChars="200"/>
      <w:jc w:val="both"/>
    </w:pPr>
    <w:rPr>
      <w:rFonts w:ascii="Times New Roman" w:hAnsi="Times New Roman" w:eastAsia="宋体" w:cs="Times New Roman"/>
      <w:bCs/>
      <w:snapToGrid w:val="0"/>
      <w:sz w:val="24"/>
      <w:lang w:val="en-US" w:eastAsia="zh-CN" w:bidi="ar-SA"/>
    </w:rPr>
  </w:style>
  <w:style w:type="paragraph" w:customStyle="1" w:styleId="78">
    <w:name w:val="Table Paragraph"/>
    <w:basedOn w:val="1"/>
    <w:qFormat/>
    <w:uiPriority w:val="0"/>
    <w:pPr>
      <w:widowControl/>
      <w:jc w:val="left"/>
    </w:pPr>
    <w:rPr>
      <w:rFonts w:ascii="Calibri" w:hAnsi="Calibri"/>
      <w:kern w:val="0"/>
      <w:sz w:val="22"/>
      <w:szCs w:val="22"/>
    </w:rPr>
  </w:style>
  <w:style w:type="table" w:customStyle="1" w:styleId="79">
    <w:name w:val="Table Normal"/>
    <w:unhideWhenUsed/>
    <w:qFormat/>
    <w:uiPriority w:val="0"/>
    <w:tblPr>
      <w:tblCellMar>
        <w:top w:w="0" w:type="dxa"/>
        <w:left w:w="0" w:type="dxa"/>
        <w:bottom w:w="0" w:type="dxa"/>
        <w:right w:w="0" w:type="dxa"/>
      </w:tblCellMar>
    </w:tblPr>
  </w:style>
  <w:style w:type="paragraph" w:customStyle="1" w:styleId="80">
    <w:name w:val="表格文字2"/>
    <w:basedOn w:val="1"/>
    <w:qFormat/>
    <w:uiPriority w:val="0"/>
    <w:pPr>
      <w:tabs>
        <w:tab w:val="left" w:pos="277"/>
        <w:tab w:val="left" w:pos="600"/>
        <w:tab w:val="left" w:pos="780"/>
        <w:tab w:val="left" w:pos="2517"/>
      </w:tabs>
      <w:adjustRightInd w:val="0"/>
      <w:snapToGrid w:val="0"/>
      <w:jc w:val="center"/>
      <w:textAlignment w:val="baseline"/>
    </w:pPr>
    <w:rPr>
      <w:kern w:val="0"/>
      <w:szCs w:val="21"/>
    </w:rPr>
  </w:style>
  <w:style w:type="paragraph" w:customStyle="1" w:styleId="81">
    <w:name w:val="Table Text"/>
    <w:basedOn w:val="1"/>
    <w:semiHidden/>
    <w:qFormat/>
    <w:uiPriority w:val="0"/>
    <w:rPr>
      <w:rFonts w:ascii="宋体" w:hAnsi="宋体" w:cs="宋体"/>
      <w:sz w:val="20"/>
      <w:szCs w:val="20"/>
      <w:lang w:eastAsia="en-US"/>
    </w:rPr>
  </w:style>
  <w:style w:type="paragraph" w:customStyle="1" w:styleId="82">
    <w:name w:val="首行缩进"/>
    <w:basedOn w:val="1"/>
    <w:qFormat/>
    <w:uiPriority w:val="0"/>
    <w:pPr>
      <w:adjustRightInd w:val="0"/>
      <w:snapToGrid w:val="0"/>
      <w:ind w:firstLine="480"/>
    </w:pPr>
  </w:style>
  <w:style w:type="paragraph" w:customStyle="1" w:styleId="83">
    <w:name w:val="惠泽表格"/>
    <w:basedOn w:val="1"/>
    <w:qFormat/>
    <w:uiPriority w:val="0"/>
    <w:pPr>
      <w:spacing w:line="480" w:lineRule="exact"/>
      <w:jc w:val="center"/>
    </w:pPr>
    <w:rPr>
      <w:rFonts w:ascii="黑体" w:hAnsi="黑体" w:eastAsia="黑体" w:cs="宋体"/>
      <w:sz w:val="24"/>
      <w:szCs w:val="20"/>
    </w:rPr>
  </w:style>
  <w:style w:type="paragraph" w:customStyle="1" w:styleId="84">
    <w:name w:val="样式 样式 样式 首行缩进:  1 字符 + 首行缩进:  2 字符2 + 首行缩进:  2 字符"/>
    <w:basedOn w:val="1"/>
    <w:qFormat/>
    <w:uiPriority w:val="99"/>
    <w:pPr>
      <w:spacing w:line="360" w:lineRule="auto"/>
      <w:ind w:firstLine="480" w:firstLineChars="200"/>
    </w:pPr>
    <w:rPr>
      <w:rFonts w:ascii="宋体" w:hAnsi="宋体" w:cs="宋体"/>
      <w:sz w:val="24"/>
    </w:rPr>
  </w:style>
  <w:style w:type="paragraph" w:customStyle="1" w:styleId="85">
    <w:name w:val="报告书正文"/>
    <w:basedOn w:val="1"/>
    <w:qFormat/>
    <w:uiPriority w:val="0"/>
    <w:pPr>
      <w:spacing w:line="300" w:lineRule="auto"/>
      <w:ind w:firstLine="480"/>
    </w:pPr>
  </w:style>
  <w:style w:type="character" w:customStyle="1" w:styleId="86">
    <w:name w:val="font101"/>
    <w:basedOn w:val="30"/>
    <w:qFormat/>
    <w:uiPriority w:val="0"/>
    <w:rPr>
      <w:rFonts w:ascii="Calibri" w:hAnsi="Calibri" w:cs="Calibri"/>
      <w:color w:val="000000"/>
      <w:sz w:val="20"/>
      <w:szCs w:val="20"/>
      <w:u w:val="none"/>
    </w:rPr>
  </w:style>
  <w:style w:type="character" w:customStyle="1" w:styleId="87">
    <w:name w:val="font112"/>
    <w:basedOn w:val="30"/>
    <w:qFormat/>
    <w:uiPriority w:val="0"/>
    <w:rPr>
      <w:rFonts w:hint="eastAsia" w:ascii="宋体" w:hAnsi="宋体" w:eastAsia="宋体" w:cs="宋体"/>
      <w:color w:val="000000"/>
      <w:sz w:val="20"/>
      <w:szCs w:val="20"/>
      <w:u w:val="none"/>
    </w:rPr>
  </w:style>
  <w:style w:type="character" w:customStyle="1" w:styleId="88">
    <w:name w:val="font121"/>
    <w:basedOn w:val="30"/>
    <w:qFormat/>
    <w:uiPriority w:val="0"/>
    <w:rPr>
      <w:rFonts w:hint="eastAsia" w:ascii="宋体" w:hAnsi="宋体" w:eastAsia="宋体" w:cs="宋体"/>
      <w:color w:val="000000"/>
      <w:sz w:val="22"/>
      <w:szCs w:val="22"/>
      <w:u w:val="none"/>
    </w:rPr>
  </w:style>
  <w:style w:type="character" w:customStyle="1" w:styleId="89">
    <w:name w:val="font131"/>
    <w:basedOn w:val="30"/>
    <w:qFormat/>
    <w:uiPriority w:val="0"/>
    <w:rPr>
      <w:rFonts w:hint="eastAsia" w:ascii="宋体" w:hAnsi="宋体" w:eastAsia="宋体" w:cs="宋体"/>
      <w:color w:val="000000"/>
      <w:sz w:val="22"/>
      <w:szCs w:val="22"/>
      <w:u w:val="none"/>
    </w:rPr>
  </w:style>
  <w:style w:type="character" w:customStyle="1" w:styleId="90">
    <w:name w:val="fontstyle01"/>
    <w:basedOn w:val="30"/>
    <w:qFormat/>
    <w:uiPriority w:val="0"/>
    <w:rPr>
      <w:rFonts w:hint="eastAsia" w:ascii="宋体" w:hAnsi="宋体" w:eastAsia="宋体"/>
      <w:color w:val="000000"/>
      <w:sz w:val="22"/>
      <w:szCs w:val="22"/>
    </w:rPr>
  </w:style>
  <w:style w:type="paragraph" w:customStyle="1" w:styleId="91">
    <w:name w:val="表格表头"/>
    <w:basedOn w:val="1"/>
    <w:qFormat/>
    <w:uiPriority w:val="0"/>
    <w:pPr>
      <w:spacing w:line="240" w:lineRule="auto"/>
      <w:ind w:firstLine="420" w:firstLineChars="200"/>
      <w:jc w:val="center"/>
    </w:pPr>
    <w:rPr>
      <w:rFonts w:hint="eastAsia" w:ascii="Times New Roman" w:hAnsi="Times New Roman" w:eastAsia="宋体"/>
      <w:b/>
      <w:color w:val="000000"/>
      <w:szCs w:val="18"/>
    </w:rPr>
  </w:style>
  <w:style w:type="paragraph" w:customStyle="1" w:styleId="92">
    <w:name w:val="表头111"/>
    <w:basedOn w:val="1"/>
    <w:qFormat/>
    <w:uiPriority w:val="0"/>
    <w:pPr>
      <w:numPr>
        <w:ilvl w:val="0"/>
        <w:numId w:val="2"/>
      </w:numPr>
      <w:jc w:val="center"/>
    </w:pPr>
    <w:rPr>
      <w:b/>
      <w:sz w:val="24"/>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55</Pages>
  <Words>140</Words>
  <Characters>166</Characters>
  <Lines>372</Lines>
  <Paragraphs>104</Paragraphs>
  <TotalTime>3</TotalTime>
  <ScaleCrop>false</ScaleCrop>
  <LinksUpToDate>false</LinksUpToDate>
  <CharactersWithSpaces>213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Lenovo</cp:lastModifiedBy>
  <cp:lastPrinted>2024-09-02T06:30:00Z</cp:lastPrinted>
  <dcterms:modified xsi:type="dcterms:W3CDTF">2025-07-09T01:27:35Z</dcterms:modified>
  <dc:title>附件2</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45DCA5527FCE4E79BEB325B228009013_13</vt:lpwstr>
  </property>
  <property fmtid="{D5CDD505-2E9C-101B-9397-08002B2CF9AE}" pid="4" name="KSOTemplateDocerSaveRecord">
    <vt:lpwstr>eyJoZGlkIjoiMmE4Yjc1M2JiNjBjMjdhMzI3N2MwY2IzYWM4NDBiMGIifQ==</vt:lpwstr>
  </property>
</Properties>
</file>